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7BB70" w14:textId="77777777" w:rsidR="00AA5DED" w:rsidRDefault="00AA5DED" w:rsidP="00AA5DED">
      <w:pPr>
        <w:pStyle w:val="Title"/>
      </w:pPr>
      <w:r>
        <w:t>The Small-State Advantage</w:t>
      </w:r>
    </w:p>
    <w:p w14:paraId="1F8E9FC4" w14:textId="77777777" w:rsidR="00AA5DED" w:rsidRDefault="00AA5DED" w:rsidP="00AA5DED">
      <w:pPr>
        <w:pStyle w:val="Subtitle"/>
      </w:pPr>
      <w:r>
        <w:t>Why the AI Era Will Reward Unexpected Countries</w:t>
      </w:r>
    </w:p>
    <w:p w14:paraId="3D93E125" w14:textId="77777777" w:rsidR="00AA5DED" w:rsidRDefault="00AA5DED" w:rsidP="00AA5DED">
      <w:pPr>
        <w:jc w:val="center"/>
      </w:pPr>
      <w:r>
        <w:rPr>
          <w:i/>
        </w:rPr>
        <w:t>Kai-Fu Lee and Danny Quah</w:t>
      </w:r>
    </w:p>
    <w:p w14:paraId="6D311218" w14:textId="77777777" w:rsidR="00AA5DED" w:rsidRDefault="00AA5DED" w:rsidP="00AA5DED">
      <w:r>
        <w:t>For almost all recorded history, small states have faced a familiar proposition. The world economy rewards scale; military power rewards scale even more. Large populations furnish labour and tax bases. Large domestic markets support specialization, experimentation, and firms able to absorb failure. Large territories supply resources and strategic depth. Small states compensate through trade, institutions, alliances, and a capacity to find the niches that bigger countries overlook. They can become prosperous. But the presumption has been that they cannot become genuinely consequential except by serving the purposes of others.</w:t>
      </w:r>
    </w:p>
    <w:p w14:paraId="0E9011C4" w14:textId="77777777" w:rsidR="00AA5DED" w:rsidRDefault="00AA5DED" w:rsidP="00AA5DED">
      <w:r>
        <w:t>Artificial intelligence does not overturn this arithmetic everywhere. The United States and China are AI superpowers, and no other country is close to matching their combined advantages: frontier-model ecosystems, deep pools of capital and technical talent, huge data environments, energy resources, large home markets, and the ability to sustain many parallel bets. They will shape the technology at its frontier. Their firms will generate a disproportionate share of its fortunes. Their choices will affect everyone else.</w:t>
      </w:r>
    </w:p>
    <w:p w14:paraId="48064706" w14:textId="77777777" w:rsidR="00AA5DED" w:rsidRDefault="00AA5DED" w:rsidP="00AA5DED">
      <w:r>
        <w:t>Yet the conclusion that the rest of the world is therefore condemned to technological dependency is too quick. For a narrow group of small states, the AI era could produce an unusual opening. They will not win, however, by reproducing Silicon Valley or Beijing. They will win by becoming faster than much larger countries at putting the best available intelligence to work: in firms, schools, public services, and the everyday organization of economic life. If they do so, some will acquire not only higher incomes but also standing, influence, and an ability to set practical rules for others.</w:t>
      </w:r>
    </w:p>
    <w:p w14:paraId="33DF7B36" w14:textId="77777777" w:rsidR="00AA5DED" w:rsidRDefault="00AA5DED" w:rsidP="00AA5DED">
      <w:r>
        <w:t>This is the small-state advantage. It is not an argument that size has ceased to matter. It is an argument that a particular form of size—being small enough to reorganize—has become newly valuable. The opportunity will not last indefinitely. As AI becomes more standardized, and as large countries learn how to adapt their own institutions, the advantage will diminish. For the moment, however, history may be siding with the small. It will not hold the door open for long.</w:t>
      </w:r>
    </w:p>
    <w:p w14:paraId="1F868BC7" w14:textId="77777777" w:rsidR="00AA5DED" w:rsidRDefault="00AA5DED" w:rsidP="00AA5DED">
      <w:pPr>
        <w:pStyle w:val="Heading1"/>
      </w:pPr>
      <w:r>
        <w:t>The Contest Is Not to Build the Biggest Model</w:t>
      </w:r>
    </w:p>
    <w:p w14:paraId="07AD1DE0" w14:textId="77777777" w:rsidR="00AA5DED" w:rsidRDefault="00AA5DED" w:rsidP="00AA5DED">
      <w:r>
        <w:t>The conventional way to describe AI competition is as a race to build ever more capable models. That description captures something important, but it also encourages the wrong ambition in most countries. Training frontier systems requires massive, continuing investments in compute, energy, data, research talent, and commercial distribution. It rewards scale and concentration. The United States and China possess those conditions in quantities that no small state can plausibly imitate.</w:t>
      </w:r>
    </w:p>
    <w:p w14:paraId="175FBFEB" w14:textId="77777777" w:rsidR="00AA5DED" w:rsidRDefault="00AA5DED" w:rsidP="00AA5DED">
      <w:r>
        <w:t xml:space="preserve">Small states should not try. A national strategy organized around the hope of producing the next foundational model is likely to become an expensive exercise in prestige. It would confuse technological ownership with technological advantage. Countries do not need to own the entire stack of AI in order to </w:t>
      </w:r>
      <w:r>
        <w:lastRenderedPageBreak/>
        <w:t>benefit from it, just as they did not need to manufacture every microprocessor or write every operating system to become advanced digital economies.</w:t>
      </w:r>
    </w:p>
    <w:p w14:paraId="4F524DEC" w14:textId="77777777" w:rsidR="00AA5DED" w:rsidRDefault="00AA5DED" w:rsidP="00AA5DED">
      <w:r>
        <w:t>Their task is different: to develop the greatest capacity for absorption. That means making leading models reliably available to citizens and firms; building trusted systems through which they can be used; training people to specify tasks, assess answers, and take responsibility for results; and reorganizing institutions around what intelligent software can now do. The prize is not to be a third superpower. It is to become the first place where frontier AI is made ordinary.</w:t>
      </w:r>
    </w:p>
    <w:p w14:paraId="23842F60" w14:textId="77777777" w:rsidR="00AA5DED" w:rsidRDefault="00AA5DED" w:rsidP="00AA5DED">
      <w:r>
        <w:t>The distinction matters because AI changes the relationship between an economy's productive capacity and the number of people who work within it. Earlier technologies often demanded large, costly organizations: layers of management, many specialists, and a long chain between an idea and its commercial realization. AI agents can increasingly carry out components of research, coding, analysis, customer service, compliance, design, and coordination. A capable person directing a group of such systems can produce what previously required a department. The result is not merely a more efficient version of the old firm. It is the possibility of new kinds of firms—small, quick, and unusually productive.</w:t>
      </w:r>
    </w:p>
    <w:p w14:paraId="211A4B25" w14:textId="77777777" w:rsidR="00AA5DED" w:rsidRDefault="00AA5DED" w:rsidP="00AA5DED">
      <w:r>
        <w:t>That possibility is especially significant for countries that never built large corporate bureaucracies in the first place. In a twentieth-century economy, their absence looked like a disadvantage. In an AI-native economy, it can reduce the cost of change. The relevant contrast is not big versus small. It is retrofit versus construction. A country carrying a dense inheritance of legacy organizations, occupational protections, and administrative vetoes has much to unbuild. A smaller country, if it has the necessary resources and trust, can construct differently from the beginning.</w:t>
      </w:r>
    </w:p>
    <w:p w14:paraId="08C1990B" w14:textId="77777777" w:rsidR="00AA5DED" w:rsidRDefault="00AA5DED" w:rsidP="00AA5DED">
      <w:pPr>
        <w:pStyle w:val="Heading1"/>
      </w:pPr>
      <w:r>
        <w:t>Why Middle Powers Might Struggle</w:t>
      </w:r>
    </w:p>
    <w:p w14:paraId="0619033B" w14:textId="77777777" w:rsidR="00AA5DED" w:rsidRDefault="00AA5DED" w:rsidP="00AA5DED">
      <w:r>
        <w:t>This is an uncomfortable claim because middle powers have long been treated as the natural beneficiaries when great-power leadership weakens. They have the economic weight to matter and the diplomatic reach to build coalitions. In many areas, that remains true. But AI asks a question for which economic weight is not a complete answer: how quickly can a society alter the way it produces, learns, regulates, and distributes opportunity?</w:t>
      </w:r>
    </w:p>
    <w:p w14:paraId="089DA5CF" w14:textId="77777777" w:rsidR="00AA5DED" w:rsidRDefault="00AA5DED" w:rsidP="00AA5DED">
      <w:r>
        <w:t>The largest middle powers may have the hardest answer. Their principal assets are often tied up in industries built for an earlier technological settlement—large manufacturers, banks, professional-service firms, and public bureaucracies whose value rests partly on managing information through hierarchy. These are not incompetent institutions. They are institutions optimized for a different problem. Their strength is that they coordinate activity at scale. Their vulnerability is that the technology now attacks the costs of coordination itself.</w:t>
      </w:r>
    </w:p>
    <w:p w14:paraId="22EEB298" w14:textId="77777777" w:rsidR="00AA5DED" w:rsidRDefault="00AA5DED" w:rsidP="00AA5DED">
      <w:r>
        <w:t>Nor is this simply a corporate problem. A country with tens of millions of workers cannot quickly retrain a large proportion of its workforce, rewrite procurement, redesign public services, and create a new social settlement without navigating layers of politics and administration. Democracies should not wish away these constraints: disagreement, checks, and public consent are sources of legitimacy. But they do mean that adaptation is slower when it must happen across a continental-scale society.</w:t>
      </w:r>
    </w:p>
    <w:p w14:paraId="3A463421" w14:textId="77777777" w:rsidR="00AA5DED" w:rsidRDefault="00AA5DED" w:rsidP="00AA5DED">
      <w:r>
        <w:t xml:space="preserve">Small states have no automatic solution to this problem. Some are captured by narrow interests; some lack talent, energy, security, or fiscal capacity; some have governments able to command but not able to persuade. The category is necessarily selective. Still, where a small state has a capable administration and </w:t>
      </w:r>
      <w:r>
        <w:lastRenderedPageBreak/>
        <w:t>a population that believes it can act fairly, a national transformation that would be fantastical at the scale of eighty million people becomes administratively conceivable at the scale of two, five, or ten million.</w:t>
      </w:r>
    </w:p>
    <w:p w14:paraId="324AB7B2" w14:textId="77777777" w:rsidR="00AA5DED" w:rsidRDefault="00AA5DED" w:rsidP="00AA5DED">
      <w:r>
        <w:t>Estonia illustrates the underlying logic. It did not begin its digital transformation with a fashionable technology strategy. It built basic digital public infrastructure over decades: connected schools, interoperable systems, and a public sector organized around the principle that citizens should not have to provide the same information repeatedly. Its achievement was less glamorous than a breakthrough laboratory. It was the creation of a state able to use technology as part of its normal operating system. The lesson is not that every country should reproduce Estonia. It is that the foundations of AI absorption are institutional before they are algorithmic.</w:t>
      </w:r>
    </w:p>
    <w:p w14:paraId="7775FC1B" w14:textId="77777777" w:rsidR="00AA5DED" w:rsidRDefault="00AA5DED" w:rsidP="00AA5DED">
      <w:pPr>
        <w:pStyle w:val="Heading1"/>
      </w:pPr>
      <w:r>
        <w:t>The Conditions of AI Agility</w:t>
      </w:r>
    </w:p>
    <w:p w14:paraId="04558CDA" w14:textId="77777777" w:rsidR="00AA5DED" w:rsidRDefault="00AA5DED" w:rsidP="00AA5DED">
      <w:r>
        <w:t>Which small states can seize this opening? No single index will provide the answer. But eight conditions are a useful discipline. The first five describe national endowments; the final three determine whether those endowments can be converted into action.</w:t>
      </w:r>
    </w:p>
    <w:p w14:paraId="61093008" w14:textId="77777777" w:rsidR="00AA5DED" w:rsidRDefault="00AA5DED" w:rsidP="00AA5DED">
      <w:r>
        <w:t>First is a transformable citizenry. The question is not whether a country has an elite cadre of engineers. It is whether it can help a large share of its population acquire the skills to work productively with AI within a few years. The required capability is not only coding. It includes framing a problem well, directing systems, checking their output, and exercising judgment when the answer matters. A small population does not guarantee this capacity, but it makes the arithmetic manageable.</w:t>
      </w:r>
    </w:p>
    <w:p w14:paraId="38847C85" w14:textId="77777777" w:rsidR="00AA5DED" w:rsidRDefault="00AA5DED" w:rsidP="00AA5DED">
      <w:r>
        <w:t>Second is concentrated capital. The transition will impose costs now and produce returns later. States with large, deployable sovereign assets relative to their populations can finance compute, training, public-sector modernization, and temporary support for people in transition without reopening the same fiscal battle every year. Capital alone is not capability. But without patient financing, an AI strategy remains a collection of initiatives competing with every other immediate demand on the budget.</w:t>
      </w:r>
    </w:p>
    <w:p w14:paraId="4DA9DD72" w14:textId="77777777" w:rsidR="00AA5DED" w:rsidRDefault="00AA5DED" w:rsidP="00AA5DED">
      <w:r>
        <w:t>Third is cognitive density: enough home-grown technical, managerial, and institutional knowledge to make intelligent choices. Talent can be attracted from abroad, and it should be. But a country that rents all its expertise rents its ability to learn. The scarce resource in the AI era will not simply be access to models; it will be people who can decide when to trust them, when to challenge them, and how to turn their use into locally compounding competence.</w:t>
      </w:r>
    </w:p>
    <w:p w14:paraId="08A1442C" w14:textId="77777777" w:rsidR="00AA5DED" w:rsidRDefault="00AA5DED" w:rsidP="00AA5DED">
      <w:r>
        <w:t>Fourth is power abundance. AI may appear weightless, but computation is physical. It requires electricity, grids, sites, cooling, permits, connectivity, and the capacity to make choices about competing uses of energy and land. This will be a serious constraint for some otherwise well-positioned states. It need not be fatal. What matters is a credible plan for secure, efficient access to computation rather than the illusion of autarky.</w:t>
      </w:r>
    </w:p>
    <w:p w14:paraId="2DC0F2B9" w14:textId="77777777" w:rsidR="00AA5DED" w:rsidRDefault="00AA5DED" w:rsidP="00AA5DED">
      <w:r>
        <w:t>Fifth is genuine AI-native commitment. Governments will issue many strategies and purchase much hardware. Neither act alone is transformation. The more demanding test is whether procurement, public services, schools, and regulatory systems are being redesigned around the practical use of AI. A state that merely adds chat interfaces to yesterday's workflows will not become AI-native. A state that rebuilds how it licenses a firm, trains a worker, delivers health services, or manages a court may.</w:t>
      </w:r>
    </w:p>
    <w:p w14:paraId="5E2C7986" w14:textId="77777777" w:rsidR="00AA5DED" w:rsidRDefault="00AA5DED" w:rsidP="00AA5DED">
      <w:r>
        <w:lastRenderedPageBreak/>
        <w:t xml:space="preserve">The remaining conditions concern political capability. Sovereign resolve means a </w:t>
      </w:r>
      <w:proofErr w:type="spellStart"/>
      <w:r>
        <w:t>center</w:t>
      </w:r>
      <w:proofErr w:type="spellEnd"/>
      <w:r>
        <w:t xml:space="preserve"> of authority able to coordinate agencies, make choices, and be held accountable for execution. Sovereign trust means that citizens accept the state as a legitimate leader of disruption rather than regarding each change as an imposition. Protected sovereignty means that a country's gains cannot be readily coerced, captured, or overridden. Security may derive from geography, alliances, credible partnerships, or other arrangements. But an AI-rich country without adequate protection has created an asset that others can pressure it to surrender.</w:t>
      </w:r>
    </w:p>
    <w:p w14:paraId="6B3EED1B" w14:textId="77777777" w:rsidR="00AA5DED" w:rsidRDefault="00AA5DED" w:rsidP="00AA5DED">
      <w:r>
        <w:t>Singapore is an instructive test case. It has substantial sovereign capital, high educational attainment, a sophisticated administration, and a reputation for implementation. It also confronts real limits: land, energy, and the difficulty of turning a strong AI strategy into a public sector rebuilt around AI workers. The point is not to declare Singapore a winner in advance. It is to show that even the strongest candidate still has work to do. A framework that identifies only success has become marketing.</w:t>
      </w:r>
    </w:p>
    <w:p w14:paraId="681B266F" w14:textId="77777777" w:rsidR="00AA5DED" w:rsidRDefault="00AA5DED" w:rsidP="00AA5DED">
      <w:pPr>
        <w:pStyle w:val="Heading1"/>
      </w:pPr>
      <w:r>
        <w:t>An AI-Native State Is Not a Technology Ministry</w:t>
      </w:r>
    </w:p>
    <w:p w14:paraId="749E534D" w14:textId="77777777" w:rsidR="00AA5DED" w:rsidRDefault="00AA5DED" w:rsidP="00AA5DED">
      <w:r>
        <w:t>The policy implications follow from this diagnosis. First, small states should make broad access to frontier AI a public capability. The most useful systems should be available to schools, small businesses, civil servants, and workers—not only to large companies able to negotiate contracts with global technology providers. This does not require a government monopoly on AI. It requires a public commitment that access to useful intelligence will not be rationed solely by market power.</w:t>
      </w:r>
    </w:p>
    <w:p w14:paraId="78EEAF26" w14:textId="77777777" w:rsidR="00AA5DED" w:rsidRDefault="00AA5DED" w:rsidP="00AA5DED">
      <w:r>
        <w:t>Second, states should treat re-skilling as an industrial program, not as a residual labour-market measure. Training must be organized around real tasks and real opportunities, with clear targets, resources, and time horizons. It should develop the people who will direct AI systems rather than simply certify people for using software. The relevant future worker is neither the displaced clerk nor the conventional programmer. It is a person capable of owning an outcome while using a set of AI workers to pursue it.</w:t>
      </w:r>
    </w:p>
    <w:p w14:paraId="77C24082" w14:textId="77777777" w:rsidR="00AA5DED" w:rsidRDefault="00AA5DED" w:rsidP="00AA5DED">
      <w:r>
        <w:t>Third, public administration should lead. Government is normally one of the most difficult places to change: it is rule-bound, risk-averse, and rightfully accountable. Yet it is also the institution best placed to create common infrastructure and demonstrate how an AI-native organization can work. Modernizing tax administration, licensing, customs, public health, education, and service delivery can reduce costs and create demand for domestic capability without presuming that the state knows which private companies will win.</w:t>
      </w:r>
    </w:p>
    <w:p w14:paraId="7231B73B" w14:textId="77777777" w:rsidR="00AA5DED" w:rsidRDefault="00AA5DED" w:rsidP="00AA5DED">
      <w:r>
        <w:t>Fourth, policymakers should cultivate a different entrepreneurial landscape. The aim is not a small-state replica of a frontier laboratory. It is a dense field of businesses that combine a few accountable people with AI systems to serve local and global markets. Such firms may be modest in headcount yet highly productive. They can grow from cash flow rather than dependence on successive funding rounds. In sectors from specialized services to design, education, compliance, and business operations, their opportunity lies in replacing costly, slow incumbents with better outcomes.</w:t>
      </w:r>
    </w:p>
    <w:p w14:paraId="784F43F2" w14:textId="77777777" w:rsidR="00AA5DED" w:rsidRDefault="00AA5DED" w:rsidP="00AA5DED">
      <w:r>
        <w:t xml:space="preserve">Finally, governments must design the social contract before the disruption becomes acute. AI will expand output and wealth, but it may also displace forms of employment through which people have obtained status, community, and purpose. Income support may be necessary in places where labour's share of national income declines. It will not be sufficient. A society cannot be stabilized only by writing cheques. The harder task is ensuring that people can still find roles that they and others believe matter. Small states may have a particular advantage here: they can see a transition in finer detail and can connect training, </w:t>
      </w:r>
      <w:r>
        <w:lastRenderedPageBreak/>
        <w:t>employers, local institutions, and public purpose more directly. But that advantage is available only where public trust is real.</w:t>
      </w:r>
    </w:p>
    <w:p w14:paraId="13EEA250" w14:textId="77777777" w:rsidR="00AA5DED" w:rsidRDefault="00AA5DED" w:rsidP="00AA5DED">
      <w:pPr>
        <w:pStyle w:val="Heading1"/>
      </w:pPr>
      <w:r>
        <w:t>From Domestic Capability to International Influence</w:t>
      </w:r>
    </w:p>
    <w:p w14:paraId="44D5933B" w14:textId="77777777" w:rsidR="00AA5DED" w:rsidRDefault="00AA5DED" w:rsidP="00AA5DED">
      <w:r>
        <w:t>The small-state advantage is often described in economic terms, and correctly so. A country that absorbs AI well should become more productive and, over time, richer. But economic success alone does not produce geopolitical weight. Several small states are already richer on a per-person basis than much larger economies without determining the agenda beyond their borders.</w:t>
      </w:r>
    </w:p>
    <w:p w14:paraId="507E12CD" w14:textId="77777777" w:rsidR="00AA5DED" w:rsidRDefault="00AA5DED" w:rsidP="00AA5DED">
      <w:r>
        <w:t>Influence emerges when domestic capability becomes useful to others. An AI-agile state can become a trusted site for data-intensive services, regulated compute, digital trade, research partnerships, and common standards. It can provide infrastructure that allows firms and governments from different systems to interact without surrendering all autonomy to either superpower. It can demonstrate working approaches to education, public administration, and social adjustment that larger countries can adapt at subnational scale.</w:t>
      </w:r>
    </w:p>
    <w:p w14:paraId="0FA4308C" w14:textId="77777777" w:rsidR="00AA5DED" w:rsidRDefault="00AA5DED" w:rsidP="00AA5DED">
      <w:r>
        <w:t>This does not imply technological self-sufficiency. The language of “sovereign AI” is often used as if every serious country must own every layer of its digital infrastructure: its own chips, cloud, models, data centres, and applications. That is neither realistic nor desirable for most small states. The wiser objective is selective sovereignty. States should secure the capabilities on which public authority and national resilience genuinely depend—identity, sensitive public data, critical services, and reliable access to compute—while remaining connected to more than one outside ecosystem. The point of diversification is not neutrality for its own sake. It is to retain choice when commercial or political conditions change.</w:t>
      </w:r>
    </w:p>
    <w:p w14:paraId="28E717D1" w14:textId="77777777" w:rsidR="00AA5DED" w:rsidRDefault="00AA5DED" w:rsidP="00AA5DED">
      <w:r>
        <w:t>This is where the world-order dimension returns. The international system is increasingly shaped by strategic interdependence: networks of finance, technology, standards, energy, data, and trade that create prosperity but can also create dependence. Small states have every reason to resist a choice between isolation and permanent attachment to one outside system. Their interest is in building relationships that are open, diverse, and governed by incentives all participants can see.</w:t>
      </w:r>
    </w:p>
    <w:p w14:paraId="4489862A" w14:textId="77777777" w:rsidR="00AA5DED" w:rsidRDefault="00AA5DED" w:rsidP="00AA5DED">
      <w:r>
        <w:t>In such a world, useful coalitions need not wait for a universal agreement. Countries can cooperate in modules: digital trade, interoperable payments, data governance, reliable compute access, common approaches to AI safety, talent exchanges, or shared training. The relevant question is not who commands the system. It is whether participants gain enough from remaining within an arrangement that cooperation is more attractive than defection. This is multilateralism without romanticism—rules sufficient to make exchange predictable, but not contingent on a single grand political consensus.</w:t>
      </w:r>
    </w:p>
    <w:p w14:paraId="6AECDFE8" w14:textId="77777777" w:rsidR="00AA5DED" w:rsidRDefault="00AA5DED" w:rsidP="00AA5DED">
      <w:r>
        <w:t>Small states will not supply the world with a new hegemon. Nor should they try. Their contribution can be more practical: to make themselves indispensable as connectors, demonstrators, and trusted places where divergent systems can still do useful work together. In the AI era, that form of indispensability may be more attainable than conventional theories of power would suggest.</w:t>
      </w:r>
    </w:p>
    <w:p w14:paraId="1C56C1A4" w14:textId="77777777" w:rsidR="00AA5DED" w:rsidRDefault="00AA5DED" w:rsidP="00AA5DED">
      <w:pPr>
        <w:pStyle w:val="Heading1"/>
      </w:pPr>
      <w:r>
        <w:t>The Window</w:t>
      </w:r>
    </w:p>
    <w:p w14:paraId="474F7BE2" w14:textId="77777777" w:rsidR="00AA5DED" w:rsidRDefault="00AA5DED" w:rsidP="00AA5DED">
      <w:r>
        <w:t xml:space="preserve">There is no guarantee that small states will use this opportunity well. Many will produce glossy strategies, subsidize conspicuous projects, and mistake the purchase of technology for the creation of national </w:t>
      </w:r>
      <w:r>
        <w:lastRenderedPageBreak/>
        <w:t>capability. Others will be held back by shortages of power, talent, trust, or security. The real contest will be unglamorous: whether governments can train people, alter institutions, finance change patiently, and remain credible when the costs are visible before the gains are.</w:t>
      </w:r>
    </w:p>
    <w:p w14:paraId="4F5055A2" w14:textId="77777777" w:rsidR="00AA5DED" w:rsidRDefault="00AA5DED" w:rsidP="00AA5DED">
      <w:r>
        <w:t xml:space="preserve">The required politics should not be confused with centralization alone. Fast execution can be valuable; it can also be brittle. A government that can impose a plan but cannot explain its purposes, correct its errors, or retain public confidence will encounter resistance precisely when the dislocations begin. The durable advantage is not merely a strong </w:t>
      </w:r>
      <w:proofErr w:type="spellStart"/>
      <w:r>
        <w:t>center</w:t>
      </w:r>
      <w:proofErr w:type="spellEnd"/>
      <w:r>
        <w:t>. It is a society with procedures for resolving disagreement and enough confidence in its institutions to accept difficult adjustment. In the past, such arrangements helped small, open economies cope with external shocks. They will matter even more when the disruption comes from a technology that remakes work from within.</w:t>
      </w:r>
    </w:p>
    <w:p w14:paraId="57F1FB19" w14:textId="77777777" w:rsidR="00AA5DED" w:rsidRDefault="00AA5DED" w:rsidP="00AA5DED">
      <w:r>
        <w:t>But the alternative is not to wait until the two AI superpowers have settled the future. The future will not be settled in that way. The United States and China will continue to define the technological frontier, but adoption will determine much of the world's distribution of benefit. For the countries outside that duopoly, the strategic question is not whether they can outbuild the superpowers. It is whether they can outlearn the middle powers.</w:t>
      </w:r>
    </w:p>
    <w:p w14:paraId="793AC05A" w14:textId="77777777" w:rsidR="00AA5DED" w:rsidRDefault="00AA5DED" w:rsidP="00AA5DED">
      <w:r>
        <w:t>A few small states can. They are small enough to attempt a whole-of-society transformation, wealthy enough to finance it, capable enough to execute it, and secure enough to preserve the resulting gains. If they succeed, they will not merely become more efficient economies. They will provide the proof that an AI-led transformation can raise capability without hollowing out social purpose—and that proof may prove more valuable than any model they could have trained themselves. The reward for getting this right will be not insulation from the future, but an enlarged capacity to shape it.</w:t>
      </w:r>
    </w:p>
    <w:p w14:paraId="6D015A0D" w14:textId="77777777" w:rsidR="00C536C7" w:rsidRDefault="00C536C7"/>
    <w:sectPr w:rsidR="00C536C7" w:rsidSect="00AA5DED">
      <w:footerReference w:type="even" r:id="rId4"/>
      <w:footerReference w:type="default" r:id="rId5"/>
      <w:pgSz w:w="12240" w:h="15840"/>
      <w:pgMar w:top="1224" w:right="1368" w:bottom="1224"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06142078"/>
      <w:docPartObj>
        <w:docPartGallery w:val="Page Numbers (Bottom of Page)"/>
        <w:docPartUnique/>
      </w:docPartObj>
    </w:sdtPr>
    <w:sdtContent>
      <w:p w14:paraId="5DF22777" w14:textId="77777777" w:rsidR="00AA5DED" w:rsidRDefault="00AA5DED" w:rsidP="00B314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E0FA4A" w14:textId="77777777" w:rsidR="00AA5DED" w:rsidRDefault="00AA5DED" w:rsidP="00155D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6804327"/>
      <w:docPartObj>
        <w:docPartGallery w:val="Page Numbers (Bottom of Page)"/>
        <w:docPartUnique/>
      </w:docPartObj>
    </w:sdtPr>
    <w:sdtContent>
      <w:p w14:paraId="2412EBFE" w14:textId="77777777" w:rsidR="00AA5DED" w:rsidRDefault="00AA5DED" w:rsidP="00B314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04F44525" w14:textId="77777777" w:rsidR="00AA5DED" w:rsidRDefault="00AA5DED" w:rsidP="00155D4D">
    <w:pPr>
      <w:pStyle w:val="Footer"/>
      <w:ind w:right="360"/>
      <w:jc w:val="center"/>
    </w:pPr>
    <w:r>
      <w:t>Draft for discussion</w:t>
    </w:r>
  </w:p>
</w:ft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ED"/>
    <w:rsid w:val="00AA5DED"/>
    <w:rsid w:val="00C50770"/>
    <w:rsid w:val="00C536C7"/>
    <w:rsid w:val="00F7043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B088F"/>
  <w15:chartTrackingRefBased/>
  <w15:docId w15:val="{2A627871-6FEE-F849-A3D0-00A53419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ajorHAnsi" w:eastAsiaTheme="majorEastAsia" w:hAnsiTheme="majorHAnsi" w:cstheme="majorBidi"/>
        <w:sz w:val="22"/>
        <w:szCs w:val="22"/>
        <w:lang w:val="en-SG"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DED"/>
  </w:style>
  <w:style w:type="paragraph" w:styleId="Heading1">
    <w:name w:val="heading 1"/>
    <w:basedOn w:val="Normal"/>
    <w:next w:val="Normal"/>
    <w:link w:val="Heading1Char"/>
    <w:uiPriority w:val="9"/>
    <w:qFormat/>
    <w:rsid w:val="00AA5DED"/>
    <w:pPr>
      <w:pBdr>
        <w:bottom w:val="thinThickSmallGap" w:sz="12" w:space="1" w:color="BF4E14" w:themeColor="accent2" w:themeShade="BF"/>
      </w:pBdr>
      <w:spacing w:before="400"/>
      <w:jc w:val="center"/>
      <w:outlineLvl w:val="0"/>
    </w:pPr>
    <w:rPr>
      <w:caps/>
      <w:color w:val="80340D" w:themeColor="accent2" w:themeShade="80"/>
      <w:spacing w:val="20"/>
      <w:sz w:val="28"/>
      <w:szCs w:val="28"/>
    </w:rPr>
  </w:style>
  <w:style w:type="paragraph" w:styleId="Heading2">
    <w:name w:val="heading 2"/>
    <w:basedOn w:val="Normal"/>
    <w:next w:val="Normal"/>
    <w:link w:val="Heading2Char"/>
    <w:uiPriority w:val="9"/>
    <w:semiHidden/>
    <w:unhideWhenUsed/>
    <w:qFormat/>
    <w:rsid w:val="00AA5DED"/>
    <w:pPr>
      <w:pBdr>
        <w:bottom w:val="single" w:sz="4" w:space="1" w:color="7F340D" w:themeColor="accent2" w:themeShade="7F"/>
      </w:pBdr>
      <w:spacing w:before="400"/>
      <w:jc w:val="center"/>
      <w:outlineLvl w:val="1"/>
    </w:pPr>
    <w:rPr>
      <w:caps/>
      <w:color w:val="80340D" w:themeColor="accent2" w:themeShade="80"/>
      <w:spacing w:val="15"/>
      <w:sz w:val="24"/>
      <w:szCs w:val="24"/>
    </w:rPr>
  </w:style>
  <w:style w:type="paragraph" w:styleId="Heading3">
    <w:name w:val="heading 3"/>
    <w:basedOn w:val="Normal"/>
    <w:next w:val="Normal"/>
    <w:link w:val="Heading3Char"/>
    <w:uiPriority w:val="9"/>
    <w:semiHidden/>
    <w:unhideWhenUsed/>
    <w:qFormat/>
    <w:rsid w:val="00AA5DED"/>
    <w:pPr>
      <w:pBdr>
        <w:top w:val="dotted" w:sz="4" w:space="1" w:color="7F340D" w:themeColor="accent2" w:themeShade="7F"/>
        <w:bottom w:val="dotted" w:sz="4" w:space="1" w:color="7F340D" w:themeColor="accent2" w:themeShade="7F"/>
      </w:pBdr>
      <w:spacing w:before="300"/>
      <w:jc w:val="center"/>
      <w:outlineLvl w:val="2"/>
    </w:pPr>
    <w:rPr>
      <w:caps/>
      <w:color w:val="7F340D" w:themeColor="accent2" w:themeShade="7F"/>
      <w:sz w:val="24"/>
      <w:szCs w:val="24"/>
    </w:rPr>
  </w:style>
  <w:style w:type="paragraph" w:styleId="Heading4">
    <w:name w:val="heading 4"/>
    <w:basedOn w:val="Normal"/>
    <w:next w:val="Normal"/>
    <w:link w:val="Heading4Char"/>
    <w:uiPriority w:val="9"/>
    <w:semiHidden/>
    <w:unhideWhenUsed/>
    <w:qFormat/>
    <w:rsid w:val="00AA5DED"/>
    <w:pPr>
      <w:pBdr>
        <w:bottom w:val="dotted" w:sz="4" w:space="1" w:color="BF4E14" w:themeColor="accent2" w:themeShade="BF"/>
      </w:pBdr>
      <w:spacing w:after="120"/>
      <w:jc w:val="center"/>
      <w:outlineLvl w:val="3"/>
    </w:pPr>
    <w:rPr>
      <w:caps/>
      <w:color w:val="7F340D" w:themeColor="accent2" w:themeShade="7F"/>
      <w:spacing w:val="10"/>
    </w:rPr>
  </w:style>
  <w:style w:type="paragraph" w:styleId="Heading5">
    <w:name w:val="heading 5"/>
    <w:basedOn w:val="Normal"/>
    <w:next w:val="Normal"/>
    <w:link w:val="Heading5Char"/>
    <w:uiPriority w:val="9"/>
    <w:semiHidden/>
    <w:unhideWhenUsed/>
    <w:qFormat/>
    <w:rsid w:val="00AA5DED"/>
    <w:pPr>
      <w:spacing w:before="320" w:after="120"/>
      <w:jc w:val="center"/>
      <w:outlineLvl w:val="4"/>
    </w:pPr>
    <w:rPr>
      <w:caps/>
      <w:color w:val="7F340D" w:themeColor="accent2" w:themeShade="7F"/>
      <w:spacing w:val="10"/>
    </w:rPr>
  </w:style>
  <w:style w:type="paragraph" w:styleId="Heading6">
    <w:name w:val="heading 6"/>
    <w:basedOn w:val="Normal"/>
    <w:next w:val="Normal"/>
    <w:link w:val="Heading6Char"/>
    <w:uiPriority w:val="9"/>
    <w:semiHidden/>
    <w:unhideWhenUsed/>
    <w:qFormat/>
    <w:rsid w:val="00AA5DED"/>
    <w:pPr>
      <w:spacing w:after="120"/>
      <w:jc w:val="center"/>
      <w:outlineLvl w:val="5"/>
    </w:pPr>
    <w:rPr>
      <w:caps/>
      <w:color w:val="BF4E14" w:themeColor="accent2" w:themeShade="BF"/>
      <w:spacing w:val="10"/>
    </w:rPr>
  </w:style>
  <w:style w:type="paragraph" w:styleId="Heading7">
    <w:name w:val="heading 7"/>
    <w:basedOn w:val="Normal"/>
    <w:next w:val="Normal"/>
    <w:link w:val="Heading7Char"/>
    <w:uiPriority w:val="9"/>
    <w:semiHidden/>
    <w:unhideWhenUsed/>
    <w:qFormat/>
    <w:rsid w:val="00AA5DED"/>
    <w:pPr>
      <w:spacing w:after="120"/>
      <w:jc w:val="center"/>
      <w:outlineLvl w:val="6"/>
    </w:pPr>
    <w:rPr>
      <w:i/>
      <w:iCs/>
      <w:caps/>
      <w:color w:val="BF4E14" w:themeColor="accent2" w:themeShade="BF"/>
      <w:spacing w:val="10"/>
    </w:rPr>
  </w:style>
  <w:style w:type="paragraph" w:styleId="Heading8">
    <w:name w:val="heading 8"/>
    <w:basedOn w:val="Normal"/>
    <w:next w:val="Normal"/>
    <w:link w:val="Heading8Char"/>
    <w:uiPriority w:val="9"/>
    <w:semiHidden/>
    <w:unhideWhenUsed/>
    <w:qFormat/>
    <w:rsid w:val="00AA5DE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AA5DE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DED"/>
    <w:rPr>
      <w:caps/>
      <w:color w:val="80340D" w:themeColor="accent2" w:themeShade="80"/>
      <w:spacing w:val="20"/>
      <w:sz w:val="28"/>
      <w:szCs w:val="28"/>
    </w:rPr>
  </w:style>
  <w:style w:type="character" w:customStyle="1" w:styleId="Heading2Char">
    <w:name w:val="Heading 2 Char"/>
    <w:basedOn w:val="DefaultParagraphFont"/>
    <w:link w:val="Heading2"/>
    <w:uiPriority w:val="9"/>
    <w:semiHidden/>
    <w:rsid w:val="00AA5DED"/>
    <w:rPr>
      <w:caps/>
      <w:color w:val="80340D" w:themeColor="accent2" w:themeShade="80"/>
      <w:spacing w:val="15"/>
      <w:sz w:val="24"/>
      <w:szCs w:val="24"/>
    </w:rPr>
  </w:style>
  <w:style w:type="character" w:customStyle="1" w:styleId="Heading3Char">
    <w:name w:val="Heading 3 Char"/>
    <w:basedOn w:val="DefaultParagraphFont"/>
    <w:link w:val="Heading3"/>
    <w:uiPriority w:val="9"/>
    <w:semiHidden/>
    <w:rsid w:val="00AA5DED"/>
    <w:rPr>
      <w:caps/>
      <w:color w:val="7F340D" w:themeColor="accent2" w:themeShade="7F"/>
      <w:sz w:val="24"/>
      <w:szCs w:val="24"/>
    </w:rPr>
  </w:style>
  <w:style w:type="character" w:customStyle="1" w:styleId="Heading4Char">
    <w:name w:val="Heading 4 Char"/>
    <w:basedOn w:val="DefaultParagraphFont"/>
    <w:link w:val="Heading4"/>
    <w:uiPriority w:val="9"/>
    <w:semiHidden/>
    <w:rsid w:val="00AA5DED"/>
    <w:rPr>
      <w:caps/>
      <w:color w:val="7F340D" w:themeColor="accent2" w:themeShade="7F"/>
      <w:spacing w:val="10"/>
    </w:rPr>
  </w:style>
  <w:style w:type="character" w:customStyle="1" w:styleId="Heading5Char">
    <w:name w:val="Heading 5 Char"/>
    <w:basedOn w:val="DefaultParagraphFont"/>
    <w:link w:val="Heading5"/>
    <w:uiPriority w:val="9"/>
    <w:semiHidden/>
    <w:rsid w:val="00AA5DED"/>
    <w:rPr>
      <w:caps/>
      <w:color w:val="7F340D" w:themeColor="accent2" w:themeShade="7F"/>
      <w:spacing w:val="10"/>
    </w:rPr>
  </w:style>
  <w:style w:type="character" w:customStyle="1" w:styleId="Heading6Char">
    <w:name w:val="Heading 6 Char"/>
    <w:basedOn w:val="DefaultParagraphFont"/>
    <w:link w:val="Heading6"/>
    <w:uiPriority w:val="9"/>
    <w:semiHidden/>
    <w:rsid w:val="00AA5DED"/>
    <w:rPr>
      <w:caps/>
      <w:color w:val="BF4E14" w:themeColor="accent2" w:themeShade="BF"/>
      <w:spacing w:val="10"/>
    </w:rPr>
  </w:style>
  <w:style w:type="character" w:customStyle="1" w:styleId="Heading7Char">
    <w:name w:val="Heading 7 Char"/>
    <w:basedOn w:val="DefaultParagraphFont"/>
    <w:link w:val="Heading7"/>
    <w:uiPriority w:val="9"/>
    <w:semiHidden/>
    <w:rsid w:val="00AA5DED"/>
    <w:rPr>
      <w:i/>
      <w:iCs/>
      <w:caps/>
      <w:color w:val="BF4E14" w:themeColor="accent2" w:themeShade="BF"/>
      <w:spacing w:val="10"/>
    </w:rPr>
  </w:style>
  <w:style w:type="character" w:customStyle="1" w:styleId="Heading8Char">
    <w:name w:val="Heading 8 Char"/>
    <w:basedOn w:val="DefaultParagraphFont"/>
    <w:link w:val="Heading8"/>
    <w:uiPriority w:val="9"/>
    <w:semiHidden/>
    <w:rsid w:val="00AA5DED"/>
    <w:rPr>
      <w:caps/>
      <w:spacing w:val="10"/>
      <w:sz w:val="20"/>
      <w:szCs w:val="20"/>
    </w:rPr>
  </w:style>
  <w:style w:type="character" w:customStyle="1" w:styleId="Heading9Char">
    <w:name w:val="Heading 9 Char"/>
    <w:basedOn w:val="DefaultParagraphFont"/>
    <w:link w:val="Heading9"/>
    <w:uiPriority w:val="9"/>
    <w:semiHidden/>
    <w:rsid w:val="00AA5DED"/>
    <w:rPr>
      <w:i/>
      <w:iCs/>
      <w:caps/>
      <w:spacing w:val="10"/>
      <w:sz w:val="20"/>
      <w:szCs w:val="20"/>
    </w:rPr>
  </w:style>
  <w:style w:type="paragraph" w:styleId="Title">
    <w:name w:val="Title"/>
    <w:basedOn w:val="Normal"/>
    <w:next w:val="Normal"/>
    <w:link w:val="TitleChar"/>
    <w:uiPriority w:val="10"/>
    <w:qFormat/>
    <w:rsid w:val="00AA5DED"/>
    <w:pPr>
      <w:pBdr>
        <w:top w:val="dotted" w:sz="2" w:space="1" w:color="80340D" w:themeColor="accent2" w:themeShade="80"/>
        <w:bottom w:val="dotted" w:sz="2" w:space="6" w:color="80340D" w:themeColor="accent2" w:themeShade="80"/>
      </w:pBdr>
      <w:spacing w:before="500" w:after="300" w:line="240" w:lineRule="auto"/>
      <w:jc w:val="center"/>
    </w:pPr>
    <w:rPr>
      <w:caps/>
      <w:color w:val="80340D" w:themeColor="accent2" w:themeShade="80"/>
      <w:spacing w:val="50"/>
      <w:sz w:val="44"/>
      <w:szCs w:val="44"/>
    </w:rPr>
  </w:style>
  <w:style w:type="character" w:customStyle="1" w:styleId="TitleChar">
    <w:name w:val="Title Char"/>
    <w:basedOn w:val="DefaultParagraphFont"/>
    <w:link w:val="Title"/>
    <w:uiPriority w:val="10"/>
    <w:rsid w:val="00AA5DED"/>
    <w:rPr>
      <w:caps/>
      <w:color w:val="80340D" w:themeColor="accent2" w:themeShade="80"/>
      <w:spacing w:val="50"/>
      <w:sz w:val="44"/>
      <w:szCs w:val="44"/>
    </w:rPr>
  </w:style>
  <w:style w:type="paragraph" w:styleId="Subtitle">
    <w:name w:val="Subtitle"/>
    <w:basedOn w:val="Normal"/>
    <w:next w:val="Normal"/>
    <w:link w:val="SubtitleChar"/>
    <w:uiPriority w:val="11"/>
    <w:qFormat/>
    <w:rsid w:val="00AA5DE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AA5DED"/>
    <w:rPr>
      <w:caps/>
      <w:spacing w:val="20"/>
      <w:sz w:val="18"/>
      <w:szCs w:val="18"/>
    </w:rPr>
  </w:style>
  <w:style w:type="paragraph" w:styleId="Quote">
    <w:name w:val="Quote"/>
    <w:basedOn w:val="Normal"/>
    <w:next w:val="Normal"/>
    <w:link w:val="QuoteChar"/>
    <w:uiPriority w:val="29"/>
    <w:qFormat/>
    <w:rsid w:val="00AA5DED"/>
    <w:rPr>
      <w:i/>
      <w:iCs/>
    </w:rPr>
  </w:style>
  <w:style w:type="character" w:customStyle="1" w:styleId="QuoteChar">
    <w:name w:val="Quote Char"/>
    <w:basedOn w:val="DefaultParagraphFont"/>
    <w:link w:val="Quote"/>
    <w:uiPriority w:val="29"/>
    <w:rsid w:val="00AA5DED"/>
    <w:rPr>
      <w:i/>
      <w:iCs/>
    </w:rPr>
  </w:style>
  <w:style w:type="paragraph" w:styleId="ListParagraph">
    <w:name w:val="List Paragraph"/>
    <w:basedOn w:val="Normal"/>
    <w:uiPriority w:val="34"/>
    <w:qFormat/>
    <w:rsid w:val="00AA5DED"/>
    <w:pPr>
      <w:ind w:left="720"/>
      <w:contextualSpacing/>
    </w:pPr>
  </w:style>
  <w:style w:type="character" w:styleId="IntenseEmphasis">
    <w:name w:val="Intense Emphasis"/>
    <w:uiPriority w:val="21"/>
    <w:qFormat/>
    <w:rsid w:val="00AA5DED"/>
    <w:rPr>
      <w:i/>
      <w:iCs/>
      <w:caps/>
      <w:spacing w:val="10"/>
      <w:sz w:val="20"/>
      <w:szCs w:val="20"/>
    </w:rPr>
  </w:style>
  <w:style w:type="paragraph" w:styleId="IntenseQuote">
    <w:name w:val="Intense Quote"/>
    <w:basedOn w:val="Normal"/>
    <w:next w:val="Normal"/>
    <w:link w:val="IntenseQuoteChar"/>
    <w:uiPriority w:val="30"/>
    <w:qFormat/>
    <w:rsid w:val="00AA5DED"/>
    <w:pPr>
      <w:pBdr>
        <w:top w:val="dotted" w:sz="2" w:space="10" w:color="80340D" w:themeColor="accent2" w:themeShade="80"/>
        <w:bottom w:val="dotted" w:sz="2" w:space="4" w:color="80340D" w:themeColor="accent2" w:themeShade="80"/>
      </w:pBdr>
      <w:spacing w:before="160" w:line="300" w:lineRule="auto"/>
      <w:ind w:left="1440" w:right="1440"/>
    </w:pPr>
    <w:rPr>
      <w:caps/>
      <w:color w:val="7F340D" w:themeColor="accent2" w:themeShade="7F"/>
      <w:spacing w:val="5"/>
      <w:sz w:val="20"/>
      <w:szCs w:val="20"/>
    </w:rPr>
  </w:style>
  <w:style w:type="character" w:customStyle="1" w:styleId="IntenseQuoteChar">
    <w:name w:val="Intense Quote Char"/>
    <w:basedOn w:val="DefaultParagraphFont"/>
    <w:link w:val="IntenseQuote"/>
    <w:uiPriority w:val="30"/>
    <w:rsid w:val="00AA5DED"/>
    <w:rPr>
      <w:caps/>
      <w:color w:val="7F340D" w:themeColor="accent2" w:themeShade="7F"/>
      <w:spacing w:val="5"/>
      <w:sz w:val="20"/>
      <w:szCs w:val="20"/>
    </w:rPr>
  </w:style>
  <w:style w:type="character" w:styleId="IntenseReference">
    <w:name w:val="Intense Reference"/>
    <w:uiPriority w:val="32"/>
    <w:qFormat/>
    <w:rsid w:val="00AA5DED"/>
    <w:rPr>
      <w:rFonts w:asciiTheme="minorHAnsi" w:eastAsiaTheme="minorEastAsia" w:hAnsiTheme="minorHAnsi" w:cstheme="minorBidi"/>
      <w:b/>
      <w:bCs/>
      <w:i/>
      <w:iCs/>
      <w:color w:val="7F340D" w:themeColor="accent2" w:themeShade="7F"/>
    </w:rPr>
  </w:style>
  <w:style w:type="paragraph" w:styleId="Caption">
    <w:name w:val="caption"/>
    <w:basedOn w:val="Normal"/>
    <w:next w:val="Normal"/>
    <w:uiPriority w:val="35"/>
    <w:semiHidden/>
    <w:unhideWhenUsed/>
    <w:qFormat/>
    <w:rsid w:val="00AA5DED"/>
    <w:rPr>
      <w:caps/>
      <w:spacing w:val="10"/>
      <w:sz w:val="18"/>
      <w:szCs w:val="18"/>
    </w:rPr>
  </w:style>
  <w:style w:type="character" w:styleId="Strong">
    <w:name w:val="Strong"/>
    <w:uiPriority w:val="22"/>
    <w:qFormat/>
    <w:rsid w:val="00AA5DED"/>
    <w:rPr>
      <w:b/>
      <w:bCs/>
      <w:color w:val="BF4E14" w:themeColor="accent2" w:themeShade="BF"/>
      <w:spacing w:val="5"/>
    </w:rPr>
  </w:style>
  <w:style w:type="character" w:styleId="Emphasis">
    <w:name w:val="Emphasis"/>
    <w:uiPriority w:val="20"/>
    <w:qFormat/>
    <w:rsid w:val="00AA5DED"/>
    <w:rPr>
      <w:caps/>
      <w:spacing w:val="5"/>
      <w:sz w:val="20"/>
      <w:szCs w:val="20"/>
    </w:rPr>
  </w:style>
  <w:style w:type="paragraph" w:styleId="NoSpacing">
    <w:name w:val="No Spacing"/>
    <w:basedOn w:val="Normal"/>
    <w:link w:val="NoSpacingChar"/>
    <w:uiPriority w:val="1"/>
    <w:qFormat/>
    <w:rsid w:val="00AA5DED"/>
    <w:pPr>
      <w:spacing w:after="0" w:line="240" w:lineRule="auto"/>
    </w:pPr>
  </w:style>
  <w:style w:type="character" w:customStyle="1" w:styleId="NoSpacingChar">
    <w:name w:val="No Spacing Char"/>
    <w:basedOn w:val="DefaultParagraphFont"/>
    <w:link w:val="NoSpacing"/>
    <w:uiPriority w:val="1"/>
    <w:rsid w:val="00AA5DED"/>
  </w:style>
  <w:style w:type="character" w:styleId="SubtleEmphasis">
    <w:name w:val="Subtle Emphasis"/>
    <w:uiPriority w:val="19"/>
    <w:qFormat/>
    <w:rsid w:val="00AA5DED"/>
    <w:rPr>
      <w:i/>
      <w:iCs/>
    </w:rPr>
  </w:style>
  <w:style w:type="character" w:styleId="SubtleReference">
    <w:name w:val="Subtle Reference"/>
    <w:basedOn w:val="DefaultParagraphFont"/>
    <w:uiPriority w:val="31"/>
    <w:qFormat/>
    <w:rsid w:val="00AA5DED"/>
    <w:rPr>
      <w:rFonts w:asciiTheme="minorHAnsi" w:eastAsiaTheme="minorEastAsia" w:hAnsiTheme="minorHAnsi" w:cstheme="minorBidi"/>
      <w:i/>
      <w:iCs/>
      <w:color w:val="7F340D" w:themeColor="accent2" w:themeShade="7F"/>
    </w:rPr>
  </w:style>
  <w:style w:type="character" w:styleId="BookTitle">
    <w:name w:val="Book Title"/>
    <w:uiPriority w:val="33"/>
    <w:qFormat/>
    <w:rsid w:val="00AA5DED"/>
    <w:rPr>
      <w:caps/>
      <w:color w:val="7F340D" w:themeColor="accent2" w:themeShade="7F"/>
      <w:spacing w:val="5"/>
      <w:u w:color="7F340D" w:themeColor="accent2" w:themeShade="7F"/>
    </w:rPr>
  </w:style>
  <w:style w:type="paragraph" w:styleId="TOCHeading">
    <w:name w:val="TOC Heading"/>
    <w:basedOn w:val="Heading1"/>
    <w:next w:val="Normal"/>
    <w:uiPriority w:val="39"/>
    <w:semiHidden/>
    <w:unhideWhenUsed/>
    <w:qFormat/>
    <w:rsid w:val="00AA5DED"/>
    <w:pPr>
      <w:outlineLvl w:val="9"/>
    </w:pPr>
  </w:style>
  <w:style w:type="paragraph" w:styleId="Footer">
    <w:name w:val="footer"/>
    <w:basedOn w:val="Normal"/>
    <w:link w:val="FooterChar"/>
    <w:uiPriority w:val="99"/>
    <w:unhideWhenUsed/>
    <w:rsid w:val="00AA5DED"/>
    <w:pPr>
      <w:tabs>
        <w:tab w:val="center" w:pos="4680"/>
        <w:tab w:val="right" w:pos="9360"/>
      </w:tabs>
      <w:spacing w:after="0" w:line="240" w:lineRule="auto"/>
    </w:pPr>
    <w:rPr>
      <w:rFonts w:ascii="Georgia" w:eastAsia="Georgia" w:hAnsi="Georgia"/>
      <w:sz w:val="23"/>
      <w:lang w:val="en-US"/>
    </w:rPr>
  </w:style>
  <w:style w:type="character" w:customStyle="1" w:styleId="FooterChar">
    <w:name w:val="Footer Char"/>
    <w:basedOn w:val="DefaultParagraphFont"/>
    <w:link w:val="Footer"/>
    <w:uiPriority w:val="99"/>
    <w:rsid w:val="00AA5DED"/>
    <w:rPr>
      <w:rFonts w:ascii="Georgia" w:eastAsia="Georgia" w:hAnsi="Georgia"/>
      <w:sz w:val="23"/>
      <w:lang w:val="en-US"/>
    </w:rPr>
  </w:style>
  <w:style w:type="character" w:styleId="PageNumber">
    <w:name w:val="page number"/>
    <w:basedOn w:val="DefaultParagraphFont"/>
    <w:uiPriority w:val="99"/>
    <w:semiHidden/>
    <w:unhideWhenUsed/>
    <w:rsid w:val="00AA5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2.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2976</Words>
  <Characters>16968</Characters>
  <Application>Microsoft Office Word</Application>
  <DocSecurity>0</DocSecurity>
  <Lines>141</Lines>
  <Paragraphs>39</Paragraphs>
  <ScaleCrop>false</ScaleCrop>
  <Company/>
  <LinksUpToDate>false</LinksUpToDate>
  <CharactersWithSpaces>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Quah</dc:creator>
  <cp:keywords/>
  <dc:description/>
  <cp:lastModifiedBy>Danny Quah</cp:lastModifiedBy>
  <cp:revision>1</cp:revision>
  <dcterms:created xsi:type="dcterms:W3CDTF">2026-09-06T15:17:00Z</dcterms:created>
  <dcterms:modified xsi:type="dcterms:W3CDTF">2026-09-06T15:21:00Z</dcterms:modified>
</cp:coreProperties>
</file>