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5C0C9" w14:textId="50DE5967" w:rsidR="00954A59" w:rsidRPr="00954A59" w:rsidRDefault="00954A59" w:rsidP="00954A59">
      <w:pPr>
        <w:rPr>
          <w:rFonts w:ascii="Times New Roman" w:hAnsi="Times New Roman" w:cs="Times New Roman"/>
          <w:b/>
          <w:bCs/>
        </w:rPr>
      </w:pPr>
      <w:r w:rsidRPr="00954A59">
        <w:rPr>
          <w:rFonts w:ascii="Times New Roman" w:hAnsi="Times New Roman" w:cs="Times New Roman"/>
          <w:b/>
          <w:bCs/>
        </w:rPr>
        <w:t xml:space="preserve">To: </w:t>
      </w:r>
      <w:r w:rsidRPr="00954A59">
        <w:rPr>
          <w:rFonts w:ascii="Times New Roman" w:hAnsi="Times New Roman" w:cs="Times New Roman"/>
        </w:rPr>
        <w:t>Chair, MISC Working Group for the ICT Sector</w:t>
      </w:r>
      <w:r w:rsidRPr="00954A59">
        <w:rPr>
          <w:rFonts w:ascii="Times New Roman" w:hAnsi="Times New Roman" w:cs="Times New Roman"/>
        </w:rPr>
        <w:br/>
      </w:r>
      <w:r w:rsidRPr="00954A59">
        <w:rPr>
          <w:rFonts w:ascii="Times New Roman" w:hAnsi="Times New Roman" w:cs="Times New Roman"/>
          <w:b/>
          <w:bCs/>
        </w:rPr>
        <w:t>From:</w:t>
      </w:r>
      <w:r w:rsidRPr="00954A59">
        <w:rPr>
          <w:rFonts w:ascii="Times New Roman" w:hAnsi="Times New Roman" w:cs="Times New Roman"/>
        </w:rPr>
        <w:t xml:space="preserve"> Sooyoun Kim</w:t>
      </w:r>
      <w:r w:rsidRPr="00954A59">
        <w:rPr>
          <w:rFonts w:ascii="Times New Roman" w:hAnsi="Times New Roman" w:cs="Times New Roman"/>
        </w:rPr>
        <w:br/>
      </w:r>
      <w:r w:rsidRPr="00954A59">
        <w:rPr>
          <w:rFonts w:ascii="Times New Roman" w:hAnsi="Times New Roman" w:cs="Times New Roman"/>
          <w:b/>
          <w:bCs/>
        </w:rPr>
        <w:t xml:space="preserve">Date: </w:t>
      </w:r>
      <w:r w:rsidR="00CE46A8">
        <w:rPr>
          <w:rFonts w:ascii="Times New Roman" w:hAnsi="Times New Roman" w:cs="Times New Roman" w:hint="eastAsia"/>
        </w:rPr>
        <w:t>13</w:t>
      </w:r>
      <w:r w:rsidRPr="00954A59">
        <w:rPr>
          <w:rFonts w:ascii="Times New Roman" w:hAnsi="Times New Roman" w:cs="Times New Roman"/>
        </w:rPr>
        <w:t xml:space="preserve"> September 2026</w:t>
      </w:r>
      <w:r w:rsidRPr="00954A59">
        <w:rPr>
          <w:rFonts w:ascii="Times New Roman" w:hAnsi="Times New Roman" w:cs="Times New Roman"/>
          <w:b/>
          <w:bCs/>
        </w:rPr>
        <w:br/>
        <w:t xml:space="preserve">Subject: </w:t>
      </w:r>
      <w:r w:rsidRPr="00954A59">
        <w:rPr>
          <w:rFonts w:ascii="Times New Roman" w:hAnsi="Times New Roman" w:cs="Times New Roman"/>
        </w:rPr>
        <w:t>Piloting an ICT Employer Co-Funding and Engagement Subsidy</w:t>
      </w:r>
    </w:p>
    <w:p w14:paraId="0937A238" w14:textId="77777777" w:rsidR="00954A59" w:rsidRPr="00954A59" w:rsidRDefault="00954A59" w:rsidP="0049454B">
      <w:pPr>
        <w:rPr>
          <w:rFonts w:ascii="Times New Roman" w:hAnsi="Times New Roman" w:cs="Times New Roman"/>
          <w:b/>
          <w:bCs/>
        </w:rPr>
      </w:pPr>
    </w:p>
    <w:p w14:paraId="2B9F3D2D" w14:textId="2F158AA9" w:rsidR="00B95C39" w:rsidRPr="006D4540" w:rsidRDefault="00B95C39" w:rsidP="0049454B">
      <w:pPr>
        <w:rPr>
          <w:rFonts w:ascii="Times New Roman" w:hAnsi="Times New Roman" w:cs="Times New Roman"/>
          <w:b/>
          <w:bCs/>
          <w:lang w:val="en-US"/>
        </w:rPr>
      </w:pPr>
      <w:r w:rsidRPr="006D4540">
        <w:rPr>
          <w:rFonts w:ascii="Times New Roman" w:hAnsi="Times New Roman" w:cs="Times New Roman"/>
          <w:b/>
          <w:bCs/>
          <w:lang w:val="en-US"/>
        </w:rPr>
        <w:t xml:space="preserve">Summary: </w:t>
      </w:r>
    </w:p>
    <w:p w14:paraId="07A26AE2" w14:textId="22915DAB" w:rsidR="00601A78" w:rsidRDefault="000053E3" w:rsidP="0049454B">
      <w:pPr>
        <w:rPr>
          <w:rFonts w:ascii="Times New Roman" w:eastAsia="Times New Roman" w:hAnsi="Times New Roman" w:cs="Times New Roman"/>
          <w:kern w:val="0"/>
          <w14:ligatures w14:val="none"/>
        </w:rPr>
      </w:pPr>
      <w:r w:rsidRPr="000053E3">
        <w:rPr>
          <w:rFonts w:ascii="Times New Roman" w:eastAsia="Times New Roman" w:hAnsi="Times New Roman" w:cs="Times New Roman"/>
          <w:kern w:val="0"/>
          <w:lang w:eastAsia="ja-JP"/>
          <w14:ligatures w14:val="none"/>
        </w:rPr>
        <w:t>Brunei’s hydrocarbon dependence exposes its growth and revenues to external shocks. Diversification has so far relied heavily on downstream oil and gas, limiting the shift away from hydrocarbons. Meanwhile, deepening economic ties with China alongside security cooperation with the United States could leave Brunei vulnerable to disruptions in trade and investment arising from great-power rivalry, even when it is not directly targeted. Building non-hydrocarbon capabilities would broaden its income base and strengthen economic resilience. ICT offers a promising starting point because it can support productivity across other priority sectors, but persistent skills mismatches constrain its development. This memo recommends piloting an ICT Employer Co-Funding and Engagement Subsidy to test whether matching support for firms’ verified contributions to training design and delivery can increase employer participation and improve alignment between skills provision and industry needs.</w:t>
      </w:r>
    </w:p>
    <w:p w14:paraId="0637A832" w14:textId="77777777" w:rsidR="000053E3" w:rsidRPr="007B0DE9" w:rsidRDefault="000053E3" w:rsidP="0049454B">
      <w:pPr>
        <w:rPr>
          <w:rFonts w:ascii="Times New Roman" w:hAnsi="Times New Roman" w:cs="Times New Roman"/>
          <w:lang w:val="en-US"/>
        </w:rPr>
      </w:pPr>
    </w:p>
    <w:p w14:paraId="0CB6006B" w14:textId="27B8A079" w:rsidR="00C65747" w:rsidRPr="006D4540" w:rsidRDefault="000E2D6F" w:rsidP="0049454B">
      <w:pPr>
        <w:rPr>
          <w:rFonts w:ascii="Times New Roman" w:hAnsi="Times New Roman" w:cs="Times New Roman"/>
          <w:b/>
          <w:bCs/>
          <w:lang w:val="en-US"/>
        </w:rPr>
      </w:pPr>
      <w:r w:rsidRPr="006D4540">
        <w:rPr>
          <w:rFonts w:ascii="Times New Roman" w:hAnsi="Times New Roman" w:cs="Times New Roman"/>
          <w:b/>
          <w:bCs/>
          <w:lang w:val="en-US"/>
        </w:rPr>
        <w:t xml:space="preserve">Background: </w:t>
      </w:r>
    </w:p>
    <w:p w14:paraId="47F9DB59" w14:textId="66B437E2" w:rsidR="006617F1" w:rsidRDefault="006617F1" w:rsidP="0049454B">
      <w:pPr>
        <w:outlineLvl w:val="3"/>
        <w:rPr>
          <w:rFonts w:ascii="Times New Roman" w:eastAsia="Times New Roman" w:hAnsi="Times New Roman" w:cs="Times New Roman"/>
          <w:kern w:val="0"/>
          <w:lang w:eastAsia="ja-JP"/>
          <w14:ligatures w14:val="none"/>
        </w:rPr>
      </w:pPr>
      <w:r w:rsidRPr="00921D23">
        <w:rPr>
          <w:rFonts w:ascii="Times New Roman" w:eastAsia="Times New Roman" w:hAnsi="Times New Roman" w:cs="Times New Roman"/>
          <w:kern w:val="0"/>
          <w:lang w:eastAsia="ja-JP"/>
          <w14:ligatures w14:val="none"/>
        </w:rPr>
        <w:t xml:space="preserve">Under Wawasan Brunei 2035 the government identified five priority sectors: downstream oil and gas, food, services, tourism and ICT. One of the five is itself hydrocarbon-based, and downstream activity has driven the bulk of recent export diversification, </w:t>
      </w:r>
      <w:r w:rsidRPr="0049454B">
        <w:rPr>
          <w:rFonts w:ascii="Times New Roman" w:eastAsia="Times New Roman" w:hAnsi="Times New Roman" w:cs="Times New Roman"/>
          <w:kern w:val="0"/>
          <w:lang w:eastAsia="ja-JP"/>
          <w14:ligatures w14:val="none"/>
        </w:rPr>
        <w:t xml:space="preserve">from </w:t>
      </w:r>
      <w:r w:rsidR="00042B6A">
        <w:rPr>
          <w:rFonts w:ascii="Times New Roman" w:eastAsia="Times New Roman" w:hAnsi="Times New Roman" w:cs="Times New Roman"/>
          <w:kern w:val="0"/>
          <w:lang w:eastAsia="ja-JP"/>
          <w14:ligatures w14:val="none"/>
        </w:rPr>
        <w:t>1.8</w:t>
      </w:r>
      <w:r w:rsidRPr="0049454B">
        <w:rPr>
          <w:rFonts w:ascii="Times New Roman" w:eastAsia="Times New Roman" w:hAnsi="Times New Roman" w:cs="Times New Roman"/>
          <w:kern w:val="0"/>
          <w:lang w:eastAsia="ja-JP"/>
          <w14:ligatures w14:val="none"/>
        </w:rPr>
        <w:t>% of exports in 201</w:t>
      </w:r>
      <w:r w:rsidR="00042B6A">
        <w:rPr>
          <w:rFonts w:ascii="Times New Roman" w:eastAsia="Times New Roman" w:hAnsi="Times New Roman" w:cs="Times New Roman"/>
          <w:kern w:val="0"/>
          <w:lang w:eastAsia="ja-JP"/>
          <w14:ligatures w14:val="none"/>
        </w:rPr>
        <w:t>9</w:t>
      </w:r>
      <w:r w:rsidRPr="0049454B">
        <w:rPr>
          <w:rFonts w:ascii="Times New Roman" w:eastAsia="Times New Roman" w:hAnsi="Times New Roman" w:cs="Times New Roman"/>
          <w:kern w:val="0"/>
          <w:lang w:eastAsia="ja-JP"/>
          <w14:ligatures w14:val="none"/>
        </w:rPr>
        <w:t xml:space="preserve"> to 1</w:t>
      </w:r>
      <w:r w:rsidR="00042B6A">
        <w:rPr>
          <w:rFonts w:ascii="Times New Roman" w:eastAsia="Times New Roman" w:hAnsi="Times New Roman" w:cs="Times New Roman"/>
          <w:kern w:val="0"/>
          <w:lang w:eastAsia="ja-JP"/>
          <w14:ligatures w14:val="none"/>
        </w:rPr>
        <w:t>7.5</w:t>
      </w:r>
      <w:r w:rsidRPr="0049454B">
        <w:rPr>
          <w:rFonts w:ascii="Times New Roman" w:eastAsia="Times New Roman" w:hAnsi="Times New Roman" w:cs="Times New Roman"/>
          <w:kern w:val="0"/>
          <w:lang w:eastAsia="ja-JP"/>
          <w14:ligatures w14:val="none"/>
        </w:rPr>
        <w:t>% in 202</w:t>
      </w:r>
      <w:r w:rsidR="00042B6A">
        <w:rPr>
          <w:rFonts w:ascii="Times New Roman" w:eastAsia="Times New Roman" w:hAnsi="Times New Roman" w:cs="Times New Roman"/>
          <w:kern w:val="0"/>
          <w:lang w:eastAsia="ja-JP"/>
          <w14:ligatures w14:val="none"/>
        </w:rPr>
        <w:t>2</w:t>
      </w:r>
      <w:r w:rsidRPr="00921D23">
        <w:rPr>
          <w:rFonts w:ascii="Times New Roman" w:eastAsia="Times New Roman" w:hAnsi="Times New Roman" w:cs="Times New Roman"/>
          <w:kern w:val="0"/>
          <w:lang w:eastAsia="ja-JP"/>
          <w14:ligatures w14:val="none"/>
        </w:rPr>
        <w:t xml:space="preserve">. Brunei's non-hydrocarbon </w:t>
      </w:r>
      <w:r>
        <w:rPr>
          <w:rFonts w:ascii="Times New Roman" w:eastAsia="Times New Roman" w:hAnsi="Times New Roman" w:cs="Times New Roman"/>
          <w:kern w:val="0"/>
          <w:lang w:eastAsia="ja-JP"/>
          <w14:ligatures w14:val="none"/>
        </w:rPr>
        <w:t>industries</w:t>
      </w:r>
      <w:r w:rsidRPr="00921D23">
        <w:rPr>
          <w:rFonts w:ascii="Times New Roman" w:eastAsia="Times New Roman" w:hAnsi="Times New Roman" w:cs="Times New Roman"/>
          <w:kern w:val="0"/>
          <w:lang w:eastAsia="ja-JP"/>
          <w14:ligatures w14:val="none"/>
        </w:rPr>
        <w:t xml:space="preserve"> </w:t>
      </w:r>
      <w:r>
        <w:rPr>
          <w:rFonts w:ascii="Times New Roman" w:eastAsia="Times New Roman" w:hAnsi="Times New Roman" w:cs="Times New Roman"/>
          <w:kern w:val="0"/>
          <w:lang w:eastAsia="ja-JP"/>
          <w14:ligatures w14:val="none"/>
        </w:rPr>
        <w:t>are</w:t>
      </w:r>
      <w:r w:rsidR="0049454B">
        <w:rPr>
          <w:rFonts w:ascii="Times New Roman" w:eastAsia="Times New Roman" w:hAnsi="Times New Roman" w:cs="Times New Roman"/>
          <w:kern w:val="0"/>
          <w:lang w:eastAsia="ja-JP"/>
          <w14:ligatures w14:val="none"/>
        </w:rPr>
        <w:t xml:space="preserve"> therefore still lagging</w:t>
      </w:r>
      <w:r>
        <w:rPr>
          <w:rFonts w:ascii="Times New Roman" w:eastAsia="Times New Roman" w:hAnsi="Times New Roman" w:cs="Times New Roman"/>
          <w:kern w:val="0"/>
          <w:lang w:eastAsia="ja-JP"/>
          <w14:ligatures w14:val="none"/>
        </w:rPr>
        <w:t>.</w:t>
      </w:r>
    </w:p>
    <w:p w14:paraId="6D536502" w14:textId="77777777" w:rsidR="0049454B" w:rsidRPr="00921D23" w:rsidRDefault="0049454B" w:rsidP="0049454B">
      <w:pPr>
        <w:outlineLvl w:val="3"/>
        <w:rPr>
          <w:rFonts w:ascii="Times New Roman" w:eastAsia="Times New Roman" w:hAnsi="Times New Roman" w:cs="Times New Roman"/>
          <w:kern w:val="0"/>
          <w:lang w:eastAsia="ja-JP"/>
          <w14:ligatures w14:val="none"/>
        </w:rPr>
      </w:pPr>
    </w:p>
    <w:p w14:paraId="18E2A15F" w14:textId="1FBB3C38" w:rsidR="00635D2A" w:rsidRDefault="00635D2A" w:rsidP="0091293F">
      <w:pPr>
        <w:pStyle w:val="NormalWeb"/>
        <w:spacing w:before="0" w:beforeAutospacing="0" w:after="0" w:afterAutospacing="0"/>
      </w:pPr>
      <w:r>
        <w:t>ICT is particularly important because it can raise productivity and expand market access across food, tourism, and services. Labour demand in the sector is already visible: ICT’s share of active job vacancies rose from 6.2% in 2024 to 13.7% in 2025 (ADB, 2026). Although this increase primarily indicates growing labour demand, the ADB’s separate finding of persistent difficulties in matching jobseekers with ICT vacancies suggests that part of this demand is not being met effectively.</w:t>
      </w:r>
    </w:p>
    <w:p w14:paraId="6954A507" w14:textId="77777777" w:rsidR="00635D2A" w:rsidRPr="00E7607E" w:rsidRDefault="00635D2A" w:rsidP="0091293F">
      <w:pPr>
        <w:pStyle w:val="NormalWeb"/>
        <w:spacing w:before="0" w:beforeAutospacing="0" w:after="0" w:afterAutospacing="0"/>
        <w:rPr>
          <w:rFonts w:ascii="Batang" w:eastAsia="Batang" w:hAnsi="Batang" w:cs="Batang"/>
          <w:lang w:val="en-US" w:eastAsia="ko-KR"/>
        </w:rPr>
      </w:pPr>
    </w:p>
    <w:p w14:paraId="436AC9BC" w14:textId="3B1E5039" w:rsidR="00635D2A" w:rsidRPr="00894A51" w:rsidRDefault="00096505" w:rsidP="0091293F">
      <w:pPr>
        <w:pStyle w:val="NormalWeb"/>
        <w:spacing w:before="0" w:beforeAutospacing="0" w:after="0" w:afterAutospacing="0"/>
      </w:pPr>
      <w:r w:rsidRPr="00894A51">
        <w:t>The skills constraint is also reflected in CSPS data, which show that ICT has the largest gap between the number of high-skilled occupations and tertiary-educated workers among the clusters assessed. Skills mismatches</w:t>
      </w:r>
      <w:r w:rsidR="002001F2">
        <w:rPr>
          <w:lang w:val="en-US"/>
        </w:rPr>
        <w:t xml:space="preserve"> may</w:t>
      </w:r>
      <w:r w:rsidRPr="00894A51">
        <w:t xml:space="preserve"> therefore be constraining the sector’s development. Brunei has introduced initiatives involving government agencies and industry to address this problem. The Digital Upskilling Training Programme, launched in July 2023 through the MISC Working Group for the ICT Sector</w:t>
      </w:r>
      <w:r w:rsidR="00894A51" w:rsidRPr="00894A51">
        <w:rPr>
          <w:lang w:eastAsia="ko-KR"/>
        </w:rPr>
        <w:t xml:space="preserve"> </w:t>
      </w:r>
      <w:r w:rsidRPr="00894A51">
        <w:t xml:space="preserve">and AITI, provided subsidised training for the local workforce and jobseekers until the programme concluded in </w:t>
      </w:r>
      <w:r w:rsidR="007B0DE9">
        <w:t xml:space="preserve">March </w:t>
      </w:r>
      <w:r w:rsidRPr="00894A51">
        <w:t>2026.</w:t>
      </w:r>
    </w:p>
    <w:p w14:paraId="239CACBE" w14:textId="77777777" w:rsidR="00096505" w:rsidRDefault="00096505" w:rsidP="0091293F">
      <w:pPr>
        <w:pStyle w:val="NormalWeb"/>
        <w:spacing w:before="0" w:beforeAutospacing="0" w:after="0" w:afterAutospacing="0"/>
        <w:rPr>
          <w:lang w:eastAsia="ko-KR"/>
        </w:rPr>
      </w:pPr>
    </w:p>
    <w:p w14:paraId="1108B807" w14:textId="1EC7B6D8" w:rsidR="00096505" w:rsidRPr="007B0DE9" w:rsidRDefault="00096505" w:rsidP="0049454B">
      <w:pPr>
        <w:rPr>
          <w:rFonts w:ascii="Times New Roman" w:eastAsia="Times New Roman" w:hAnsi="Times New Roman" w:cs="Times New Roman"/>
          <w:kern w:val="0"/>
          <w:lang w:val="en-US"/>
          <w14:ligatures w14:val="none"/>
        </w:rPr>
      </w:pPr>
      <w:r w:rsidRPr="00096505">
        <w:rPr>
          <w:rFonts w:ascii="Times New Roman" w:eastAsia="Times New Roman" w:hAnsi="Times New Roman" w:cs="Times New Roman"/>
          <w:kern w:val="0"/>
          <w:lang w:eastAsia="ja-JP"/>
          <w14:ligatures w14:val="none"/>
        </w:rPr>
        <w:t xml:space="preserve">Despite these initiatives, the mismatch persists, and limited employer engagement may be one contributing factor. Employer participation in the design and delivery of training is one mechanism through which training provision can be aligned more closely with industry needs. The ASEAN Secretariat (2021) rated business involvement in equipment provision, curriculum development, and national and local TVET bodies as low, with scores ranging from 1.77 to 2.42 on a five-point scale. </w:t>
      </w:r>
    </w:p>
    <w:p w14:paraId="68C8BDC5" w14:textId="77BD7F5D" w:rsidR="00096505" w:rsidRDefault="003219E7" w:rsidP="0049454B">
      <w:pPr>
        <w:rPr>
          <w:rFonts w:ascii="Times New Roman" w:eastAsia="Times New Roman" w:hAnsi="Times New Roman" w:cs="Times New Roman"/>
          <w:kern w:val="0"/>
          <w14:ligatures w14:val="none"/>
        </w:rPr>
      </w:pPr>
      <w:r w:rsidRPr="003219E7">
        <w:rPr>
          <w:rFonts w:ascii="Times New Roman" w:eastAsia="Times New Roman" w:hAnsi="Times New Roman" w:cs="Times New Roman"/>
          <w:kern w:val="0"/>
          <w14:ligatures w14:val="none"/>
        </w:rPr>
        <w:lastRenderedPageBreak/>
        <w:t>Existing ICT training support subsidised participation in external courses but did not directly incentivise firms to contribute to curriculum development, equipment or software provision, workplace placements, or training delivery. Strengthening employer participation is now a priority as ICT labour demand rises and persistent skills mismatches risk constraining both ICT growth and digital development across other non-hydrocarbon sectors. With the Digital Upskilling Training Programme having concluded, Brunei has an opportunity to review how future support could encourage such participation through the existing MISC-WG ICT–AITI institutional framework.</w:t>
      </w:r>
    </w:p>
    <w:p w14:paraId="1CFEBCBC" w14:textId="77777777" w:rsidR="003219E7" w:rsidRPr="006D4540" w:rsidRDefault="003219E7" w:rsidP="0049454B">
      <w:pPr>
        <w:rPr>
          <w:rFonts w:ascii="Times New Roman" w:hAnsi="Times New Roman" w:cs="Times New Roman"/>
        </w:rPr>
      </w:pPr>
    </w:p>
    <w:p w14:paraId="1BEB3C47" w14:textId="77777777" w:rsidR="0049454B" w:rsidRPr="00894A51" w:rsidRDefault="0049454B" w:rsidP="00894A51">
      <w:pPr>
        <w:rPr>
          <w:rFonts w:ascii="Times New Roman" w:hAnsi="Times New Roman" w:cs="Times New Roman"/>
          <w:b/>
          <w:bCs/>
          <w:lang w:val="en-US"/>
        </w:rPr>
      </w:pPr>
      <w:r w:rsidRPr="00894A51">
        <w:rPr>
          <w:rFonts w:ascii="Times New Roman" w:hAnsi="Times New Roman" w:cs="Times New Roman"/>
          <w:b/>
          <w:bCs/>
          <w:lang w:val="en-US"/>
        </w:rPr>
        <w:t xml:space="preserve">Analysis / Options: </w:t>
      </w:r>
    </w:p>
    <w:p w14:paraId="243C9F2C" w14:textId="799BCCF8" w:rsidR="00954A59" w:rsidRPr="00954A59" w:rsidRDefault="00954A59" w:rsidP="00954A59">
      <w:pPr>
        <w:pStyle w:val="ListParagraph"/>
        <w:numPr>
          <w:ilvl w:val="0"/>
          <w:numId w:val="31"/>
        </w:numPr>
        <w:rPr>
          <w:rFonts w:ascii="Times New Roman" w:hAnsi="Times New Roman" w:cs="Times New Roman"/>
          <w:b/>
          <w:bCs/>
        </w:rPr>
      </w:pPr>
      <w:r w:rsidRPr="00954A59">
        <w:rPr>
          <w:rFonts w:ascii="Times New Roman" w:hAnsi="Times New Roman" w:cs="Times New Roman"/>
          <w:b/>
          <w:bCs/>
        </w:rPr>
        <w:t>Introduce a Training Levy-and-Rebate Scheme</w:t>
      </w:r>
    </w:p>
    <w:p w14:paraId="44B32517" w14:textId="20EF4C8A" w:rsidR="00954A59" w:rsidRPr="00954A59" w:rsidRDefault="00954A59" w:rsidP="00954A59">
      <w:pPr>
        <w:ind w:left="360"/>
        <w:rPr>
          <w:rFonts w:ascii="Times New Roman" w:hAnsi="Times New Roman" w:cs="Times New Roman"/>
        </w:rPr>
      </w:pPr>
      <w:r w:rsidRPr="00954A59">
        <w:rPr>
          <w:rFonts w:ascii="Times New Roman" w:hAnsi="Times New Roman" w:cs="Times New Roman"/>
          <w:b/>
          <w:bCs/>
        </w:rPr>
        <w:t>Pros:</w:t>
      </w:r>
      <w:r w:rsidRPr="00954A59">
        <w:rPr>
          <w:rFonts w:ascii="Times New Roman" w:hAnsi="Times New Roman" w:cs="Times New Roman"/>
        </w:rPr>
        <w:t xml:space="preserve"> Provides stable training funds, rewards participating firms, and reduces free-riding.</w:t>
      </w:r>
      <w:r w:rsidRPr="00954A59">
        <w:rPr>
          <w:rFonts w:ascii="Times New Roman" w:hAnsi="Times New Roman" w:cs="Times New Roman"/>
        </w:rPr>
        <w:br/>
      </w:r>
      <w:r w:rsidRPr="00954A59">
        <w:rPr>
          <w:rFonts w:ascii="Times New Roman" w:hAnsi="Times New Roman" w:cs="Times New Roman"/>
          <w:b/>
          <w:bCs/>
        </w:rPr>
        <w:t>Cons:</w:t>
      </w:r>
      <w:r w:rsidRPr="00954A59">
        <w:rPr>
          <w:rFonts w:ascii="Times New Roman" w:hAnsi="Times New Roman" w:cs="Times New Roman"/>
        </w:rPr>
        <w:t xml:space="preserve"> </w:t>
      </w:r>
      <w:r w:rsidR="002001F2">
        <w:rPr>
          <w:rFonts w:ascii="Times New Roman" w:hAnsi="Times New Roman" w:cs="Times New Roman"/>
        </w:rPr>
        <w:t>May conflict</w:t>
      </w:r>
      <w:r w:rsidRPr="00954A59">
        <w:rPr>
          <w:rFonts w:ascii="Times New Roman" w:hAnsi="Times New Roman" w:cs="Times New Roman"/>
        </w:rPr>
        <w:t xml:space="preserve"> with Brunei’s low-tax environment and may disproportionately burden MSMEs.</w:t>
      </w:r>
    </w:p>
    <w:p w14:paraId="27A2AF7C" w14:textId="29233965" w:rsidR="00954A59" w:rsidRPr="00954A59" w:rsidRDefault="00954A59" w:rsidP="00954A59">
      <w:pPr>
        <w:pStyle w:val="ListParagraph"/>
        <w:numPr>
          <w:ilvl w:val="0"/>
          <w:numId w:val="31"/>
        </w:numPr>
        <w:rPr>
          <w:rFonts w:ascii="Times New Roman" w:hAnsi="Times New Roman" w:cs="Times New Roman"/>
          <w:b/>
          <w:bCs/>
        </w:rPr>
      </w:pPr>
      <w:r w:rsidRPr="00954A59">
        <w:rPr>
          <w:rFonts w:ascii="Times New Roman" w:hAnsi="Times New Roman" w:cs="Times New Roman"/>
          <w:b/>
          <w:bCs/>
        </w:rPr>
        <w:t>Pilot an ICT Employer Co-Funding and Engagement Subsidy</w:t>
      </w:r>
    </w:p>
    <w:p w14:paraId="2732F081" w14:textId="77777777" w:rsidR="00954A59" w:rsidRPr="00954A59" w:rsidRDefault="00954A59" w:rsidP="00954A59">
      <w:pPr>
        <w:ind w:left="360"/>
        <w:rPr>
          <w:rFonts w:ascii="Times New Roman" w:hAnsi="Times New Roman" w:cs="Times New Roman"/>
        </w:rPr>
      </w:pPr>
      <w:r w:rsidRPr="00954A59">
        <w:rPr>
          <w:rFonts w:ascii="Times New Roman" w:hAnsi="Times New Roman" w:cs="Times New Roman"/>
          <w:b/>
          <w:bCs/>
        </w:rPr>
        <w:t>Pros:</w:t>
      </w:r>
      <w:r w:rsidRPr="00954A59">
        <w:rPr>
          <w:rFonts w:ascii="Times New Roman" w:hAnsi="Times New Roman" w:cs="Times New Roman"/>
        </w:rPr>
        <w:t xml:space="preserve"> Voluntarily rewards verified employer contributions and could better align ICT training with industry needs through existing institutions.</w:t>
      </w:r>
      <w:r w:rsidRPr="00954A59">
        <w:rPr>
          <w:rFonts w:ascii="Times New Roman" w:hAnsi="Times New Roman" w:cs="Times New Roman"/>
        </w:rPr>
        <w:br/>
      </w:r>
      <w:r w:rsidRPr="00954A59">
        <w:rPr>
          <w:rFonts w:ascii="Times New Roman" w:hAnsi="Times New Roman" w:cs="Times New Roman"/>
          <w:b/>
          <w:bCs/>
        </w:rPr>
        <w:t>Cons:</w:t>
      </w:r>
      <w:r w:rsidRPr="00954A59">
        <w:rPr>
          <w:rFonts w:ascii="Times New Roman" w:hAnsi="Times New Roman" w:cs="Times New Roman"/>
        </w:rPr>
        <w:t xml:space="preserve"> Requires public funding and robust verification, and may favour larger firms with greater resources and administrative capacity.</w:t>
      </w:r>
    </w:p>
    <w:p w14:paraId="68415123" w14:textId="5C134BD3" w:rsidR="00954A59" w:rsidRPr="00954A59" w:rsidRDefault="00954A59" w:rsidP="00954A59">
      <w:pPr>
        <w:pStyle w:val="ListParagraph"/>
        <w:numPr>
          <w:ilvl w:val="0"/>
          <w:numId w:val="31"/>
        </w:numPr>
        <w:rPr>
          <w:rFonts w:ascii="Times New Roman" w:hAnsi="Times New Roman" w:cs="Times New Roman"/>
          <w:b/>
          <w:bCs/>
        </w:rPr>
      </w:pPr>
      <w:r w:rsidRPr="00954A59">
        <w:rPr>
          <w:rFonts w:ascii="Times New Roman" w:hAnsi="Times New Roman" w:cs="Times New Roman"/>
          <w:b/>
          <w:bCs/>
        </w:rPr>
        <w:t>Strengthen Industry–Training Coordination Without Financial Incentives</w:t>
      </w:r>
    </w:p>
    <w:p w14:paraId="2CD2A879" w14:textId="77777777" w:rsidR="00954A59" w:rsidRPr="00954A59" w:rsidRDefault="00954A59" w:rsidP="00954A59">
      <w:pPr>
        <w:ind w:left="360"/>
        <w:rPr>
          <w:rFonts w:ascii="Times New Roman" w:hAnsi="Times New Roman" w:cs="Times New Roman"/>
        </w:rPr>
      </w:pPr>
      <w:r w:rsidRPr="00954A59">
        <w:rPr>
          <w:rFonts w:ascii="Times New Roman" w:hAnsi="Times New Roman" w:cs="Times New Roman"/>
          <w:b/>
          <w:bCs/>
        </w:rPr>
        <w:t>Pros:</w:t>
      </w:r>
      <w:r w:rsidRPr="00954A59">
        <w:rPr>
          <w:rFonts w:ascii="Times New Roman" w:hAnsi="Times New Roman" w:cs="Times New Roman"/>
        </w:rPr>
        <w:t xml:space="preserve"> Uses existing institutions to strengthen partnerships at relatively low fiscal cost.</w:t>
      </w:r>
      <w:r w:rsidRPr="00954A59">
        <w:rPr>
          <w:rFonts w:ascii="Times New Roman" w:hAnsi="Times New Roman" w:cs="Times New Roman"/>
        </w:rPr>
        <w:br/>
      </w:r>
      <w:r w:rsidRPr="00954A59">
        <w:rPr>
          <w:rFonts w:ascii="Times New Roman" w:hAnsi="Times New Roman" w:cs="Times New Roman"/>
          <w:b/>
          <w:bCs/>
        </w:rPr>
        <w:t>Cons:</w:t>
      </w:r>
      <w:r w:rsidRPr="00954A59">
        <w:rPr>
          <w:rFonts w:ascii="Times New Roman" w:hAnsi="Times New Roman" w:cs="Times New Roman"/>
        </w:rPr>
        <w:t xml:space="preserve"> May improve coordination without giving firms sufficient incentive to commit resources to training design and delivery.</w:t>
      </w:r>
    </w:p>
    <w:p w14:paraId="56B73F6D" w14:textId="77777777" w:rsidR="0049454B" w:rsidRPr="00954A59" w:rsidRDefault="0049454B" w:rsidP="00954A59">
      <w:pPr>
        <w:ind w:left="360"/>
        <w:rPr>
          <w:rFonts w:ascii="Times New Roman" w:hAnsi="Times New Roman" w:cs="Times New Roman"/>
        </w:rPr>
      </w:pPr>
    </w:p>
    <w:p w14:paraId="7815E34F" w14:textId="235ABBE0" w:rsidR="004215D5" w:rsidRPr="004215D5" w:rsidRDefault="004215D5" w:rsidP="004215D5">
      <w:pPr>
        <w:outlineLvl w:val="1"/>
        <w:rPr>
          <w:rFonts w:ascii="Times New Roman" w:hAnsi="Times New Roman" w:cs="Times New Roman"/>
          <w:b/>
          <w:bCs/>
        </w:rPr>
      </w:pPr>
      <w:r w:rsidRPr="004215D5">
        <w:rPr>
          <w:rFonts w:ascii="Times New Roman" w:hAnsi="Times New Roman" w:cs="Times New Roman"/>
          <w:b/>
          <w:bCs/>
        </w:rPr>
        <w:t>Recommendation</w:t>
      </w:r>
    </w:p>
    <w:p w14:paraId="4450A4C4" w14:textId="1758069A" w:rsidR="003219E7" w:rsidRDefault="003219E7" w:rsidP="00954A59">
      <w:pPr>
        <w:outlineLvl w:val="1"/>
        <w:rPr>
          <w:rFonts w:ascii="Times New Roman" w:hAnsi="Times New Roman" w:cs="Times New Roman"/>
        </w:rPr>
      </w:pPr>
      <w:r w:rsidRPr="003219E7">
        <w:rPr>
          <w:rFonts w:ascii="Times New Roman" w:hAnsi="Times New Roman" w:cs="Times New Roman"/>
        </w:rPr>
        <w:t xml:space="preserve">Option 2 should be prioritised because it offers a direct financial incentive for employer engagement without imposing a compulsory levy that may conflict with Brunei’s low-tax environment. While coordination alone would cost less, it may not sufficiently motivate firms to commit resources to training design and delivery. </w:t>
      </w:r>
    </w:p>
    <w:p w14:paraId="148C7B3E" w14:textId="77777777" w:rsidR="002001F2" w:rsidRPr="00954A59" w:rsidRDefault="002001F2" w:rsidP="00954A59">
      <w:pPr>
        <w:outlineLvl w:val="1"/>
        <w:rPr>
          <w:rFonts w:ascii="Times New Roman" w:hAnsi="Times New Roman" w:cs="Times New Roman"/>
        </w:rPr>
      </w:pPr>
    </w:p>
    <w:p w14:paraId="0D0B4523" w14:textId="79930342" w:rsidR="00954A59" w:rsidRDefault="00954A59" w:rsidP="00954A59">
      <w:pPr>
        <w:outlineLvl w:val="1"/>
        <w:rPr>
          <w:rFonts w:ascii="Times New Roman" w:hAnsi="Times New Roman" w:cs="Times New Roman"/>
        </w:rPr>
      </w:pPr>
      <w:r w:rsidRPr="00954A59">
        <w:rPr>
          <w:rFonts w:ascii="Times New Roman" w:hAnsi="Times New Roman" w:cs="Times New Roman"/>
        </w:rPr>
        <w:t xml:space="preserve">Brunei should build on its existing ICT training support by piloting an ICT Employer Co-Funding and Engagement Subsidy. </w:t>
      </w:r>
      <w:r w:rsidR="00DD7409" w:rsidRPr="00DD7409">
        <w:rPr>
          <w:rFonts w:ascii="Times New Roman" w:hAnsi="Times New Roman" w:cs="Times New Roman"/>
        </w:rPr>
        <w:t>Under the proposed model, firms would bear an agreed share of the costs of curriculum development, equipment or software provision, workplace placements, and training delivery, through financial or verified in-kind contributions. The government would co-finance these activities through a matching subsidy, without covering their full cost.</w:t>
      </w:r>
    </w:p>
    <w:p w14:paraId="134860CE" w14:textId="77777777" w:rsidR="00DD7409" w:rsidRPr="00954A59" w:rsidRDefault="00DD7409" w:rsidP="00954A59">
      <w:pPr>
        <w:outlineLvl w:val="1"/>
        <w:rPr>
          <w:rFonts w:ascii="Times New Roman" w:hAnsi="Times New Roman" w:cs="Times New Roman"/>
        </w:rPr>
      </w:pPr>
    </w:p>
    <w:p w14:paraId="56DBF5CE" w14:textId="12DC6789" w:rsidR="00954A59" w:rsidRDefault="004D21F1" w:rsidP="00954A59">
      <w:pPr>
        <w:outlineLvl w:val="1"/>
        <w:rPr>
          <w:rFonts w:ascii="Times New Roman" w:hAnsi="Times New Roman" w:cs="Times New Roman"/>
        </w:rPr>
      </w:pPr>
      <w:r w:rsidRPr="004D21F1">
        <w:rPr>
          <w:rFonts w:ascii="Times New Roman" w:hAnsi="Times New Roman" w:cs="Times New Roman"/>
        </w:rPr>
        <w:t>Given the limited evidence on this model in ASEAN, the pilot should proceed only if an initial employer consultation confirms sufficient demand and indicates that matching support would materially influence firms’ willingness to contribute. A time-bound pilot with a predetermined budget ceiling should then assess whether employer participation and contributions increase relative to the pre-pilot baseline and whether the programme provides acceptable value for public expenditure.</w:t>
      </w:r>
    </w:p>
    <w:p w14:paraId="45F125D3" w14:textId="77777777" w:rsidR="004D21F1" w:rsidRDefault="004D21F1" w:rsidP="00954A59">
      <w:pPr>
        <w:outlineLvl w:val="1"/>
        <w:rPr>
          <w:rFonts w:ascii="Times New Roman" w:hAnsi="Times New Roman" w:cs="Times New Roman"/>
          <w:b/>
          <w:bCs/>
        </w:rPr>
      </w:pPr>
    </w:p>
    <w:p w14:paraId="1A7B684B" w14:textId="77777777" w:rsidR="00AC5D82" w:rsidRDefault="00AC5D82" w:rsidP="00954A59">
      <w:pPr>
        <w:outlineLvl w:val="1"/>
        <w:rPr>
          <w:rFonts w:ascii="Times New Roman" w:hAnsi="Times New Roman" w:cs="Times New Roman"/>
          <w:b/>
          <w:bCs/>
        </w:rPr>
      </w:pPr>
    </w:p>
    <w:p w14:paraId="003B5678" w14:textId="77777777" w:rsidR="00AC5D82" w:rsidRDefault="00AC5D82" w:rsidP="00954A59">
      <w:pPr>
        <w:outlineLvl w:val="1"/>
        <w:rPr>
          <w:rFonts w:ascii="Times New Roman" w:hAnsi="Times New Roman" w:cs="Times New Roman"/>
          <w:b/>
          <w:bCs/>
        </w:rPr>
      </w:pPr>
    </w:p>
    <w:p w14:paraId="286672AF" w14:textId="77777777" w:rsidR="00AC5D82" w:rsidRPr="00954A59" w:rsidRDefault="00AC5D82" w:rsidP="00954A59">
      <w:pPr>
        <w:outlineLvl w:val="1"/>
        <w:rPr>
          <w:rFonts w:ascii="Times New Roman" w:hAnsi="Times New Roman" w:cs="Times New Roman"/>
          <w:b/>
          <w:bCs/>
        </w:rPr>
      </w:pPr>
    </w:p>
    <w:p w14:paraId="03EF056A" w14:textId="77777777" w:rsidR="00FF4A8A" w:rsidRPr="00954A59" w:rsidRDefault="004215D5" w:rsidP="00FF4A8A">
      <w:pPr>
        <w:outlineLvl w:val="1"/>
        <w:rPr>
          <w:rFonts w:ascii="Times New Roman" w:eastAsia="Times New Roman" w:hAnsi="Times New Roman" w:cs="Times New Roman"/>
          <w:b/>
          <w:bCs/>
          <w:kern w:val="0"/>
          <w14:ligatures w14:val="none"/>
        </w:rPr>
      </w:pPr>
      <w:r w:rsidRPr="00954A59">
        <w:rPr>
          <w:rFonts w:ascii="Times New Roman" w:eastAsia="Times New Roman" w:hAnsi="Times New Roman" w:cs="Times New Roman"/>
          <w:b/>
          <w:bCs/>
          <w:kern w:val="0"/>
          <w:lang w:eastAsia="ja-JP"/>
          <w14:ligatures w14:val="none"/>
        </w:rPr>
        <w:lastRenderedPageBreak/>
        <w:t>Action Points</w:t>
      </w:r>
    </w:p>
    <w:p w14:paraId="676D4947" w14:textId="429EC33D" w:rsidR="00601A78" w:rsidRPr="00FF4A8A" w:rsidRDefault="00601A78" w:rsidP="00FF4A8A">
      <w:pPr>
        <w:pStyle w:val="ListParagraph"/>
        <w:numPr>
          <w:ilvl w:val="0"/>
          <w:numId w:val="28"/>
        </w:numPr>
        <w:outlineLvl w:val="1"/>
        <w:rPr>
          <w:rFonts w:ascii="Times New Roman" w:eastAsia="Times New Roman" w:hAnsi="Times New Roman" w:cs="Times New Roman"/>
          <w:b/>
          <w:bCs/>
          <w:kern w:val="0"/>
          <w:sz w:val="36"/>
          <w:szCs w:val="36"/>
          <w14:ligatures w14:val="none"/>
        </w:rPr>
      </w:pPr>
      <w:r w:rsidRPr="00FF4A8A">
        <w:rPr>
          <w:rFonts w:ascii="Times New Roman" w:eastAsia="Times New Roman" w:hAnsi="Times New Roman" w:cs="Times New Roman"/>
          <w:b/>
          <w:bCs/>
          <w:kern w:val="0"/>
          <w14:ligatures w14:val="none"/>
        </w:rPr>
        <w:t>Verify employer demand and responsiveness to financial incentives.</w:t>
      </w:r>
    </w:p>
    <w:p w14:paraId="71EEC9BE" w14:textId="2BE8CDDC" w:rsidR="00601A78" w:rsidRPr="00FF4A8A" w:rsidRDefault="00601A78" w:rsidP="00FF4A8A">
      <w:pPr>
        <w:pStyle w:val="ListParagraph"/>
        <w:ind w:left="360"/>
        <w:outlineLvl w:val="1"/>
        <w:rPr>
          <w:rFonts w:ascii="Times New Roman" w:eastAsia="Times New Roman" w:hAnsi="Times New Roman" w:cs="Times New Roman"/>
          <w:kern w:val="0"/>
          <w14:ligatures w14:val="none"/>
        </w:rPr>
      </w:pPr>
      <w:r w:rsidRPr="00FF4A8A">
        <w:rPr>
          <w:rFonts w:ascii="Times New Roman" w:eastAsia="Times New Roman" w:hAnsi="Times New Roman" w:cs="Times New Roman"/>
          <w:kern w:val="0"/>
          <w14:ligatures w14:val="none"/>
        </w:rPr>
        <w:t>Within four months, the MISC</w:t>
      </w:r>
      <w:r w:rsidR="00732D0D" w:rsidRPr="00FF4A8A">
        <w:rPr>
          <w:rFonts w:ascii="Times New Roman" w:eastAsia="Times New Roman" w:hAnsi="Times New Roman" w:cs="Times New Roman"/>
          <w:kern w:val="0"/>
          <w14:ligatures w14:val="none"/>
        </w:rPr>
        <w:t xml:space="preserve">-WG ICT </w:t>
      </w:r>
      <w:r w:rsidRPr="00FF4A8A">
        <w:rPr>
          <w:rFonts w:ascii="Times New Roman" w:eastAsia="Times New Roman" w:hAnsi="Times New Roman" w:cs="Times New Roman"/>
          <w:kern w:val="0"/>
          <w14:ligatures w14:val="none"/>
        </w:rPr>
        <w:t xml:space="preserve">should consult ICT firms, </w:t>
      </w:r>
      <w:r w:rsidR="00732D0D" w:rsidRPr="00FF4A8A">
        <w:rPr>
          <w:rFonts w:ascii="Times New Roman" w:eastAsia="Times New Roman" w:hAnsi="Times New Roman" w:cs="Times New Roman"/>
          <w:kern w:val="0"/>
          <w14:ligatures w14:val="none"/>
        </w:rPr>
        <w:t xml:space="preserve">and </w:t>
      </w:r>
      <w:r w:rsidRPr="00FF4A8A">
        <w:rPr>
          <w:rFonts w:ascii="Times New Roman" w:eastAsia="Times New Roman" w:hAnsi="Times New Roman" w:cs="Times New Roman"/>
          <w:kern w:val="0"/>
          <w14:ligatures w14:val="none"/>
        </w:rPr>
        <w:t>training providers to determine whether a performance-linked financial incentive would induce firms to make</w:t>
      </w:r>
      <w:r w:rsidR="00FF4A8A" w:rsidRPr="00FF4A8A">
        <w:rPr>
          <w:rFonts w:ascii="Times New Roman" w:eastAsia="Times New Roman" w:hAnsi="Times New Roman" w:cs="Times New Roman"/>
          <w:kern w:val="0"/>
          <w14:ligatures w14:val="none"/>
        </w:rPr>
        <w:t xml:space="preserve"> </w:t>
      </w:r>
      <w:r w:rsidRPr="00FF4A8A">
        <w:rPr>
          <w:rFonts w:ascii="Times New Roman" w:eastAsia="Times New Roman" w:hAnsi="Times New Roman" w:cs="Times New Roman"/>
          <w:kern w:val="0"/>
          <w14:ligatures w14:val="none"/>
        </w:rPr>
        <w:t>con</w:t>
      </w:r>
      <w:r w:rsidR="00732D0D" w:rsidRPr="00FF4A8A">
        <w:rPr>
          <w:rFonts w:ascii="Times New Roman" w:eastAsia="Times New Roman" w:hAnsi="Times New Roman" w:cs="Times New Roman"/>
          <w:kern w:val="0"/>
          <w14:ligatures w14:val="none"/>
        </w:rPr>
        <w:t>t</w:t>
      </w:r>
      <w:r w:rsidRPr="00FF4A8A">
        <w:rPr>
          <w:rFonts w:ascii="Times New Roman" w:eastAsia="Times New Roman" w:hAnsi="Times New Roman" w:cs="Times New Roman"/>
          <w:kern w:val="0"/>
          <w14:ligatures w14:val="none"/>
        </w:rPr>
        <w:t>ributions to curriculum development, equipment or software provision, workplace placements, and training delivery. AITI, as the Working Group’s secretariat, should coordinate the consultation.</w:t>
      </w:r>
    </w:p>
    <w:p w14:paraId="274E7ACE" w14:textId="77777777" w:rsidR="004215D5" w:rsidRPr="004215D5" w:rsidRDefault="004215D5" w:rsidP="00FF4A8A">
      <w:pPr>
        <w:numPr>
          <w:ilvl w:val="0"/>
          <w:numId w:val="28"/>
        </w:numPr>
        <w:rPr>
          <w:rFonts w:ascii="Times New Roman" w:eastAsia="Times New Roman" w:hAnsi="Times New Roman" w:cs="Times New Roman"/>
          <w:kern w:val="0"/>
          <w:lang w:eastAsia="ja-JP"/>
          <w14:ligatures w14:val="none"/>
        </w:rPr>
      </w:pPr>
      <w:r w:rsidRPr="004215D5">
        <w:rPr>
          <w:rFonts w:ascii="Times New Roman" w:eastAsia="Times New Roman" w:hAnsi="Times New Roman" w:cs="Times New Roman"/>
          <w:b/>
          <w:bCs/>
          <w:kern w:val="0"/>
          <w:lang w:eastAsia="ja-JP"/>
          <w14:ligatures w14:val="none"/>
        </w:rPr>
        <w:t>Define the pilot’s eligibility and co-funding rules.</w:t>
      </w:r>
      <w:r w:rsidRPr="004215D5">
        <w:rPr>
          <w:rFonts w:ascii="Times New Roman" w:eastAsia="Times New Roman" w:hAnsi="Times New Roman" w:cs="Times New Roman"/>
          <w:kern w:val="0"/>
          <w:lang w:eastAsia="ja-JP"/>
          <w14:ligatures w14:val="none"/>
        </w:rPr>
        <w:br/>
        <w:t>Based on the consultation, the Working Group should specify eligible firms, employees, training activities, and contribution rates. Employer contribution requirements should vary according to firm size, with lower minimum rates for MSMEs.</w:t>
      </w:r>
    </w:p>
    <w:p w14:paraId="08C9E98F" w14:textId="5D7C2A35" w:rsidR="004215D5" w:rsidRPr="004215D5" w:rsidRDefault="004215D5" w:rsidP="00FF4A8A">
      <w:pPr>
        <w:numPr>
          <w:ilvl w:val="0"/>
          <w:numId w:val="28"/>
        </w:numPr>
        <w:rPr>
          <w:rFonts w:ascii="Times New Roman" w:eastAsia="Times New Roman" w:hAnsi="Times New Roman" w:cs="Times New Roman"/>
          <w:kern w:val="0"/>
          <w:lang w:eastAsia="ja-JP"/>
          <w14:ligatures w14:val="none"/>
        </w:rPr>
      </w:pPr>
      <w:r w:rsidRPr="004215D5">
        <w:rPr>
          <w:rFonts w:ascii="Times New Roman" w:eastAsia="Times New Roman" w:hAnsi="Times New Roman" w:cs="Times New Roman"/>
          <w:b/>
          <w:bCs/>
          <w:kern w:val="0"/>
          <w:lang w:eastAsia="ja-JP"/>
          <w14:ligatures w14:val="none"/>
        </w:rPr>
        <w:t>Recogni</w:t>
      </w:r>
      <w:r w:rsidR="00FF4A8A">
        <w:rPr>
          <w:rFonts w:ascii="Times New Roman" w:eastAsia="Times New Roman" w:hAnsi="Times New Roman" w:cs="Times New Roman"/>
          <w:b/>
          <w:bCs/>
          <w:kern w:val="0"/>
          <w:lang w:eastAsia="ja-JP"/>
          <w14:ligatures w14:val="none"/>
        </w:rPr>
        <w:t>z</w:t>
      </w:r>
      <w:r w:rsidRPr="004215D5">
        <w:rPr>
          <w:rFonts w:ascii="Times New Roman" w:eastAsia="Times New Roman" w:hAnsi="Times New Roman" w:cs="Times New Roman"/>
          <w:b/>
          <w:bCs/>
          <w:kern w:val="0"/>
          <w:lang w:eastAsia="ja-JP"/>
          <w14:ligatures w14:val="none"/>
        </w:rPr>
        <w:t>e and verify in-kind contributions.</w:t>
      </w:r>
      <w:r w:rsidRPr="004215D5">
        <w:rPr>
          <w:rFonts w:ascii="Times New Roman" w:eastAsia="Times New Roman" w:hAnsi="Times New Roman" w:cs="Times New Roman"/>
          <w:kern w:val="0"/>
          <w:lang w:eastAsia="ja-JP"/>
          <w14:ligatures w14:val="none"/>
        </w:rPr>
        <w:br/>
        <w:t>Eligible contributions should include staff time devoted to curriculum development or training delivery, workplace placements, training facilities, equipment, and software licences. AITI should establish standard valuation and documentation rules to ensure that these contributions are verifiable and not overstated.</w:t>
      </w:r>
    </w:p>
    <w:p w14:paraId="0EC780D7" w14:textId="6D96E9EA" w:rsidR="00083081" w:rsidRDefault="004215D5" w:rsidP="00083081">
      <w:pPr>
        <w:numPr>
          <w:ilvl w:val="0"/>
          <w:numId w:val="28"/>
        </w:numPr>
        <w:rPr>
          <w:rFonts w:ascii="Times New Roman" w:eastAsia="Times New Roman" w:hAnsi="Times New Roman" w:cs="Times New Roman"/>
          <w:kern w:val="0"/>
          <w:lang w:eastAsia="ja-JP"/>
          <w14:ligatures w14:val="none"/>
        </w:rPr>
      </w:pPr>
      <w:r w:rsidRPr="004215D5">
        <w:rPr>
          <w:rFonts w:ascii="Times New Roman" w:eastAsia="Times New Roman" w:hAnsi="Times New Roman" w:cs="Times New Roman"/>
          <w:b/>
          <w:bCs/>
          <w:kern w:val="0"/>
          <w:lang w:eastAsia="ja-JP"/>
          <w14:ligatures w14:val="none"/>
        </w:rPr>
        <w:t>Establish a fixed-budget, time-bound pilot.</w:t>
      </w:r>
      <w:r w:rsidRPr="004215D5">
        <w:rPr>
          <w:rFonts w:ascii="Times New Roman" w:eastAsia="Times New Roman" w:hAnsi="Times New Roman" w:cs="Times New Roman"/>
          <w:kern w:val="0"/>
          <w:lang w:eastAsia="ja-JP"/>
          <w14:ligatures w14:val="none"/>
        </w:rPr>
        <w:br/>
        <w:t>Subject to approval by the relevant government budget authority, the subsidy should be tested through a 12-month pilot with a predetermined</w:t>
      </w:r>
      <w:r w:rsidR="004D21F1">
        <w:rPr>
          <w:rFonts w:ascii="Times New Roman" w:eastAsia="Times New Roman" w:hAnsi="Times New Roman" w:cs="Times New Roman"/>
          <w:kern w:val="0"/>
          <w:lang w:val="en-US" w:eastAsia="ja-JP"/>
          <w14:ligatures w14:val="none"/>
        </w:rPr>
        <w:t xml:space="preserve"> budget ceiling</w:t>
      </w:r>
      <w:r w:rsidRPr="004215D5">
        <w:rPr>
          <w:rFonts w:ascii="Times New Roman" w:eastAsia="Times New Roman" w:hAnsi="Times New Roman" w:cs="Times New Roman"/>
          <w:kern w:val="0"/>
          <w:lang w:eastAsia="ja-JP"/>
          <w14:ligatures w14:val="none"/>
        </w:rPr>
        <w:t xml:space="preserve">. AITI should administer and monitor the pilot under the oversight of the </w:t>
      </w:r>
      <w:r w:rsidR="00FF4A8A">
        <w:rPr>
          <w:rFonts w:ascii="Times New Roman" w:eastAsia="Times New Roman" w:hAnsi="Times New Roman" w:cs="Times New Roman"/>
          <w:kern w:val="0"/>
          <w:lang w:eastAsia="ja-JP"/>
          <w14:ligatures w14:val="none"/>
        </w:rPr>
        <w:t>MISC-WG ICT</w:t>
      </w:r>
      <w:r w:rsidRPr="004215D5">
        <w:rPr>
          <w:rFonts w:ascii="Times New Roman" w:eastAsia="Times New Roman" w:hAnsi="Times New Roman" w:cs="Times New Roman"/>
          <w:kern w:val="0"/>
          <w:lang w:eastAsia="ja-JP"/>
          <w14:ligatures w14:val="none"/>
        </w:rPr>
        <w:t>.</w:t>
      </w:r>
    </w:p>
    <w:p w14:paraId="28D1F1F5" w14:textId="77777777" w:rsidR="00083081" w:rsidRDefault="00083081" w:rsidP="00083081">
      <w:pPr>
        <w:numPr>
          <w:ilvl w:val="0"/>
          <w:numId w:val="28"/>
        </w:numPr>
        <w:rPr>
          <w:rFonts w:ascii="Times New Roman" w:eastAsia="Times New Roman" w:hAnsi="Times New Roman" w:cs="Times New Roman"/>
          <w:kern w:val="0"/>
          <w:lang w:eastAsia="ja-JP"/>
          <w14:ligatures w14:val="none"/>
        </w:rPr>
      </w:pPr>
      <w:r w:rsidRPr="00083081">
        <w:rPr>
          <w:rFonts w:ascii="Times New Roman" w:eastAsia="Times New Roman" w:hAnsi="Times New Roman" w:cs="Times New Roman"/>
          <w:b/>
          <w:bCs/>
          <w:kern w:val="0"/>
          <w:lang w:eastAsia="ja-JP"/>
          <w14:ligatures w14:val="none"/>
        </w:rPr>
        <w:t>Link the subsidy to verified employer engagement.</w:t>
      </w:r>
    </w:p>
    <w:p w14:paraId="00BA90EE" w14:textId="76B5E6C2" w:rsidR="00083081" w:rsidRPr="00DD7409" w:rsidRDefault="00083081" w:rsidP="00083081">
      <w:pPr>
        <w:ind w:left="360"/>
        <w:rPr>
          <w:rFonts w:ascii="Times New Roman" w:eastAsia="Times New Roman" w:hAnsi="Times New Roman" w:cs="Times New Roman"/>
          <w:kern w:val="0"/>
          <w14:ligatures w14:val="none"/>
        </w:rPr>
      </w:pPr>
      <w:r w:rsidRPr="00083081">
        <w:rPr>
          <w:rFonts w:ascii="Times New Roman" w:eastAsia="Times New Roman" w:hAnsi="Times New Roman" w:cs="Times New Roman"/>
          <w:kern w:val="0"/>
          <w:lang w:eastAsia="ja-JP"/>
          <w14:ligatures w14:val="none"/>
        </w:rPr>
        <w:t xml:space="preserve">Firms should </w:t>
      </w:r>
      <w:r w:rsidRPr="00894A51">
        <w:rPr>
          <w:rFonts w:ascii="Times New Roman" w:eastAsia="Times New Roman" w:hAnsi="Times New Roman" w:cs="Times New Roman"/>
          <w:kern w:val="0"/>
          <w:lang w:eastAsia="ja-JP"/>
          <w14:ligatures w14:val="none"/>
        </w:rPr>
        <w:t>qualify for matching support when they make verified financial</w:t>
      </w:r>
      <w:r w:rsidR="00DD7409">
        <w:rPr>
          <w:rFonts w:ascii="Times New Roman" w:eastAsia="Times New Roman" w:hAnsi="Times New Roman" w:cs="Times New Roman"/>
          <w:kern w:val="0"/>
          <w:lang w:eastAsia="ja-JP"/>
          <w14:ligatures w14:val="none"/>
        </w:rPr>
        <w:t xml:space="preserve"> and </w:t>
      </w:r>
      <w:r w:rsidRPr="00894A51">
        <w:rPr>
          <w:rFonts w:ascii="Times New Roman" w:eastAsia="Times New Roman" w:hAnsi="Times New Roman" w:cs="Times New Roman"/>
          <w:kern w:val="0"/>
          <w:lang w:eastAsia="ja-JP"/>
          <w14:ligatures w14:val="none"/>
        </w:rPr>
        <w:t xml:space="preserve">in-kind contributions to curriculum development, equipment or software provision, workplace placements, or training delivery. </w:t>
      </w:r>
    </w:p>
    <w:p w14:paraId="003371AB" w14:textId="77777777" w:rsidR="00894A51" w:rsidRPr="00894A51" w:rsidRDefault="00083081" w:rsidP="00AC5CED">
      <w:pPr>
        <w:pStyle w:val="ListParagraph"/>
        <w:numPr>
          <w:ilvl w:val="0"/>
          <w:numId w:val="28"/>
        </w:numPr>
        <w:rPr>
          <w:rFonts w:ascii="Times New Roman" w:eastAsia="Times New Roman" w:hAnsi="Times New Roman" w:cs="Times New Roman"/>
          <w:b/>
          <w:bCs/>
          <w:kern w:val="0"/>
          <w:lang w:eastAsia="ja-JP"/>
          <w14:ligatures w14:val="none"/>
        </w:rPr>
      </w:pPr>
      <w:r w:rsidRPr="00894A51">
        <w:rPr>
          <w:rFonts w:ascii="Times New Roman" w:hAnsi="Times New Roman" w:cs="Times New Roman"/>
          <w:b/>
          <w:bCs/>
        </w:rPr>
        <w:t>Evaluate the pilot before continuation or expansion.</w:t>
      </w:r>
    </w:p>
    <w:p w14:paraId="7FF128A3" w14:textId="7EA1EF6D" w:rsidR="00187741" w:rsidRPr="004D21F1" w:rsidRDefault="00894A51" w:rsidP="004D21F1">
      <w:pPr>
        <w:pStyle w:val="ListParagraph"/>
        <w:ind w:left="360"/>
        <w:rPr>
          <w:rFonts w:ascii="Times New Roman" w:eastAsia="Times New Roman" w:hAnsi="Times New Roman" w:cs="Times New Roman"/>
          <w:b/>
          <w:bCs/>
          <w:kern w:val="0"/>
          <w:lang w:eastAsia="ja-JP"/>
          <w14:ligatures w14:val="none"/>
        </w:rPr>
      </w:pPr>
      <w:r w:rsidRPr="00894A51">
        <w:rPr>
          <w:rFonts w:ascii="Times New Roman" w:hAnsi="Times New Roman" w:cs="Times New Roman"/>
        </w:rPr>
        <w:t>The evaluation should assess employer participation and contributions, training and employment outcomes, and cost-effectiveness against the pre-pilot baseline. The programme should continue or expand only if it demonstrates increased employer engagement and acceptable value for public expenditure.</w:t>
      </w:r>
    </w:p>
    <w:sectPr w:rsidR="00187741" w:rsidRPr="004D2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retendard">
    <w:panose1 w:val="02000503000000020004"/>
    <w:charset w:val="81"/>
    <w:family w:val="auto"/>
    <w:notTrueType/>
    <w:pitch w:val="variable"/>
    <w:sig w:usb0="E10002FF" w:usb1="1B57E5FF" w:usb2="04000011" w:usb3="00000000" w:csb0="0028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8501C"/>
    <w:multiLevelType w:val="multilevel"/>
    <w:tmpl w:val="F99A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B48E7"/>
    <w:multiLevelType w:val="hybridMultilevel"/>
    <w:tmpl w:val="736A3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C61BE"/>
    <w:multiLevelType w:val="hybridMultilevel"/>
    <w:tmpl w:val="23166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6F1C31"/>
    <w:multiLevelType w:val="hybridMultilevel"/>
    <w:tmpl w:val="318AD660"/>
    <w:lvl w:ilvl="0" w:tplc="E5441920">
      <w:start w:val="21"/>
      <w:numFmt w:val="bullet"/>
      <w:lvlText w:val="-"/>
      <w:lvlJc w:val="left"/>
      <w:pPr>
        <w:ind w:left="720" w:hanging="360"/>
      </w:pPr>
      <w:rPr>
        <w:rFonts w:ascii="Helvetica" w:eastAsia="Pretendard" w:hAnsi="Helvetic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B7E4D"/>
    <w:multiLevelType w:val="hybridMultilevel"/>
    <w:tmpl w:val="2B468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6537C9"/>
    <w:multiLevelType w:val="hybridMultilevel"/>
    <w:tmpl w:val="1D06E686"/>
    <w:lvl w:ilvl="0" w:tplc="707EF4FC">
      <w:start w:val="3"/>
      <w:numFmt w:val="bullet"/>
      <w:lvlText w:val=""/>
      <w:lvlJc w:val="left"/>
      <w:pPr>
        <w:ind w:left="420" w:hanging="360"/>
      </w:pPr>
      <w:rPr>
        <w:rFonts w:ascii="Wingdings" w:eastAsia="Pretendard" w:hAnsi="Wingdings" w:cs="Times New Roman (Body C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34AD19EA"/>
    <w:multiLevelType w:val="multilevel"/>
    <w:tmpl w:val="A3A0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120FE"/>
    <w:multiLevelType w:val="hybridMultilevel"/>
    <w:tmpl w:val="FBA0C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5C2961"/>
    <w:multiLevelType w:val="multilevel"/>
    <w:tmpl w:val="6908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B4ED4"/>
    <w:multiLevelType w:val="hybridMultilevel"/>
    <w:tmpl w:val="2FEE479E"/>
    <w:lvl w:ilvl="0" w:tplc="A5566278">
      <w:start w:val="21"/>
      <w:numFmt w:val="bullet"/>
      <w:lvlText w:val="-"/>
      <w:lvlJc w:val="left"/>
      <w:pPr>
        <w:ind w:left="720" w:hanging="360"/>
      </w:pPr>
      <w:rPr>
        <w:rFonts w:ascii="Helvetica" w:eastAsia="Pretendard" w:hAnsi="Helvetica"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174318"/>
    <w:multiLevelType w:val="multilevel"/>
    <w:tmpl w:val="46E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43B22"/>
    <w:multiLevelType w:val="hybridMultilevel"/>
    <w:tmpl w:val="AFAE35E8"/>
    <w:lvl w:ilvl="0" w:tplc="1508204A">
      <w:start w:val="1"/>
      <w:numFmt w:val="decimal"/>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C04D2"/>
    <w:multiLevelType w:val="multilevel"/>
    <w:tmpl w:val="224877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04221"/>
    <w:multiLevelType w:val="hybridMultilevel"/>
    <w:tmpl w:val="DBA87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2177CF"/>
    <w:multiLevelType w:val="multilevel"/>
    <w:tmpl w:val="3F96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C0E1C"/>
    <w:multiLevelType w:val="multilevel"/>
    <w:tmpl w:val="EC66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074B56"/>
    <w:multiLevelType w:val="hybridMultilevel"/>
    <w:tmpl w:val="DBACF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F903A2"/>
    <w:multiLevelType w:val="hybridMultilevel"/>
    <w:tmpl w:val="1D2A1336"/>
    <w:lvl w:ilvl="0" w:tplc="1508204A">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7560E2C"/>
    <w:multiLevelType w:val="hybridMultilevel"/>
    <w:tmpl w:val="C65891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73B83"/>
    <w:multiLevelType w:val="hybridMultilevel"/>
    <w:tmpl w:val="11F40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86B09"/>
    <w:multiLevelType w:val="multilevel"/>
    <w:tmpl w:val="121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E1C11"/>
    <w:multiLevelType w:val="multilevel"/>
    <w:tmpl w:val="F5E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A0B2C"/>
    <w:multiLevelType w:val="multilevel"/>
    <w:tmpl w:val="AB6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35922"/>
    <w:multiLevelType w:val="multilevel"/>
    <w:tmpl w:val="8074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7431DF"/>
    <w:multiLevelType w:val="hybridMultilevel"/>
    <w:tmpl w:val="8280D95C"/>
    <w:lvl w:ilvl="0" w:tplc="9FAE7A5C">
      <w:numFmt w:val="bullet"/>
      <w:lvlText w:val=""/>
      <w:lvlJc w:val="left"/>
      <w:pPr>
        <w:ind w:left="720" w:hanging="360"/>
      </w:pPr>
      <w:rPr>
        <w:rFonts w:ascii="Helvetica" w:eastAsia="Pretendard" w:hAnsi="Helvetic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404DA"/>
    <w:multiLevelType w:val="hybridMultilevel"/>
    <w:tmpl w:val="CE0E9CE8"/>
    <w:lvl w:ilvl="0" w:tplc="56567C7A">
      <w:numFmt w:val="bullet"/>
      <w:lvlText w:val=""/>
      <w:lvlJc w:val="left"/>
      <w:pPr>
        <w:ind w:left="720" w:hanging="360"/>
      </w:pPr>
      <w:rPr>
        <w:rFonts w:ascii="Helvetica" w:eastAsia="Pretendard" w:hAnsi="Helvetic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BD53A4"/>
    <w:multiLevelType w:val="hybridMultilevel"/>
    <w:tmpl w:val="11D812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F42DD9"/>
    <w:multiLevelType w:val="multilevel"/>
    <w:tmpl w:val="1B5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33C6D"/>
    <w:multiLevelType w:val="multilevel"/>
    <w:tmpl w:val="AB9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F27D1"/>
    <w:multiLevelType w:val="hybridMultilevel"/>
    <w:tmpl w:val="D7847CE4"/>
    <w:lvl w:ilvl="0" w:tplc="CB02966A">
      <w:numFmt w:val="bullet"/>
      <w:lvlText w:val=""/>
      <w:lvlJc w:val="left"/>
      <w:pPr>
        <w:ind w:left="720" w:hanging="360"/>
      </w:pPr>
      <w:rPr>
        <w:rFonts w:ascii="Helvetica" w:eastAsia="Pretendard" w:hAnsi="Helvetica"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00822"/>
    <w:multiLevelType w:val="hybridMultilevel"/>
    <w:tmpl w:val="1D7ED3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84406">
    <w:abstractNumId w:val="8"/>
  </w:num>
  <w:num w:numId="2" w16cid:durableId="2067141189">
    <w:abstractNumId w:val="0"/>
  </w:num>
  <w:num w:numId="3" w16cid:durableId="951938512">
    <w:abstractNumId w:val="12"/>
  </w:num>
  <w:num w:numId="4" w16cid:durableId="1634362958">
    <w:abstractNumId w:val="30"/>
  </w:num>
  <w:num w:numId="5" w16cid:durableId="108135563">
    <w:abstractNumId w:val="26"/>
  </w:num>
  <w:num w:numId="6" w16cid:durableId="1698463266">
    <w:abstractNumId w:val="5"/>
  </w:num>
  <w:num w:numId="7" w16cid:durableId="750931264">
    <w:abstractNumId w:val="22"/>
  </w:num>
  <w:num w:numId="8" w16cid:durableId="510949440">
    <w:abstractNumId w:val="20"/>
  </w:num>
  <w:num w:numId="9" w16cid:durableId="1209877672">
    <w:abstractNumId w:val="28"/>
  </w:num>
  <w:num w:numId="10" w16cid:durableId="1856075085">
    <w:abstractNumId w:val="13"/>
  </w:num>
  <w:num w:numId="11" w16cid:durableId="565190184">
    <w:abstractNumId w:val="6"/>
  </w:num>
  <w:num w:numId="12" w16cid:durableId="501553497">
    <w:abstractNumId w:val="14"/>
  </w:num>
  <w:num w:numId="13" w16cid:durableId="1356423583">
    <w:abstractNumId w:val="18"/>
  </w:num>
  <w:num w:numId="14" w16cid:durableId="682438119">
    <w:abstractNumId w:val="25"/>
  </w:num>
  <w:num w:numId="15" w16cid:durableId="1357930501">
    <w:abstractNumId w:val="29"/>
  </w:num>
  <w:num w:numId="16" w16cid:durableId="2091001359">
    <w:abstractNumId w:val="24"/>
  </w:num>
  <w:num w:numId="17" w16cid:durableId="1639920934">
    <w:abstractNumId w:val="7"/>
  </w:num>
  <w:num w:numId="18" w16cid:durableId="1319502572">
    <w:abstractNumId w:val="9"/>
  </w:num>
  <w:num w:numId="19" w16cid:durableId="2089114158">
    <w:abstractNumId w:val="3"/>
  </w:num>
  <w:num w:numId="20" w16cid:durableId="1214661842">
    <w:abstractNumId w:val="10"/>
  </w:num>
  <w:num w:numId="21" w16cid:durableId="1791392980">
    <w:abstractNumId w:val="21"/>
  </w:num>
  <w:num w:numId="22" w16cid:durableId="1866211827">
    <w:abstractNumId w:val="27"/>
  </w:num>
  <w:num w:numId="23" w16cid:durableId="906497794">
    <w:abstractNumId w:val="15"/>
  </w:num>
  <w:num w:numId="24" w16cid:durableId="328557801">
    <w:abstractNumId w:val="2"/>
  </w:num>
  <w:num w:numId="25" w16cid:durableId="1743718187">
    <w:abstractNumId w:val="1"/>
  </w:num>
  <w:num w:numId="26" w16cid:durableId="287127580">
    <w:abstractNumId w:val="16"/>
  </w:num>
  <w:num w:numId="27" w16cid:durableId="1196699474">
    <w:abstractNumId w:val="17"/>
  </w:num>
  <w:num w:numId="28" w16cid:durableId="186797693">
    <w:abstractNumId w:val="11"/>
  </w:num>
  <w:num w:numId="29" w16cid:durableId="108820312">
    <w:abstractNumId w:val="23"/>
  </w:num>
  <w:num w:numId="30" w16cid:durableId="848450799">
    <w:abstractNumId w:val="4"/>
  </w:num>
  <w:num w:numId="31" w16cid:durableId="1487629185">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EE"/>
    <w:rsid w:val="000053E3"/>
    <w:rsid w:val="00042B6A"/>
    <w:rsid w:val="00053715"/>
    <w:rsid w:val="00061B2D"/>
    <w:rsid w:val="00083081"/>
    <w:rsid w:val="00087C5F"/>
    <w:rsid w:val="00096505"/>
    <w:rsid w:val="000E2D6F"/>
    <w:rsid w:val="000F52BC"/>
    <w:rsid w:val="000F5844"/>
    <w:rsid w:val="00110C46"/>
    <w:rsid w:val="0011390E"/>
    <w:rsid w:val="00124B4D"/>
    <w:rsid w:val="00150863"/>
    <w:rsid w:val="00153A70"/>
    <w:rsid w:val="00153FC5"/>
    <w:rsid w:val="00185A6D"/>
    <w:rsid w:val="00187741"/>
    <w:rsid w:val="00192235"/>
    <w:rsid w:val="001A528D"/>
    <w:rsid w:val="001B4B68"/>
    <w:rsid w:val="001B6E6C"/>
    <w:rsid w:val="001B7484"/>
    <w:rsid w:val="001C1B90"/>
    <w:rsid w:val="001F4516"/>
    <w:rsid w:val="002001F2"/>
    <w:rsid w:val="0022287A"/>
    <w:rsid w:val="0023354C"/>
    <w:rsid w:val="00243A7A"/>
    <w:rsid w:val="00243EB9"/>
    <w:rsid w:val="0025062D"/>
    <w:rsid w:val="00263CB2"/>
    <w:rsid w:val="00274C1B"/>
    <w:rsid w:val="002964EA"/>
    <w:rsid w:val="002C0B89"/>
    <w:rsid w:val="002D4B15"/>
    <w:rsid w:val="002E4B19"/>
    <w:rsid w:val="0030669A"/>
    <w:rsid w:val="003219E7"/>
    <w:rsid w:val="00326B1F"/>
    <w:rsid w:val="00342195"/>
    <w:rsid w:val="00345EC4"/>
    <w:rsid w:val="003572CB"/>
    <w:rsid w:val="003B1BD9"/>
    <w:rsid w:val="00400FAF"/>
    <w:rsid w:val="00401A9B"/>
    <w:rsid w:val="004215D5"/>
    <w:rsid w:val="00436173"/>
    <w:rsid w:val="004546C5"/>
    <w:rsid w:val="00456955"/>
    <w:rsid w:val="00460691"/>
    <w:rsid w:val="004616A6"/>
    <w:rsid w:val="00487277"/>
    <w:rsid w:val="0049454B"/>
    <w:rsid w:val="004C594F"/>
    <w:rsid w:val="004D21F1"/>
    <w:rsid w:val="00501C64"/>
    <w:rsid w:val="00507074"/>
    <w:rsid w:val="00543791"/>
    <w:rsid w:val="005510CA"/>
    <w:rsid w:val="00590495"/>
    <w:rsid w:val="005919D3"/>
    <w:rsid w:val="005B1011"/>
    <w:rsid w:val="005B2111"/>
    <w:rsid w:val="005B2A3B"/>
    <w:rsid w:val="005D18BA"/>
    <w:rsid w:val="005D27AA"/>
    <w:rsid w:val="005F2180"/>
    <w:rsid w:val="00601A78"/>
    <w:rsid w:val="00635D2A"/>
    <w:rsid w:val="006408F9"/>
    <w:rsid w:val="00643C87"/>
    <w:rsid w:val="006617F1"/>
    <w:rsid w:val="0066326B"/>
    <w:rsid w:val="00690CED"/>
    <w:rsid w:val="006A3D92"/>
    <w:rsid w:val="006B462E"/>
    <w:rsid w:val="006D00E3"/>
    <w:rsid w:val="006D3331"/>
    <w:rsid w:val="006D4540"/>
    <w:rsid w:val="006D5C8F"/>
    <w:rsid w:val="006E5FD8"/>
    <w:rsid w:val="006F73CD"/>
    <w:rsid w:val="0073206F"/>
    <w:rsid w:val="00732D0D"/>
    <w:rsid w:val="00765E08"/>
    <w:rsid w:val="0077511E"/>
    <w:rsid w:val="0077671C"/>
    <w:rsid w:val="0078588F"/>
    <w:rsid w:val="00796251"/>
    <w:rsid w:val="007A31EF"/>
    <w:rsid w:val="007B0DE9"/>
    <w:rsid w:val="007B4B19"/>
    <w:rsid w:val="007C1F75"/>
    <w:rsid w:val="007C6CE9"/>
    <w:rsid w:val="00800D14"/>
    <w:rsid w:val="00803A41"/>
    <w:rsid w:val="008059D4"/>
    <w:rsid w:val="00872D08"/>
    <w:rsid w:val="00893B29"/>
    <w:rsid w:val="00894A51"/>
    <w:rsid w:val="008B5E5E"/>
    <w:rsid w:val="008E5A47"/>
    <w:rsid w:val="00905EB2"/>
    <w:rsid w:val="00907CA4"/>
    <w:rsid w:val="0091293F"/>
    <w:rsid w:val="00921C87"/>
    <w:rsid w:val="009251B3"/>
    <w:rsid w:val="00954A59"/>
    <w:rsid w:val="0095610D"/>
    <w:rsid w:val="009621EE"/>
    <w:rsid w:val="00962AD2"/>
    <w:rsid w:val="009807F0"/>
    <w:rsid w:val="009A1239"/>
    <w:rsid w:val="009C436A"/>
    <w:rsid w:val="009C68BB"/>
    <w:rsid w:val="009D1A3D"/>
    <w:rsid w:val="009D2143"/>
    <w:rsid w:val="009E1744"/>
    <w:rsid w:val="009F2CC7"/>
    <w:rsid w:val="00A024B8"/>
    <w:rsid w:val="00A129DA"/>
    <w:rsid w:val="00A212DC"/>
    <w:rsid w:val="00A30D9D"/>
    <w:rsid w:val="00A319DB"/>
    <w:rsid w:val="00A447E7"/>
    <w:rsid w:val="00A50AA6"/>
    <w:rsid w:val="00A6196C"/>
    <w:rsid w:val="00A743CE"/>
    <w:rsid w:val="00A87E0D"/>
    <w:rsid w:val="00A931DA"/>
    <w:rsid w:val="00AB0407"/>
    <w:rsid w:val="00AC1ED0"/>
    <w:rsid w:val="00AC5CED"/>
    <w:rsid w:val="00AC5D82"/>
    <w:rsid w:val="00AF74A1"/>
    <w:rsid w:val="00B10ABB"/>
    <w:rsid w:val="00B11F8A"/>
    <w:rsid w:val="00B16EA1"/>
    <w:rsid w:val="00B23A11"/>
    <w:rsid w:val="00B64A12"/>
    <w:rsid w:val="00B8166F"/>
    <w:rsid w:val="00B95C39"/>
    <w:rsid w:val="00B9718E"/>
    <w:rsid w:val="00BA5D8F"/>
    <w:rsid w:val="00BC575D"/>
    <w:rsid w:val="00BC762D"/>
    <w:rsid w:val="00BE70C1"/>
    <w:rsid w:val="00BF0C89"/>
    <w:rsid w:val="00C16322"/>
    <w:rsid w:val="00C34718"/>
    <w:rsid w:val="00C37E1A"/>
    <w:rsid w:val="00C432BA"/>
    <w:rsid w:val="00C44BEB"/>
    <w:rsid w:val="00C630AE"/>
    <w:rsid w:val="00C65747"/>
    <w:rsid w:val="00C72AA7"/>
    <w:rsid w:val="00CA6430"/>
    <w:rsid w:val="00CB03AC"/>
    <w:rsid w:val="00CE2689"/>
    <w:rsid w:val="00CE46A8"/>
    <w:rsid w:val="00CE4F38"/>
    <w:rsid w:val="00D00748"/>
    <w:rsid w:val="00D05774"/>
    <w:rsid w:val="00D0577A"/>
    <w:rsid w:val="00D346FC"/>
    <w:rsid w:val="00D4124E"/>
    <w:rsid w:val="00D55802"/>
    <w:rsid w:val="00D66A4E"/>
    <w:rsid w:val="00D67B53"/>
    <w:rsid w:val="00D74958"/>
    <w:rsid w:val="00D836CC"/>
    <w:rsid w:val="00D961D7"/>
    <w:rsid w:val="00DA3B70"/>
    <w:rsid w:val="00DB5500"/>
    <w:rsid w:val="00DC0472"/>
    <w:rsid w:val="00DD7409"/>
    <w:rsid w:val="00DE5A7E"/>
    <w:rsid w:val="00DF4621"/>
    <w:rsid w:val="00DF49B3"/>
    <w:rsid w:val="00DF6D7A"/>
    <w:rsid w:val="00E0409B"/>
    <w:rsid w:val="00E05C36"/>
    <w:rsid w:val="00E1476B"/>
    <w:rsid w:val="00E31FCF"/>
    <w:rsid w:val="00E32E56"/>
    <w:rsid w:val="00E41F3E"/>
    <w:rsid w:val="00E534C7"/>
    <w:rsid w:val="00E7607E"/>
    <w:rsid w:val="00E8424A"/>
    <w:rsid w:val="00E9586B"/>
    <w:rsid w:val="00F1067D"/>
    <w:rsid w:val="00F1186A"/>
    <w:rsid w:val="00F243DF"/>
    <w:rsid w:val="00F24546"/>
    <w:rsid w:val="00F2514F"/>
    <w:rsid w:val="00F418F2"/>
    <w:rsid w:val="00F70C13"/>
    <w:rsid w:val="00F87BC9"/>
    <w:rsid w:val="00FD6462"/>
    <w:rsid w:val="00FF4A8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5FF0"/>
  <w15:chartTrackingRefBased/>
  <w15:docId w15:val="{F728845E-3668-9043-9609-497F8BA9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Pretendard" w:hAnsi="Helvetica" w:cs="Times New Roman (Body CS)"/>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A59"/>
  </w:style>
  <w:style w:type="paragraph" w:styleId="Heading1">
    <w:name w:val="heading 1"/>
    <w:basedOn w:val="Normal"/>
    <w:next w:val="Normal"/>
    <w:link w:val="Heading1Char"/>
    <w:uiPriority w:val="9"/>
    <w:qFormat/>
    <w:rsid w:val="00962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1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1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1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1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1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1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1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1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1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1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1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1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1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1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1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1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1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1EE"/>
    <w:rPr>
      <w:i/>
      <w:iCs/>
      <w:color w:val="404040" w:themeColor="text1" w:themeTint="BF"/>
    </w:rPr>
  </w:style>
  <w:style w:type="paragraph" w:styleId="ListParagraph">
    <w:name w:val="List Paragraph"/>
    <w:basedOn w:val="Normal"/>
    <w:uiPriority w:val="34"/>
    <w:qFormat/>
    <w:rsid w:val="009621EE"/>
    <w:pPr>
      <w:ind w:left="720"/>
      <w:contextualSpacing/>
    </w:pPr>
  </w:style>
  <w:style w:type="character" w:styleId="IntenseEmphasis">
    <w:name w:val="Intense Emphasis"/>
    <w:basedOn w:val="DefaultParagraphFont"/>
    <w:uiPriority w:val="21"/>
    <w:qFormat/>
    <w:rsid w:val="009621EE"/>
    <w:rPr>
      <w:i/>
      <w:iCs/>
      <w:color w:val="0F4761" w:themeColor="accent1" w:themeShade="BF"/>
    </w:rPr>
  </w:style>
  <w:style w:type="paragraph" w:styleId="IntenseQuote">
    <w:name w:val="Intense Quote"/>
    <w:basedOn w:val="Normal"/>
    <w:next w:val="Normal"/>
    <w:link w:val="IntenseQuoteChar"/>
    <w:uiPriority w:val="30"/>
    <w:qFormat/>
    <w:rsid w:val="00962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1EE"/>
    <w:rPr>
      <w:i/>
      <w:iCs/>
      <w:color w:val="0F4761" w:themeColor="accent1" w:themeShade="BF"/>
    </w:rPr>
  </w:style>
  <w:style w:type="character" w:styleId="IntenseReference">
    <w:name w:val="Intense Reference"/>
    <w:basedOn w:val="DefaultParagraphFont"/>
    <w:uiPriority w:val="32"/>
    <w:qFormat/>
    <w:rsid w:val="009621EE"/>
    <w:rPr>
      <w:b/>
      <w:bCs/>
      <w:smallCaps/>
      <w:color w:val="0F4761" w:themeColor="accent1" w:themeShade="BF"/>
      <w:spacing w:val="5"/>
    </w:rPr>
  </w:style>
  <w:style w:type="paragraph" w:styleId="NormalWeb">
    <w:name w:val="Normal (Web)"/>
    <w:basedOn w:val="Normal"/>
    <w:uiPriority w:val="99"/>
    <w:unhideWhenUsed/>
    <w:rsid w:val="009621EE"/>
    <w:pPr>
      <w:spacing w:before="100" w:beforeAutospacing="1" w:after="100" w:afterAutospacing="1"/>
    </w:pPr>
    <w:rPr>
      <w:rFonts w:ascii="Times New Roman" w:eastAsia="Times New Roman" w:hAnsi="Times New Roman" w:cs="Times New Roman"/>
      <w:kern w:val="0"/>
      <w:lang w:eastAsia="ja-JP"/>
      <w14:ligatures w14:val="none"/>
    </w:rPr>
  </w:style>
  <w:style w:type="character" w:styleId="Strong">
    <w:name w:val="Strong"/>
    <w:basedOn w:val="DefaultParagraphFont"/>
    <w:uiPriority w:val="22"/>
    <w:qFormat/>
    <w:rsid w:val="009621EE"/>
    <w:rPr>
      <w:b/>
      <w:bCs/>
    </w:rPr>
  </w:style>
  <w:style w:type="character" w:styleId="CommentReference">
    <w:name w:val="annotation reference"/>
    <w:basedOn w:val="DefaultParagraphFont"/>
    <w:uiPriority w:val="99"/>
    <w:semiHidden/>
    <w:unhideWhenUsed/>
    <w:rsid w:val="009D2143"/>
    <w:rPr>
      <w:sz w:val="16"/>
      <w:szCs w:val="16"/>
    </w:rPr>
  </w:style>
  <w:style w:type="paragraph" w:styleId="CommentText">
    <w:name w:val="annotation text"/>
    <w:basedOn w:val="Normal"/>
    <w:link w:val="CommentTextChar"/>
    <w:uiPriority w:val="99"/>
    <w:semiHidden/>
    <w:unhideWhenUsed/>
    <w:rsid w:val="009D2143"/>
    <w:rPr>
      <w:sz w:val="20"/>
      <w:szCs w:val="20"/>
    </w:rPr>
  </w:style>
  <w:style w:type="character" w:customStyle="1" w:styleId="CommentTextChar">
    <w:name w:val="Comment Text Char"/>
    <w:basedOn w:val="DefaultParagraphFont"/>
    <w:link w:val="CommentText"/>
    <w:uiPriority w:val="99"/>
    <w:semiHidden/>
    <w:rsid w:val="009D2143"/>
    <w:rPr>
      <w:sz w:val="20"/>
      <w:szCs w:val="20"/>
    </w:rPr>
  </w:style>
  <w:style w:type="paragraph" w:styleId="CommentSubject">
    <w:name w:val="annotation subject"/>
    <w:basedOn w:val="CommentText"/>
    <w:next w:val="CommentText"/>
    <w:link w:val="CommentSubjectChar"/>
    <w:uiPriority w:val="99"/>
    <w:semiHidden/>
    <w:unhideWhenUsed/>
    <w:rsid w:val="009D2143"/>
    <w:rPr>
      <w:b/>
      <w:bCs/>
    </w:rPr>
  </w:style>
  <w:style w:type="character" w:customStyle="1" w:styleId="CommentSubjectChar">
    <w:name w:val="Comment Subject Char"/>
    <w:basedOn w:val="CommentTextChar"/>
    <w:link w:val="CommentSubject"/>
    <w:uiPriority w:val="99"/>
    <w:semiHidden/>
    <w:rsid w:val="009D2143"/>
    <w:rPr>
      <w:b/>
      <w:bCs/>
      <w:sz w:val="20"/>
      <w:szCs w:val="20"/>
    </w:rPr>
  </w:style>
  <w:style w:type="character" w:styleId="Hyperlink">
    <w:name w:val="Hyperlink"/>
    <w:basedOn w:val="DefaultParagraphFont"/>
    <w:uiPriority w:val="99"/>
    <w:unhideWhenUsed/>
    <w:rsid w:val="00BC575D"/>
    <w:rPr>
      <w:color w:val="467886" w:themeColor="hyperlink"/>
      <w:u w:val="single"/>
    </w:rPr>
  </w:style>
  <w:style w:type="character" w:styleId="UnresolvedMention">
    <w:name w:val="Unresolved Mention"/>
    <w:basedOn w:val="DefaultParagraphFont"/>
    <w:uiPriority w:val="99"/>
    <w:semiHidden/>
    <w:unhideWhenUsed/>
    <w:rsid w:val="00BC575D"/>
    <w:rPr>
      <w:color w:val="605E5C"/>
      <w:shd w:val="clear" w:color="auto" w:fill="E1DFDD"/>
    </w:rPr>
  </w:style>
  <w:style w:type="paragraph" w:customStyle="1" w:styleId="p1">
    <w:name w:val="p1"/>
    <w:basedOn w:val="Normal"/>
    <w:rsid w:val="00124B4D"/>
    <w:rPr>
      <w:rFonts w:ascii="Arial" w:eastAsia="Times New Roman" w:hAnsi="Arial" w:cs="Arial"/>
      <w:color w:val="1A1818"/>
      <w:kern w:val="0"/>
      <w:sz w:val="17"/>
      <w:szCs w:val="17"/>
      <w:lang w:eastAsia="ja-JP"/>
      <w14:ligatures w14:val="none"/>
    </w:rPr>
  </w:style>
  <w:style w:type="paragraph" w:customStyle="1" w:styleId="pdq2pgselectionanchorcontainer">
    <w:name w:val="pdq2pg_selectionanchorcontainer"/>
    <w:basedOn w:val="Normal"/>
    <w:rsid w:val="00AC5CED"/>
    <w:pPr>
      <w:spacing w:before="100" w:beforeAutospacing="1" w:after="100" w:afterAutospacing="1"/>
    </w:pPr>
    <w:rPr>
      <w:rFonts w:ascii="Times New Roman" w:eastAsia="Times New Roman" w:hAnsi="Times New Roman" w:cs="Times New Roman"/>
      <w:kern w:val="0"/>
      <w:lang w:eastAsia="ja-JP"/>
      <w14:ligatures w14:val="none"/>
    </w:rPr>
  </w:style>
  <w:style w:type="character" w:styleId="Emphasis">
    <w:name w:val="Emphasis"/>
    <w:basedOn w:val="DefaultParagraphFont"/>
    <w:uiPriority w:val="20"/>
    <w:qFormat/>
    <w:rsid w:val="00AC5CED"/>
    <w:rPr>
      <w:i/>
      <w:iCs/>
    </w:rPr>
  </w:style>
  <w:style w:type="character" w:styleId="FollowedHyperlink">
    <w:name w:val="FollowedHyperlink"/>
    <w:basedOn w:val="DefaultParagraphFont"/>
    <w:uiPriority w:val="99"/>
    <w:semiHidden/>
    <w:unhideWhenUsed/>
    <w:rsid w:val="00F1067D"/>
    <w:rPr>
      <w:color w:val="96607D" w:themeColor="followedHyperlink"/>
      <w:u w:val="single"/>
    </w:rPr>
  </w:style>
  <w:style w:type="paragraph" w:customStyle="1" w:styleId="isselectedend">
    <w:name w:val="isselectedend"/>
    <w:basedOn w:val="Normal"/>
    <w:rsid w:val="00096505"/>
    <w:pPr>
      <w:spacing w:before="100" w:beforeAutospacing="1" w:after="100" w:afterAutospacing="1"/>
    </w:pPr>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2235</TotalTime>
  <Pages>3</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Sooyoun</dc:creator>
  <cp:keywords/>
  <dc:description/>
  <cp:lastModifiedBy>KIM　Sooyoun</cp:lastModifiedBy>
  <cp:revision>22</cp:revision>
  <dcterms:created xsi:type="dcterms:W3CDTF">2026-08-23T01:46:00Z</dcterms:created>
  <dcterms:modified xsi:type="dcterms:W3CDTF">2026-09-25T10:04:00Z</dcterms:modified>
</cp:coreProperties>
</file>