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jc w:val="center"/>
      </w:pPr>
      <w:r>
        <w:rPr>
          <w:b/>
          <w:sz w:val="52"/>
        </w:rPr>
        <w:t>Telecom Italia S.p.A. AI Maturity Benchmarking Report</w:t>
      </w:r>
    </w:p>
    <w:p>
      <w:pPr>
        <w:jc w:val="center"/>
      </w:pPr>
      <w:r>
        <w:rPr>
          <w:b/>
          <w:sz w:val="32"/>
        </w:rPr>
        <w:t>Outside-in Competitive Assessment</w:t>
      </w:r>
    </w:p>
    <w:p>
      <w:pPr>
        <w:jc w:val="center"/>
      </w:pPr>
      <w:r>
        <w:rPr>
          <w:sz w:val="22"/>
        </w:rPr>
        <w:t>Generated: 2026-01-23</w:t>
      </w:r>
    </w:p>
    <w:p>
      <w:r>
        <w:br w:type="page"/>
      </w:r>
    </w:p>
    <w:p>
      <w:pPr>
        <w:pStyle w:val="Heading1"/>
        <w:pageBreakBefore w:val="0"/>
        <w:spacing w:after="240"/>
      </w:pPr>
      <w:r>
        <w:rPr>
          <w:sz w:val="28"/>
        </w:rPr>
        <w:t>Table of Contents</w:t>
      </w:r>
    </w:p>
    <w:p>
      <w:pPr>
        <w:spacing w:after="120"/>
      </w:pPr>
    </w:p>
    <w:p>
      <w:pPr>
        <w:tabs>
          <w:tab w:pos="12960" w:val="right" w:leader="dot"/>
        </w:tabs>
        <w:spacing w:after="120"/>
        <w:ind w:left="0"/>
      </w:pPr>
      <w:hyperlink w:anchor="heading_1000" w:history="1">
        <w:r>
          <w:rPr>
            <w:sz w:val="20"/>
            <w:u w:val="single"/>
            <w:color w:val="0563C1"/>
          </w:rPr>
          <w:t>1. Introduction and Context</w:t>
        </w:r>
      </w:hyperlink>
      <w:r>
        <w:rPr>
          <w:sz w:val="20"/>
        </w:rPr>
        <w:tab/>
      </w:r>
      <w:r>
        <w:fldChar w:fldCharType="begin"/>
      </w:r>
      <w:r>
        <w:instrText xml:space="preserve">PAGEREF "heading_1000" \h</w:instrText>
      </w:r>
      <w:r>
        <w:fldChar w:fldCharType="separate"/>
      </w:r>
      <w:r>
        <w:rPr>
          <w:sz w:val="20"/>
        </w:rPr>
        <w:t> </w:t>
      </w:r>
      <w:r>
        <w:fldChar w:fldCharType="end"/>
      </w:r>
    </w:p>
    <w:p>
      <w:pPr>
        <w:tabs>
          <w:tab w:pos="12960" w:val="right" w:leader="dot"/>
        </w:tabs>
        <w:spacing w:after="120"/>
        <w:ind w:left="0"/>
      </w:pPr>
      <w:hyperlink w:anchor="heading_1001" w:history="1">
        <w:r>
          <w:rPr>
            <w:sz w:val="20"/>
            <w:u w:val="single"/>
            <w:color w:val="0563C1"/>
          </w:rPr>
          <w:t>2. AI Maturity KPI Framework (AlixPartners Model)</w:t>
        </w:r>
      </w:hyperlink>
      <w:r>
        <w:rPr>
          <w:sz w:val="20"/>
        </w:rPr>
        <w:tab/>
      </w:r>
      <w:r>
        <w:fldChar w:fldCharType="begin"/>
      </w:r>
      <w:r>
        <w:instrText xml:space="preserve">PAGEREF "heading_1001" \h</w:instrText>
      </w:r>
      <w:r>
        <w:fldChar w:fldCharType="separate"/>
      </w:r>
      <w:r>
        <w:rPr>
          <w:sz w:val="20"/>
        </w:rPr>
        <w:t> </w:t>
      </w:r>
      <w:r>
        <w:fldChar w:fldCharType="end"/>
      </w:r>
    </w:p>
    <w:p>
      <w:pPr>
        <w:tabs>
          <w:tab w:pos="12960" w:val="right" w:leader="dot"/>
        </w:tabs>
        <w:spacing w:after="120"/>
        <w:ind w:left="0"/>
      </w:pPr>
      <w:hyperlink w:anchor="heading_1002" w:history="1">
        <w:r>
          <w:rPr>
            <w:sz w:val="20"/>
            <w:u w:val="single"/>
            <w:color w:val="0563C1"/>
          </w:rPr>
          <w:t>3. Competitive AI Maturity Benchmarking (2025): Telecom Italia S.p.A. vs Peers</w:t>
        </w:r>
      </w:hyperlink>
      <w:r>
        <w:rPr>
          <w:sz w:val="20"/>
        </w:rPr>
        <w:tab/>
      </w:r>
      <w:r>
        <w:fldChar w:fldCharType="begin"/>
      </w:r>
      <w:r>
        <w:instrText xml:space="preserve">PAGEREF "heading_1002" \h</w:instrText>
      </w:r>
      <w:r>
        <w:fldChar w:fldCharType="separate"/>
      </w:r>
      <w:r>
        <w:rPr>
          <w:sz w:val="20"/>
        </w:rPr>
        <w:t> </w:t>
      </w:r>
      <w:r>
        <w:fldChar w:fldCharType="end"/>
      </w:r>
    </w:p>
    <w:p>
      <w:pPr>
        <w:tabs>
          <w:tab w:pos="12960" w:val="right" w:leader="dot"/>
        </w:tabs>
        <w:spacing w:after="120"/>
        <w:ind w:left="0"/>
      </w:pPr>
      <w:hyperlink w:anchor="heading_1003" w:history="1">
        <w:r>
          <w:rPr>
            <w:sz w:val="20"/>
            <w:u w:val="single"/>
            <w:color w:val="0563C1"/>
          </w:rPr>
          <w:t>4. Functional Insights &amp; Best Practices by KPI Category</w:t>
        </w:r>
      </w:hyperlink>
      <w:r>
        <w:rPr>
          <w:sz w:val="20"/>
        </w:rPr>
        <w:tab/>
      </w:r>
      <w:r>
        <w:fldChar w:fldCharType="begin"/>
      </w:r>
      <w:r>
        <w:instrText xml:space="preserve">PAGEREF "heading_1003" \h</w:instrText>
      </w:r>
      <w:r>
        <w:fldChar w:fldCharType="separate"/>
      </w:r>
      <w:r>
        <w:rPr>
          <w:sz w:val="20"/>
        </w:rPr>
        <w:t> </w:t>
      </w:r>
      <w:r>
        <w:fldChar w:fldCharType="end"/>
      </w:r>
    </w:p>
    <w:p>
      <w:pPr>
        <w:tabs>
          <w:tab w:pos="12960" w:val="right" w:leader="dot"/>
        </w:tabs>
        <w:spacing w:after="120"/>
        <w:ind w:left="0"/>
      </w:pPr>
      <w:hyperlink w:anchor="heading_1004" w:history="1">
        <w:r>
          <w:rPr>
            <w:sz w:val="20"/>
            <w:u w:val="single"/>
            <w:color w:val="0563C1"/>
          </w:rPr>
          <w:t>5. SWOT</w:t>
        </w:r>
      </w:hyperlink>
      <w:r>
        <w:rPr>
          <w:sz w:val="20"/>
        </w:rPr>
        <w:tab/>
      </w:r>
      <w:r>
        <w:fldChar w:fldCharType="begin"/>
      </w:r>
      <w:r>
        <w:instrText xml:space="preserve">PAGEREF "heading_1004" \h</w:instrText>
      </w:r>
      <w:r>
        <w:fldChar w:fldCharType="separate"/>
      </w:r>
      <w:r>
        <w:rPr>
          <w:sz w:val="20"/>
        </w:rPr>
        <w:t> </w:t>
      </w:r>
      <w:r>
        <w:fldChar w:fldCharType="end"/>
      </w:r>
    </w:p>
    <w:p>
      <w:pPr>
        <w:tabs>
          <w:tab w:pos="12960" w:val="right" w:leader="dot"/>
        </w:tabs>
        <w:spacing w:after="120"/>
        <w:ind w:left="0"/>
      </w:pPr>
      <w:hyperlink w:anchor="heading_1005" w:history="1">
        <w:r>
          <w:rPr>
            <w:sz w:val="20"/>
            <w:u w:val="single"/>
            <w:color w:val="0563C1"/>
          </w:rPr>
          <w:t>6. Top 10 AI Maturity Pain Points</w:t>
        </w:r>
      </w:hyperlink>
      <w:r>
        <w:rPr>
          <w:sz w:val="20"/>
        </w:rPr>
        <w:tab/>
      </w:r>
      <w:r>
        <w:fldChar w:fldCharType="begin"/>
      </w:r>
      <w:r>
        <w:instrText xml:space="preserve">PAGEREF "heading_1005" \h</w:instrText>
      </w:r>
      <w:r>
        <w:fldChar w:fldCharType="separate"/>
      </w:r>
      <w:r>
        <w:rPr>
          <w:sz w:val="20"/>
        </w:rPr>
        <w:t> </w:t>
      </w:r>
      <w:r>
        <w:fldChar w:fldCharType="end"/>
      </w:r>
    </w:p>
    <w:p>
      <w:pPr>
        <w:tabs>
          <w:tab w:pos="12960" w:val="right" w:leader="dot"/>
        </w:tabs>
        <w:spacing w:after="120"/>
        <w:ind w:left="0"/>
      </w:pPr>
      <w:hyperlink w:anchor="heading_1006" w:history="1">
        <w:r>
          <w:rPr>
            <w:sz w:val="20"/>
            <w:u w:val="single"/>
            <w:color w:val="0563C1"/>
          </w:rPr>
          <w:t>7. Sources</w:t>
        </w:r>
      </w:hyperlink>
      <w:r>
        <w:rPr>
          <w:sz w:val="20"/>
        </w:rPr>
        <w:tab/>
      </w:r>
      <w:r>
        <w:fldChar w:fldCharType="begin"/>
      </w:r>
      <w:r>
        <w:instrText xml:space="preserve">PAGEREF "heading_1006" \h</w:instrText>
      </w:r>
      <w:r>
        <w:fldChar w:fldCharType="separate"/>
      </w:r>
      <w:r>
        <w:rPr>
          <w:sz w:val="20"/>
        </w:rPr>
        <w:t> </w:t>
      </w:r>
      <w:r>
        <w:fldChar w:fldCharType="end"/>
      </w:r>
    </w:p>
    <w:p>
      <w:pPr>
        <w:tabs>
          <w:tab w:pos="12960" w:val="right" w:leader="dot"/>
        </w:tabs>
        <w:spacing w:after="120"/>
        <w:ind w:left="0"/>
      </w:pPr>
      <w:hyperlink w:anchor="heading_1007" w:history="1">
        <w:r>
          <w:rPr>
            <w:sz w:val="20"/>
            <w:u w:val="single"/>
            <w:color w:val="0563C1"/>
          </w:rPr>
          <w:t>8. DISCLAIMER</w:t>
        </w:r>
      </w:hyperlink>
      <w:r>
        <w:rPr>
          <w:sz w:val="20"/>
        </w:rPr>
        <w:tab/>
      </w:r>
      <w:r>
        <w:fldChar w:fldCharType="begin"/>
      </w:r>
      <w:r>
        <w:instrText xml:space="preserve">PAGEREF "heading_1007" \h</w:instrText>
      </w:r>
      <w:r>
        <w:fldChar w:fldCharType="separate"/>
      </w:r>
      <w:r>
        <w:rPr>
          <w:sz w:val="20"/>
        </w:rPr>
        <w:t> </w:t>
      </w:r>
      <w:r>
        <w:fldChar w:fldCharType="end"/>
      </w:r>
    </w:p>
    <w:p>
      <w:r>
        <w:br w:type="page"/>
      </w:r>
    </w:p>
    <w:p>
      <w:bookmarkStart w:id="1000" w:name="heading_1000"/>
      <w:pPr>
        <w:pStyle w:val="Heading1"/>
        <w:spacing w:after="240"/>
      </w:pPr>
      <w:r>
        <w:t>Introduction and Context</w:t>
      </w:r>
      <w:bookmarkEnd w:id="1000"/>
    </w:p>
    <w:p>
      <w:pPr>
        <w:spacing w:after="240"/>
      </w:pPr>
      <w:r>
        <w:rPr>
          <w:b/>
        </w:rPr>
        <w:t>AI Maturity Benchmarking Report – Introduction and Context</w:t>
      </w:r>
    </w:p>
    <w:p>
      <w:pPr>
        <w:spacing w:after="240"/>
      </w:pPr>
      <w:r>
        <w:t>Telecom Italia (TIM) has built credible momentum in moving AI from experimentation into operational leverage. Board-approved AI Guidelines and a centralized, cross-functional governance model provide a disciplined foundation for responsible adoption, while the Turin AI hub and a broad partner ecosystem give TIM practical access to scalable tooling and expertise.</w:t>
      </w:r>
      <w:hyperlink w:anchor="source_1">
        <w:r>
          <w:rPr>
            <w:color w:val="0563C1"/>
            <w:u w:val="single"/>
          </w:rPr>
          <w:t>[1]</w:t>
        </w:r>
      </w:hyperlink>
      <w:hyperlink w:anchor="source_2">
        <w:r>
          <w:rPr>
            <w:color w:val="0563C1"/>
            <w:u w:val="single"/>
          </w:rPr>
          <w:t>[2]</w:t>
        </w:r>
      </w:hyperlink>
      <w:r>
        <w:t xml:space="preserve"> Importantly, TIM can point to tangible, production-grade outcomes in selected domains—most visibly in network operations and customer care—where AI has reduced handling time and improved service efficiency, demonstrating that parts of the organization have progressed beyond pilots into repeatable delivery.</w:t>
      </w:r>
      <w:hyperlink w:anchor="source_3">
        <w:r>
          <w:rPr>
            <w:color w:val="0563C1"/>
            <w:u w:val="single"/>
          </w:rPr>
          <w:t>[3]</w:t>
        </w:r>
      </w:hyperlink>
      <w:r>
        <w:t xml:space="preserve"> The scale of internal enablement (training hours and employee reach) further signals that AI is being treated as a workforce transformation, not merely a technology program.</w:t>
      </w:r>
      <w:hyperlink w:anchor="source_4">
        <w:r>
          <w:rPr>
            <w:color w:val="0563C1"/>
            <w:u w:val="single"/>
          </w:rPr>
          <w:t>[4]</w:t>
        </w:r>
      </w:hyperlink>
      <w:r>
        <w:br/>
        <w:br/>
        <w:t>The European telecom sector is entering a phase where AI is no longer optional “digital modernization” but a structural driver of cost-to-serve, network quality, and B2B differentiation. Competitive advantage is increasingly defined by (i) autonomous operations in OSS/NOC, (ii) GenAI-enabled customer operations and digital sales, and (iii) data/AI platforms that allow rapid reuse of models across products and markets—all under tightening requirements for privacy, security, and auditability.</w:t>
      </w:r>
      <w:hyperlink w:anchor="source_5">
        <w:r>
          <w:rPr>
            <w:color w:val="0563C1"/>
            <w:u w:val="single"/>
          </w:rPr>
          <w:t>[5]</w:t>
        </w:r>
      </w:hyperlink>
      <w:r>
        <w:br/>
        <w:br/>
        <w:t>Peers are setting a higher bar for industrialization. Vodafone has demonstrated multi-market scaling of AI in customer experience and operations through platformization and repeatable delivery patterns.</w:t>
      </w:r>
      <w:hyperlink w:anchor="source_6">
        <w:r>
          <w:rPr>
            <w:color w:val="0563C1"/>
            <w:u w:val="single"/>
          </w:rPr>
          <w:t>[6]</w:t>
        </w:r>
      </w:hyperlink>
      <w:r>
        <w:t xml:space="preserve"> iliad is pairing bold infrastructure and ecosystem moves with customer-facing AI propositions, attempting to convert cost advantage into AI-enabled differentiation.</w:t>
      </w:r>
      <w:hyperlink w:anchor="source_7">
        <w:r>
          <w:rPr>
            <w:color w:val="0563C1"/>
            <w:u w:val="single"/>
          </w:rPr>
          <w:t>[7]</w:t>
        </w:r>
      </w:hyperlink>
      <w:r>
        <w:t xml:space="preserve"> Swisscom is positioning sovereignty and trusted AI infrastructure as a core enterprise play, while Deutsche Telekom is advancing toward AI-enabled automation and agentic workflows in parallel with sovereign data/AI foundations.</w:t>
      </w:r>
      <w:hyperlink w:anchor="source_8">
        <w:r>
          <w:rPr>
            <w:color w:val="0563C1"/>
            <w:u w:val="single"/>
          </w:rPr>
          <w:t>[8]</w:t>
        </w:r>
      </w:hyperlink>
      <w:hyperlink w:anchor="source_9">
        <w:r>
          <w:rPr>
            <w:color w:val="0563C1"/>
            <w:u w:val="single"/>
          </w:rPr>
          <w:t>[9]</w:t>
        </w:r>
      </w:hyperlink>
      <w:r>
        <w:t xml:space="preserve"> Orange continues to professionalize responsible AI governance while expanding partnerships and packaged GenAI offers for business customers.</w:t>
      </w:r>
      <w:hyperlink w:anchor="source_10">
        <w:r>
          <w:rPr>
            <w:color w:val="0563C1"/>
            <w:u w:val="single"/>
          </w:rPr>
          <w:t>[10]</w:t>
        </w:r>
      </w:hyperlink>
      <w:r>
        <w:br/>
        <w:br/>
        <w:t>So what: TIM is ahead where governance discipline, partner leverage, and selected operational use cases translate into measurable impact; this is a differentiator in a market where many telcos still struggle to move from pilots to production.</w:t>
      </w:r>
      <w:hyperlink w:anchor="source_1">
        <w:r>
          <w:rPr>
            <w:color w:val="0563C1"/>
            <w:u w:val="single"/>
          </w:rPr>
          <w:t>[1]</w:t>
        </w:r>
      </w:hyperlink>
      <w:hyperlink w:anchor="source_3">
        <w:r>
          <w:rPr>
            <w:color w:val="0563C1"/>
            <w:u w:val="single"/>
          </w:rPr>
          <w:t>[3]</w:t>
        </w:r>
      </w:hyperlink>
      <w:r>
        <w:t xml:space="preserve"> However, TIM appears behind the leading peer set on enterprise-wide value instrumentation (benefits realization, ROI discipline, and business-visible model observability) and on the scale and transparency of its documented AI portfolio—creating a risk of “activity without compounding returns.”</w:t>
      </w:r>
      <w:hyperlink w:anchor="source_11">
        <w:r>
          <w:rPr>
            <w:color w:val="0563C1"/>
            <w:u w:val="single"/>
          </w:rPr>
          <w:t>[11]</w:t>
        </w:r>
      </w:hyperlink>
      <w:r>
        <w:t xml:space="preserve"> Structural constraints—legacy complexity, uneven localization beyond regulatory compliance, and a thin visible AI leadership bench—could slow acceleration just as peers shift from automation to AI-native commercial models.</w:t>
      </w:r>
      <w:hyperlink w:anchor="source_12">
        <w:r>
          <w:rPr>
            <w:color w:val="0563C1"/>
            <w:u w:val="single"/>
          </w:rPr>
          <w:t>[12]</w:t>
        </w:r>
      </w:hyperlink>
      <w:r>
        <w:t xml:space="preserve"> The central question for the next phase is whether TIM can convert strong governance and pockets of delivery into an auditable, platform-led engine that scales outcomes across lines of business by 2030.</w:t>
      </w:r>
    </w:p>
    <w:p>
      <w:pPr>
        <w:pStyle w:val="Heading2"/>
        <w:spacing w:after="240"/>
      </w:pPr>
      <w:r>
        <w:t>High-Level Insights</w:t>
      </w:r>
    </w:p>
    <w:p>
      <w:pPr>
        <w:spacing w:after="240"/>
      </w:pPr>
      <w:r>
        <w:t>TIM’s AI trajectory is best characterized as “governed momentum with uneven industrialization.” The company has done the hard—and often neglected—work of establishing responsible AI guardrails (policies, cross-functional oversight, and risk alignment) while also proving that AI can move the needle in operational environments such as network operations and customer care.</w:t>
      </w:r>
      <w:hyperlink w:anchor="source_1">
        <w:r>
          <w:rPr>
            <w:color w:val="0563C1"/>
            <w:u w:val="single"/>
          </w:rPr>
          <w:t>[1]</w:t>
        </w:r>
      </w:hyperlink>
      <w:hyperlink w:anchor="source_3">
        <w:r>
          <w:rPr>
            <w:color w:val="0563C1"/>
            <w:u w:val="single"/>
          </w:rPr>
          <w:t>[3]</w:t>
        </w:r>
      </w:hyperlink>
      <w:r>
        <w:t xml:space="preserve"> This combination matters: in telecom, the most valuable AI outcomes typically come from systems-of-record and real-time operational loops, where the failure modes (privacy, outages, bias, security) are also the most material. TIM’s early emphasis on governance therefore reduces scaling risk and positions the organization to adopt more advanced patterns (closed-loop automation, GenAI copilots, and, eventually, agent-based workflows) without losing control of regulatory and reputational exposure.</w:t>
      </w:r>
      <w:hyperlink w:anchor="source_11">
        <w:r>
          <w:rPr>
            <w:color w:val="0563C1"/>
            <w:u w:val="single"/>
          </w:rPr>
          <w:t>[11]</w:t>
        </w:r>
      </w:hyperlink>
      <w:r>
        <w:br/>
        <w:br/>
        <w:t>From strategy to execution, however, the pattern is consistent: TIM’s enablement and partnership posture is outpacing its value-management and “run” discipline. The evidence indicates strong investments in infrastructure, training, and alliances with hyperscalers and AI vendors, which lowers time-to-deploy and expands technical optionality.</w:t>
      </w:r>
      <w:hyperlink w:anchor="source_2">
        <w:r>
          <w:rPr>
            <w:color w:val="0563C1"/>
            <w:u w:val="single"/>
          </w:rPr>
          <w:t>[2]</w:t>
        </w:r>
      </w:hyperlink>
      <w:hyperlink w:anchor="source_4">
        <w:r>
          <w:rPr>
            <w:color w:val="0563C1"/>
            <w:u w:val="single"/>
          </w:rPr>
          <w:t>[4]</w:t>
        </w:r>
      </w:hyperlink>
      <w:r>
        <w:t xml:space="preserve"> Yet the measurable impact narrative remains concentrated in a limited number of named, quantified use cases, and enterprise-level KPIs that connect AI investment to churn reduction, NPS lift, opex savings, or revenue growth are not disclosed with the cadence expected of a mature operating model.</w:t>
      </w:r>
      <w:hyperlink w:anchor="source_3">
        <w:r>
          <w:rPr>
            <w:color w:val="0563C1"/>
            <w:u w:val="single"/>
          </w:rPr>
          <w:t>[3]</w:t>
        </w:r>
      </w:hyperlink>
      <w:hyperlink w:anchor="source_11">
        <w:r>
          <w:rPr>
            <w:color w:val="0563C1"/>
            <w:u w:val="single"/>
          </w:rPr>
          <w:t>[11]</w:t>
        </w:r>
      </w:hyperlink>
      <w:r>
        <w:t xml:space="preserve"> This gap matters because the next wave of telco AI is less about “having models” and more about controlling economics at scale: model cost (inference), reliability, data freshness, and benefits realization through continuous iteration.</w:t>
        <w:br/>
        <w:br/>
        <w:t>Competitive pressure is rising not only from classical incumbents but from the different “maturity archetypes” peers are adopting. Vodafone represents the scaled-operator archetype, where AI is embedded across markets with standardized platforms and repeatable use cases.</w:t>
      </w:r>
      <w:hyperlink w:anchor="source_6">
        <w:r>
          <w:rPr>
            <w:color w:val="0563C1"/>
            <w:u w:val="single"/>
          </w:rPr>
          <w:t>[6]</w:t>
        </w:r>
      </w:hyperlink>
      <w:r>
        <w:t xml:space="preserve"> Deutsche Telekom and Orange are increasingly blending responsible AI governance with platformization and commercialization—pushing beyond efficiency into enterprise offerings, data sovereignty, and new product experiences.</w:t>
      </w:r>
      <w:hyperlink w:anchor="source_9">
        <w:r>
          <w:rPr>
            <w:color w:val="0563C1"/>
            <w:u w:val="single"/>
          </w:rPr>
          <w:t>[9]</w:t>
        </w:r>
      </w:hyperlink>
      <w:hyperlink w:anchor="source_10">
        <w:r>
          <w:rPr>
            <w:color w:val="0563C1"/>
            <w:u w:val="single"/>
          </w:rPr>
          <w:t>[10]</w:t>
        </w:r>
      </w:hyperlink>
      <w:r>
        <w:t xml:space="preserve"> Meanwhile, iliad’s approach is to use infrastructure investment and bold ecosystem moves to compress time-to-scale and reshape economics, even if execution controls lag initially.</w:t>
      </w:r>
      <w:hyperlink w:anchor="source_7">
        <w:r>
          <w:rPr>
            <w:color w:val="0563C1"/>
            <w:u w:val="single"/>
          </w:rPr>
          <w:t>[7]</w:t>
        </w:r>
      </w:hyperlink>
      <w:r>
        <w:t xml:space="preserve"> For TIM, this means the competitive reference point is shifting: it is no longer sufficient to demonstrate a handful of successful deployments; the market is rewarding operators that can replicate outcomes across geographies and products, and monetize AI through B2B propositions.</w:t>
        <w:br/>
        <w:br/>
        <w:t>Regulatory and market forces make acceleration both urgent and constrained. The EU environment is moving toward more explicit requirements around AI risk classification, documentation, and operational controls, raising the cost of “moving fast” without governance maturity.</w:t>
      </w:r>
      <w:hyperlink w:anchor="source_5">
        <w:r>
          <w:rPr>
            <w:color w:val="0563C1"/>
            <w:u w:val="single"/>
          </w:rPr>
          <w:t>[5]</w:t>
        </w:r>
      </w:hyperlink>
      <w:hyperlink w:anchor="source_11">
        <w:r>
          <w:rPr>
            <w:color w:val="0563C1"/>
            <w:u w:val="single"/>
          </w:rPr>
          <w:t>[11]</w:t>
        </w:r>
      </w:hyperlink>
      <w:r>
        <w:t xml:space="preserve"> At the same time, energy costs, network complexity (5G standalone evolution, edge compute), and customer expectations are pushing telcos to automate faster and more safely. TIM’s near-term strategic imperative is therefore to close the last-mile maturity gap: standardize ex-ante and ex-post benefits tracking with finance-grade controls; establish business-visible model observability (drift, data quality, incidents, and KPI linkage) with named owners; and scale a prioritized portfolio of high-impact use cases that compound learning across Consumer, Enterprise, and network domains.</w:t>
      </w:r>
      <w:hyperlink w:anchor="source_11">
        <w:r>
          <w:rPr>
            <w:color w:val="0563C1"/>
            <w:u w:val="single"/>
          </w:rPr>
          <w:t>[11]</w:t>
        </w:r>
      </w:hyperlink>
      <w:hyperlink w:anchor="source_12">
        <w:r>
          <w:rPr>
            <w:color w:val="0563C1"/>
            <w:u w:val="single"/>
          </w:rPr>
          <w:t>[12]</w:t>
        </w:r>
      </w:hyperlink>
      <w:r>
        <w:t xml:space="preserve"> If TIM can do this, it can move from “governed adoption” to an AI operating system that is measurable, auditable, and scalable—positioning the company by 2030 to compete on autonomous operations and AI-enabled B2B growth rather than competing primarily on connectivity economics.</w:t>
      </w:r>
    </w:p>
    <w:p>
      <w:pPr>
        <w:pStyle w:val="Heading2"/>
        <w:spacing w:after="240"/>
      </w:pPr>
      <w:r>
        <w:t>Outcome Sought</w:t>
      </w:r>
    </w:p>
    <w:p>
      <w:pPr>
        <w:spacing w:after="240"/>
      </w:pPr>
      <w:r>
        <w:t>This benchmarking is designed to give TIM an evidence-based view of its AI maturity relative to a peer set that spans scaled incumbents (Vodafone, Deutsche Telekom, Orange), sovereignty-led innovators (Swisscom), and disruptive challengers with aggressive AI investment agendas (iliad).</w:t>
      </w:r>
      <w:hyperlink w:anchor="source_6">
        <w:r>
          <w:rPr>
            <w:color w:val="0563C1"/>
            <w:u w:val="single"/>
          </w:rPr>
          <w:t>[6]</w:t>
        </w:r>
      </w:hyperlink>
      <w:hyperlink w:anchor="source_7">
        <w:r>
          <w:rPr>
            <w:color w:val="0563C1"/>
            <w:u w:val="single"/>
          </w:rPr>
          <w:t>[7]</w:t>
        </w:r>
      </w:hyperlink>
      <w:hyperlink w:anchor="source_8">
        <w:r>
          <w:rPr>
            <w:color w:val="0563C1"/>
            <w:u w:val="single"/>
          </w:rPr>
          <w:t>[8]</w:t>
        </w:r>
      </w:hyperlink>
      <w:hyperlink w:anchor="source_9">
        <w:r>
          <w:rPr>
            <w:color w:val="0563C1"/>
            <w:u w:val="single"/>
          </w:rPr>
          <w:t>[9]</w:t>
        </w:r>
      </w:hyperlink>
      <w:hyperlink w:anchor="source_10">
        <w:r>
          <w:rPr>
            <w:color w:val="0563C1"/>
            <w:u w:val="single"/>
          </w:rPr>
          <w:t>[10]</w:t>
        </w:r>
      </w:hyperlink>
      <w:r>
        <w:t xml:space="preserve"> The deliverable is not a scorecard for its own sake; it is a fact pattern that identifies where TIM’s current approach is compounding value and where it is creating execution drag—across strategy, execution discipline, technical foundations, organizational readiness, and innovation throughput.</w:t>
      </w:r>
      <w:hyperlink w:anchor="source_1">
        <w:r>
          <w:rPr>
            <w:color w:val="0563C1"/>
            <w:u w:val="single"/>
          </w:rPr>
          <w:t>[1]</w:t>
        </w:r>
      </w:hyperlink>
      <w:hyperlink w:anchor="source_11">
        <w:r>
          <w:rPr>
            <w:color w:val="0563C1"/>
            <w:u w:val="single"/>
          </w:rPr>
          <w:t>[11]</w:t>
        </w:r>
      </w:hyperlink>
      <w:r>
        <w:br/>
        <w:br/>
        <w:t>The business value is to convert “AI activity” into repeatable outcomes. In practical terms, the benchmark will surface which capabilities most limit TIM’s ability to scale (e.g., benefits realization, portfolio governance, MLOps/observability, leadership accountability), and it will clarify which investments should be protected because they create structural advantage (e.g., responsible AI governance, targeted closed-loop operations, and a partner ecosystem that accelerates delivery).</w:t>
      </w:r>
      <w:hyperlink w:anchor="source_2">
        <w:r>
          <w:rPr>
            <w:color w:val="0563C1"/>
            <w:u w:val="single"/>
          </w:rPr>
          <w:t>[2]</w:t>
        </w:r>
      </w:hyperlink>
      <w:hyperlink w:anchor="source_3">
        <w:r>
          <w:rPr>
            <w:color w:val="0563C1"/>
            <w:u w:val="single"/>
          </w:rPr>
          <w:t>[3]</w:t>
        </w:r>
      </w:hyperlink>
      <w:hyperlink w:anchor="source_12">
        <w:r>
          <w:rPr>
            <w:color w:val="0563C1"/>
            <w:u w:val="single"/>
          </w:rPr>
          <w:t>[12]</w:t>
        </w:r>
      </w:hyperlink>
      <w:r>
        <w:br/>
        <w:br/>
        <w:t>Looking forward, the intended endpoint is a pragmatic maturity acceleration plan that is audit-ready and commercially oriented. By 2030, the winners in European telecom are likely to be those that can run more autonomous networks at lower unit cost, deliver materially better digital and assisted customer journeys, and monetize AI through enterprise-grade platforms and services—while meeting regulatory expectations with demonstrable controls.</w:t>
      </w:r>
      <w:hyperlink w:anchor="source_5">
        <w:r>
          <w:rPr>
            <w:color w:val="0563C1"/>
            <w:u w:val="single"/>
          </w:rPr>
          <w:t>[5]</w:t>
        </w:r>
      </w:hyperlink>
      <w:hyperlink w:anchor="source_10">
        <w:r>
          <w:rPr>
            <w:color w:val="0563C1"/>
            <w:u w:val="single"/>
          </w:rPr>
          <w:t>[10]</w:t>
        </w:r>
      </w:hyperlink>
      <w:hyperlink w:anchor="source_11">
        <w:r>
          <w:rPr>
            <w:color w:val="0563C1"/>
            <w:u w:val="single"/>
          </w:rPr>
          <w:t>[11]</w:t>
        </w:r>
      </w:hyperlink>
      <w:r>
        <w:t xml:space="preserve"> This benchmarking frames the decisions TIM must take now—on operating model, measurement, platform consolidation, and talent—to be structurally ready for that outcome.</w:t>
      </w:r>
    </w:p>
    <w:p>
      <w:bookmarkStart w:id="1001" w:name="heading_1001"/>
      <w:pPr>
        <w:pStyle w:val="Heading1"/>
        <w:spacing w:after="240"/>
      </w:pPr>
      <w:r>
        <w:t>AI Maturity KPI Framework (AlixPartners Model)</w:t>
      </w:r>
      <w:bookmarkEnd w:id="1001"/>
    </w:p>
    <w:p>
      <w:pPr>
        <w:spacing w:after="240"/>
      </w:pPr>
      <w:r>
        <w:t>To benchmark AI maturity credibly—especially in telecom—an assessment must separate “activity” (pilots, press releases, vendor announcements) from “capability” (repeatable operating mechanisms that convert data and models into sustained P&amp;L outcomes). Telecom operators face unusually complex constraints: real-time networks with strict SLAs, legacy OSS/BSS stacks, multi-jurisdiction privacy obligations, and high consumer trust sensitivity. In that context, surface-level metrics (e.g., “number of chatbots” or “cloud partnerships”) routinely overstate readiness. The AlixPartners 5-Category AI Maturity KPI Driver Model was designed to force evidence of institutionalization: it tests whether strategic intent is translated into governed execution, whether the technical stack supports scale, whether the organization can absorb change, and whether the innovation engine is building future differentiation—not just near-term automation.</w:t>
        <w:br/>
        <w:br/>
        <w:t>For Telecom Italia (TIM), the framework is tailored to the telecom value chain: (i) network and service operations (assurance, closed-loop automation, energy optimization), (ii) customer growth and care (churn prevention, personalization, AHT reduction), (iii) enterprise growth (cloud/edge, AI-enabled B2B propositions), and (iv) risk and trust (privacy, cybersecurity, responsible AI). The model integrates quantitative signals (e.g., documented production use cases, measured efficiency deltas, publication/patent output, hiring signals) with qualitative but verifiable signals (e.g., governance artifacts, lifecycle controls, evidence of C-level ownership). This enables reproducibility: the same evidence rules and scoring thresholds are applied across TIM and peers such as Vodafone, iliad, Swisscom, Deutsche Telekom, and Orange, with calibration to global best practice.</w:t>
        <w:br/>
        <w:br/>
        <w:t>**1) Strategy**</w:t>
        <w:br/>
        <w:t>Definition: Strategy measures whether AI is a deliberate, enterprise-level value agenda—anchored in leadership accountability, a multi-year roadmap, and measurable outcomes.</w:t>
        <w:br/>
        <w:br/>
        <w:t xml:space="preserve">In telecom, strategy maturity is demonstrated when AI priorities are explicitly mapped to the few levers that matter: cost-to-serve, network quality/availability, NPS/churn, enterprise revenue growth, and risk exposure. TIM shows evidence of a coherent governance-led agenda (e.g., Board-approved AI guidelines and structured oversight), and selective quantified outcomes in network operations and customer care, indicating progression beyond experimentation </w:t>
      </w:r>
      <w:hyperlink w:anchor="source_1">
        <w:r>
          <w:rPr>
            <w:color w:val="0563C1"/>
            <w:u w:val="single"/>
          </w:rPr>
          <w:t>[1]</w:t>
        </w:r>
      </w:hyperlink>
      <w:hyperlink w:anchor="source_2">
        <w:r>
          <w:rPr>
            <w:color w:val="0563C1"/>
            <w:u w:val="single"/>
          </w:rPr>
          <w:t>[2]</w:t>
        </w:r>
      </w:hyperlink>
      <w:r>
        <w:t xml:space="preserve">. However, what typically differentiates a strategy score “4+” is not the existence of governance, but the consistency of KPI disclosure and the extent to which funding and operating cadence are tied to an enterprise scorecard. Peers such as Vodafone and Deutsche Telekom more visibly position AI as a scaled transformation agenda and communicate multi-market impact narratives more programmatically </w:t>
      </w:r>
      <w:hyperlink w:anchor="source_4">
        <w:r>
          <w:rPr>
            <w:color w:val="0563C1"/>
            <w:u w:val="single"/>
          </w:rPr>
          <w:t>[4]</w:t>
        </w:r>
      </w:hyperlink>
      <w:hyperlink w:anchor="source_5">
        <w:r>
          <w:rPr>
            <w:color w:val="0563C1"/>
            <w:u w:val="single"/>
          </w:rPr>
          <w:t>[5]</w:t>
        </w:r>
      </w:hyperlink>
      <w:r>
        <w:t>.</w:t>
        <w:br/>
        <w:br/>
        <w:t>High maturity in telecom strategy by 2030 implies an “AI value architecture”: every major business line has 2–3 AI-linked outcomes with clear baselines, the investment portfolio is staged by time-to-value and risk, and leadership can explain (and audit) how model behavior affects customer experience and network performance. Without that linkage, operators risk building “AI theater”—capability without compounding advantage.</w:t>
        <w:br/>
        <w:br/>
        <w:t>**2) Execution**</w:t>
        <w:br/>
        <w:t>Definition: Execution measures the ability to industrialize AI delivery—moving from pilots to scaled deployments with disciplined benefits realization and run-state control.</w:t>
        <w:br/>
        <w:br/>
        <w:t xml:space="preserve">Execution is where telecom AI programmes often fail: operators deploy point solutions, but cannot sustain model performance, measure ROI credibly, or embed changes into frontline workflows. TIM shows strong enablers (funding for reskilling and a broad partner ecosystem), and evidence of integration into core processes such as customer care and network operations </w:t>
      </w:r>
      <w:hyperlink w:anchor="source_1">
        <w:r>
          <w:rPr>
            <w:color w:val="0563C1"/>
            <w:u w:val="single"/>
          </w:rPr>
          <w:t>[1]</w:t>
        </w:r>
      </w:hyperlink>
      <w:hyperlink w:anchor="source_2">
        <w:r>
          <w:rPr>
            <w:color w:val="0563C1"/>
            <w:u w:val="single"/>
          </w:rPr>
          <w:t>[2]</w:t>
        </w:r>
      </w:hyperlink>
      <w:r>
        <w:t xml:space="preserve">. At the same time, a recurring execution gap in telecom is the mismatch between “breadth claims” and the smaller subset of use cases with auditable, quantified value (a pattern visible across many European operators). Vodafone’s stronger execution profile illustrates what “industrialized AI” looks like: repeatable delivery platforms and multi-market rollout discipline that turn use-case velocity into consistent outcomes </w:t>
      </w:r>
      <w:hyperlink w:anchor="source_4">
        <w:r>
          <w:rPr>
            <w:color w:val="0563C1"/>
            <w:u w:val="single"/>
          </w:rPr>
          <w:t>[4]</w:t>
        </w:r>
      </w:hyperlink>
      <w:r>
        <w:t>.</w:t>
        <w:br/>
        <w:br/>
        <w:t>High maturity execution by 2030 means every production model has an owner, an SLA, and a monitored economic hypothesis; releases are frequent but controlled; and benefits are tracked ex-ante/ex-post with finance-grade methods. In telecom, this is the difference between automating tasks and re-engineering operating rhythms (e.g., proactive service assurance and contact-center deflection) at scale.</w:t>
        <w:br/>
        <w:br/>
        <w:t>**3) Technical**</w:t>
        <w:br/>
        <w:t>Definition: Technical measures whether the data, platforms, and engineering practices are sufficient to scale AI safely, cost-effectively, and repeatedly.</w:t>
        <w:br/>
        <w:br/>
        <w:t xml:space="preserve">Telecom technical maturity is not just “cloud adoption.” It is the ability to run low-latency inference, manage sensitive customer/network data, and integrate models into OSS/BSS and network domains while maintaining auditability. TIM’s evidence indicates a solid infrastructure and partner posture (including edge/cloud initiatives and security-by-design), and a credible technology backbone that supports multiple AI deployments </w:t>
      </w:r>
      <w:hyperlink w:anchor="source_1">
        <w:r>
          <w:rPr>
            <w:color w:val="0563C1"/>
            <w:u w:val="single"/>
          </w:rPr>
          <w:t>[1]</w:t>
        </w:r>
      </w:hyperlink>
      <w:hyperlink w:anchor="source_2">
        <w:r>
          <w:rPr>
            <w:color w:val="0563C1"/>
            <w:u w:val="single"/>
          </w:rPr>
          <w:t>[2]</w:t>
        </w:r>
      </w:hyperlink>
      <w:hyperlink w:anchor="source_3">
        <w:r>
          <w:rPr>
            <w:color w:val="0563C1"/>
            <w:u w:val="single"/>
          </w:rPr>
          <w:t>[3]</w:t>
        </w:r>
      </w:hyperlink>
      <w:r>
        <w:t>. However, technical maturity is capped when MLOps, metadata/lineage, and standardized development workflows are not consistently evidenced—because those are the mechanisms that make AI repeatable rather than artisanal.</w:t>
        <w:br/>
        <w:br/>
        <w:t xml:space="preserve">Peers illustrate two different best-practice paths. Deutsche Telekom emphasizes scaled platforms and increasingly agentic automation patterns, aiming to embed AI deeper into enterprise workflows </w:t>
      </w:r>
      <w:hyperlink w:anchor="source_5">
        <w:r>
          <w:rPr>
            <w:color w:val="0563C1"/>
            <w:u w:val="single"/>
          </w:rPr>
          <w:t>[5]</w:t>
        </w:r>
      </w:hyperlink>
      <w:r>
        <w:t xml:space="preserve">. Swisscom highlights sovereign AI platformization and trusted AI propositions as a differentiator in a high-trust market </w:t>
      </w:r>
      <w:hyperlink w:anchor="source_7">
        <w:r>
          <w:rPr>
            <w:color w:val="0563C1"/>
            <w:u w:val="single"/>
          </w:rPr>
          <w:t>[7]</w:t>
        </w:r>
      </w:hyperlink>
      <w:r>
        <w:t>. For TIM, the 2030 technical aspiration should be a “telco AI factory”: standardized model lifecycle tooling, governed data products (customer, network, service), and cost/performance observability that prevents model sprawl and vendor lock-in.</w:t>
        <w:br/>
        <w:br/>
        <w:t>**4) Organizational**</w:t>
        <w:br/>
        <w:t>Definition: Organizational measures whether governance, talent, and culture are sufficiently mature to adopt AI responsibly and at pace.</w:t>
        <w:br/>
        <w:br/>
        <w:t xml:space="preserve">In telecom, organization is often the binding constraint because AI impacts regulated domains, unionized workforces, and customer trust simultaneously. TIM shows strong ethics-by-design and governance discipline through published AI guidelines and control frameworks, alongside material training activity—signals that the organization is building absorptive capacity, not just deploying tools </w:t>
      </w:r>
      <w:hyperlink w:anchor="source_1">
        <w:r>
          <w:rPr>
            <w:color w:val="0563C1"/>
            <w:u w:val="single"/>
          </w:rPr>
          <w:t>[1]</w:t>
        </w:r>
      </w:hyperlink>
      <w:r>
        <w:t xml:space="preserve">. Yet maturity also depends on clear single-thread accountability (e.g., a named executive owner or federated domain leads) and transparent talent density in AI engineering/product roles. Vodafone and Orange demonstrate how mature operators translate responsible AI principles into scalable organizational mechanisms, including structured controls and broad workforce enablement </w:t>
      </w:r>
      <w:hyperlink w:anchor="source_4">
        <w:r>
          <w:rPr>
            <w:color w:val="0563C1"/>
            <w:u w:val="single"/>
          </w:rPr>
          <w:t>[4]</w:t>
        </w:r>
      </w:hyperlink>
      <w:hyperlink w:anchor="source_6">
        <w:r>
          <w:rPr>
            <w:color w:val="0563C1"/>
            <w:u w:val="single"/>
          </w:rPr>
          <w:t>[6]</w:t>
        </w:r>
      </w:hyperlink>
      <w:r>
        <w:t>.</w:t>
        <w:br/>
        <w:br/>
        <w:t>High maturity by 2030 means AI literacy is role-based and measurable, model-risk governance is embedded into the operating model (not “compliance after the fact”), and incentives reinforce adoption with guardrails. The outcome is faster scaling with fewer incidents, fewer stalled pilots, and higher credibility with regulators.</w:t>
        <w:br/>
        <w:br/>
        <w:t>**5) Innovation**</w:t>
        <w:br/>
        <w:t>Definition: Innovation measures whether the company is building future advantage through R&amp;D, ecosystem leverage, and new AI-native propositions.</w:t>
        <w:br/>
        <w:br/>
        <w:t xml:space="preserve">Telecom innovation maturity is increasingly shaped by participation in ecosystems: network AI standards, sovereign/edge compute initiatives, and partnerships that convert data distribution into product differentiation. TIM shows signs of an active innovation engine—strong partnership breadth and evidence of IP generation (e.g., patents) </w:t>
      </w:r>
      <w:hyperlink w:anchor="source_1">
        <w:r>
          <w:rPr>
            <w:color w:val="0563C1"/>
            <w:u w:val="single"/>
          </w:rPr>
          <w:t>[1]</w:t>
        </w:r>
      </w:hyperlink>
      <w:hyperlink w:anchor="source_3">
        <w:r>
          <w:rPr>
            <w:color w:val="0563C1"/>
            <w:u w:val="single"/>
          </w:rPr>
          <w:t>[3]</w:t>
        </w:r>
      </w:hyperlink>
      <w:r>
        <w:t xml:space="preserve">. However, innovation leadership requires more than internal experimentation: it demands a credible external footprint (research output, open innovation, and repeatable productization). Peers show different innovation archetypes: Orange combines responsible AI positioning with productized sovereign/enterprise AI propositions and visible ecosystem engagement </w:t>
      </w:r>
      <w:hyperlink w:anchor="source_6">
        <w:r>
          <w:rPr>
            <w:color w:val="0563C1"/>
            <w:u w:val="single"/>
          </w:rPr>
          <w:t>[6]</w:t>
        </w:r>
      </w:hyperlink>
      <w:r>
        <w:t xml:space="preserve">, while iliad’s recent large investment commitments reflect an “infrastructure-first” innovation bet that still needs execution proof to convert into durable advantage </w:t>
      </w:r>
      <w:hyperlink w:anchor="source_8">
        <w:r>
          <w:rPr>
            <w:color w:val="0563C1"/>
            <w:u w:val="single"/>
          </w:rPr>
          <w:t>[8]</w:t>
        </w:r>
      </w:hyperlink>
      <w:r>
        <w:t>.</w:t>
        <w:br/>
        <w:br/>
        <w:t xml:space="preserve">High maturity by 2030 means TIM can consistently turn innovation into revenue-bearing offers (e.g., AI-enabled B2B services, network APIs, privacy-preserving analytics), while maintaining a trust posture aligned with emerging regulation and telecom-specific responsible AI frameworks </w:t>
      </w:r>
      <w:hyperlink w:anchor="source_9">
        <w:r>
          <w:rPr>
            <w:color w:val="0563C1"/>
            <w:u w:val="single"/>
          </w:rPr>
          <w:t>[9]</w:t>
        </w:r>
      </w:hyperlink>
      <w:hyperlink w:anchor="source_10">
        <w:r>
          <w:rPr>
            <w:color w:val="0563C1"/>
            <w:u w:val="single"/>
          </w:rPr>
          <w:t>[10]</w:t>
        </w:r>
      </w:hyperlink>
      <w:r>
        <w:t>.</w:t>
      </w:r>
    </w:p>
    <w:p>
      <w:pPr>
        <w:pStyle w:val="Heading2"/>
        <w:spacing w:after="240"/>
      </w:pPr>
      <w:r>
        <w:t>Strategy</w:t>
      </w:r>
    </w:p>
    <w:p>
      <w:pPr>
        <w:spacing w:after="240"/>
      </w:pPr>
      <w:r>
        <w:rPr>
          <w:b/>
        </w:rPr>
        <w:t xml:space="preserve">Definition: </w:t>
      </w:r>
    </w:p>
    <w:p>
      <w:pPr>
        <w:spacing w:after="240"/>
      </w:pPr>
      <w:r>
        <w:t>AI maturity in telecom cannot be inferred from the presence of a few chatbots or a modern data center; it is determined by whether the operator can repeatedly turn advanced analytics and GenAI into measurable, defensible outcomes across network, customer, and enterprise domains under tightening regulatory constraints. AlixPartners’ 5‑Category AI Maturity KPI Driver Model is designed for that purpose: it separates “intent” (Strategy), “delivery” (Execution), “enablement” (Technical), “adoption and control” (Organizational), and “future advantage” (Innovation), and then scores each dimension on a consistent 1–5 scale using observable KPI drivers and corroborated evidence. In capital‑intensive industries like telecom—where network performance, spectrum utilization, customer experience, and cost-to-serve move in small percentages that translate into large EBIT deltas—quantifying maturity matters because it prevents two common failure modes: over‑investing in fashionable technology without value capture, or under‑investing in core foundations and falling behind peers who are institutionalizing AI as an operating system. The framework is intentionally balanced: it gives equal weight to strategic direction and governance, to technical scalability and risk controls, and to whether AI is actually embedded in the operating cadence with finance-grade measurement. For Telecom Italia (TIM), the model is applied with a sector-specific lens—OSS/BSS integration, network autonomy, contact-center productivity, churn and ARPU management, energy efficiency, fraud and cyber defense, and sovereign / regulated data processing—with the evidence window cut off at Tue Nov 18 2025.</w:t>
        <w:br/>
        <w:br/>
        <w:t>Within this model, the Strategy dimension captures whether TIM’s AI ambition is coherent, owned, and translated into a value thesis that can guide decisions under uncertainty and regulatory scrutiny.</w:t>
        <w:br/>
        <w:br/>
        <w:t xml:space="preserve">Strategy maturity measures the degree to which AI is explicitly linked to corporate objectives, anchored in accountable leadership, and supported by a roadmap and governance that can survive organizational cycles. For telecom operators, strategy quality is less about aspirational statements and more about trade-offs: which domains get priority (network automation vs. sales personalization vs. B2B AI services), how investment is staged, what risks are acceptable under the EU AI Act and GDPR, and how progress is measured at the enterprise level rather than in isolated programs. TIM’s Strategy score (3.2) indicates that the company has established a credible “top-down spine”—including formal AI guidelines and governance, a multi-year technology planning construct, and visible executive sponsorship—while still lacking the breadth, disclosure discipline, and board-level AI depth that separate a competent follower from a category leader in European telecom </w:t>
      </w:r>
      <w:hyperlink w:anchor="source_1">
        <w:r>
          <w:rPr>
            <w:color w:val="0563C1"/>
            <w:u w:val="single"/>
          </w:rPr>
          <w:t>[1]</w:t>
        </w:r>
      </w:hyperlink>
      <w:hyperlink w:anchor="source_2">
        <w:r>
          <w:rPr>
            <w:color w:val="0563C1"/>
            <w:u w:val="single"/>
          </w:rPr>
          <w:t>[2]</w:t>
        </w:r>
      </w:hyperlink>
      <w:r>
        <w:t>.</w:t>
        <w:br/>
        <w:br/>
        <w:t xml:space="preserve">The causal role of Strategy in the maturity system is straightforward: it determines whether Execution is cumulative (reuse, scaling, learning curves) or episodic (pilot churn), and whether Technical investments are “platform multipliers” or expensive point solutions. In TIM’s case, the strategy signal is strong enough to have produced deployed outcomes in selected areas, including network operations improvements and customer care automation with measurable gains in at least a small number of initiatives </w:t>
      </w:r>
      <w:hyperlink w:anchor="source_3">
        <w:r>
          <w:rPr>
            <w:color w:val="0563C1"/>
            <w:u w:val="single"/>
          </w:rPr>
          <w:t>[3]</w:t>
        </w:r>
      </w:hyperlink>
      <w:hyperlink w:anchor="source_4">
        <w:r>
          <w:rPr>
            <w:color w:val="0563C1"/>
            <w:u w:val="single"/>
          </w:rPr>
          <w:t>[4]</w:t>
        </w:r>
      </w:hyperlink>
      <w:r>
        <w:t xml:space="preserve">. The constraint is that the strategy-to-metrics bridge is not yet consistently visible across business lines and markets: the public narrative is periodic rather than programmatic, and enterprise KPIs tied to funding, workforce scaling, and product outcomes are not yet systematically disclosed or audited </w:t>
      </w:r>
      <w:hyperlink w:anchor="source_1">
        <w:r>
          <w:rPr>
            <w:color w:val="0563C1"/>
            <w:u w:val="single"/>
          </w:rPr>
          <w:t>[1]</w:t>
        </w:r>
      </w:hyperlink>
      <w:hyperlink w:anchor="source_2">
        <w:r>
          <w:rPr>
            <w:color w:val="0563C1"/>
            <w:u w:val="single"/>
          </w:rPr>
          <w:t>[2]</w:t>
        </w:r>
      </w:hyperlink>
      <w:r>
        <w:t>.</w:t>
        <w:br/>
        <w:br/>
        <w:t xml:space="preserve">Comparatively, leading European peers demonstrate that Strategy maturity is now defined by the ability to “productize” AI intent—publishing a repeatable playbook of priority use cases, investment envelopes, and governance gates—while connecting those to CX and efficiency metrics at multi-market scale. Vodafone’s positioning reflects a more industrialized strategic posture with long-running AI deployment and repeated proof points, while Orange pairs scaled AI deployment with visible governance constructs and a stronger board-level technology narrative in public materials </w:t>
      </w:r>
      <w:hyperlink w:anchor="source_5">
        <w:r>
          <w:rPr>
            <w:color w:val="0563C1"/>
            <w:u w:val="single"/>
          </w:rPr>
          <w:t>[5]</w:t>
        </w:r>
      </w:hyperlink>
      <w:hyperlink w:anchor="source_6">
        <w:r>
          <w:rPr>
            <w:color w:val="0563C1"/>
            <w:u w:val="single"/>
          </w:rPr>
          <w:t>[6]</w:t>
        </w:r>
      </w:hyperlink>
      <w:r>
        <w:t>. TIM’s current posture is directionally similar but less consistently evidenced and less clearly institutionalized at board level, which matters because regulatory and reputational risk increasingly sits with boards, not only management.</w:t>
        <w:br/>
        <w:br/>
        <w:t xml:space="preserve">Looking toward 2030, Strategy maturity for TIM will be determined by whether AI becomes a “control layer” for both the network and the commercial engine: closed-loop autonomy in operations, continuous personalization in digital channels, and AI-enabled B2B propositions that monetize sovereign infrastructure and data capabilities. Reaching that state requires Strategy to become more explicit in three areas: board competency and oversight for AI risk and value; portfolio concentration on a short list of scalable, high-ROI use cases (rather than diffuse experimentation); and a small set of enterprise AI KPIs (e.g., churn reduction, NPS uplift, opex savings, energy per GB, MTTR, fraud losses avoided) that are reported with a cadence and rigor comparable to financial metrics. Without that, even strong technical foundations will struggle to translate into a compounding advantage, and TIM will remain structurally exposed to peers who treat AI strategy as a measurable operating contract rather than a directional ambition </w:t>
      </w:r>
      <w:hyperlink w:anchor="source_1">
        <w:r>
          <w:rPr>
            <w:color w:val="0563C1"/>
            <w:u w:val="single"/>
          </w:rPr>
          <w:t>[1]</w:t>
        </w:r>
      </w:hyperlink>
      <w:hyperlink w:anchor="source_3">
        <w:r>
          <w:rPr>
            <w:color w:val="0563C1"/>
            <w:u w:val="single"/>
          </w:rPr>
          <w:t>[3]</w:t>
        </w:r>
      </w:hyperlink>
      <w:r>
        <w:t>.</w:t>
      </w:r>
    </w:p>
    <w:p>
      <w:pPr>
        <w:spacing w:after="240"/>
      </w:pPr>
      <w:r>
        <w:rPr>
          <w:b/>
        </w:rPr>
        <w:t xml:space="preserve">Scope &amp; Indicators. </w:t>
      </w:r>
    </w:p>
    <w:p>
      <w:pPr>
        <w:spacing w:after="240"/>
      </w:pPr>
      <w:r>
        <w:t xml:space="preserve">Strategy is measured through KPIs that test strategic alignment, governance depth, roadmap clarity, market fit, and the “value thesis” connecting AI investments to business outcomes. In the AlixPartners model, these indicators are intentionally evidence-based: we assess whether the company has published and operationalized AI principles and policies; whether executive leadership communicates an AI direction that is stable across reporting cycles; whether a multi-year roadmap exists with milestones and investment priorities; whether use-case selection is aligned to the company’s growth and margin levers; and whether the organization can point to multiple AI initiatives with quantified impact on operational or customer metrics </w:t>
      </w:r>
      <w:hyperlink w:anchor="source_1">
        <w:r>
          <w:rPr>
            <w:color w:val="0563C1"/>
            <w:u w:val="single"/>
          </w:rPr>
          <w:t>[1]</w:t>
        </w:r>
      </w:hyperlink>
      <w:hyperlink w:anchor="source_2">
        <w:r>
          <w:rPr>
            <w:color w:val="0563C1"/>
            <w:u w:val="single"/>
          </w:rPr>
          <w:t>[2]</w:t>
        </w:r>
      </w:hyperlink>
      <w:r>
        <w:t>. For telecom specifically, we look for signs that strategy addresses the full value chain: network (RAN/core/transport optimization, fault prediction, energy management), customer (contact-center automation, digital self-care, personalization, churn prevention), enterprise (AI-enabled cloud/security/IoT services), and risk (privacy, model governance, cyber). We also evaluate localization and regulatory readiness, because telecom operators typically operate across jurisdictions and customer languages, and AI systems interact directly with consumers—raising both compliance exposure and brand risk.</w:t>
        <w:br/>
        <w:br/>
        <w:t xml:space="preserve">TIM’s evidence base supports a “coherent but uneven” strategy profile. Governance-led strategy is visible through group-level AI guidelines and cross-functional oversight mechanisms, and through investments in enabling infrastructure and partnerships </w:t>
      </w:r>
      <w:hyperlink w:anchor="source_1">
        <w:r>
          <w:rPr>
            <w:color w:val="0563C1"/>
            <w:u w:val="single"/>
          </w:rPr>
          <w:t>[1]</w:t>
        </w:r>
      </w:hyperlink>
      <w:hyperlink w:anchor="source_2">
        <w:r>
          <w:rPr>
            <w:color w:val="0563C1"/>
            <w:u w:val="single"/>
          </w:rPr>
          <w:t>[2]</w:t>
        </w:r>
      </w:hyperlink>
      <w:r>
        <w:t xml:space="preserve">. A multi-year technology plan and roadmap constructs are referenced, indicating intent to manage adoption as a staged transformation rather than as ad hoc experimentation </w:t>
      </w:r>
      <w:hyperlink w:anchor="source_2">
        <w:r>
          <w:rPr>
            <w:color w:val="0563C1"/>
            <w:u w:val="single"/>
          </w:rPr>
          <w:t>[2]</w:t>
        </w:r>
      </w:hyperlink>
      <w:r>
        <w:t xml:space="preserve">. Importantly, TIM can point to at least a small number of deployments with quantified operational or customer improvements, which is a key threshold separating “AI narrative” from “AI program” </w:t>
      </w:r>
      <w:hyperlink w:anchor="source_3">
        <w:r>
          <w:rPr>
            <w:color w:val="0563C1"/>
            <w:u w:val="single"/>
          </w:rPr>
          <w:t>[3]</w:t>
        </w:r>
      </w:hyperlink>
      <w:hyperlink w:anchor="source_4">
        <w:r>
          <w:rPr>
            <w:color w:val="0563C1"/>
            <w:u w:val="single"/>
          </w:rPr>
          <w:t>[4]</w:t>
        </w:r>
      </w:hyperlink>
      <w:r>
        <w:t xml:space="preserve">. The strategic linkage to customer value is present—AI in customer service, predictive analytics for offer personalization, and consumer-facing AI propositions—yet program-level KPI disclosure remains partial, which limits the ability to assess how consistently AI outcomes drive resource allocation decisions across the enterprise </w:t>
      </w:r>
      <w:hyperlink w:anchor="source_1">
        <w:r>
          <w:rPr>
            <w:color w:val="0563C1"/>
            <w:u w:val="single"/>
          </w:rPr>
          <w:t>[1]</w:t>
        </w:r>
      </w:hyperlink>
      <w:hyperlink w:anchor="source_3">
        <w:r>
          <w:rPr>
            <w:color w:val="0563C1"/>
            <w:u w:val="single"/>
          </w:rPr>
          <w:t>[3]</w:t>
        </w:r>
      </w:hyperlink>
      <w:r>
        <w:t>.</w:t>
        <w:br/>
        <w:br/>
        <w:t xml:space="preserve">Two strategic gaps are particularly material in telecom. First is board-level AI competence and formalized oversight. Telecom operators are increasingly expected to demonstrate board-level oversight of technology and AI risks, especially under the EU AI Act and evolving cyber and privacy expectations; TIM’s current evidence suggests board review of guidelines but limited explicit AI expertise on the board and no clearly evidenced, dedicated AI/technology committee function </w:t>
      </w:r>
      <w:hyperlink w:anchor="source_1">
        <w:r>
          <w:rPr>
            <w:color w:val="0563C1"/>
            <w:u w:val="single"/>
          </w:rPr>
          <w:t>[1]</w:t>
        </w:r>
      </w:hyperlink>
      <w:hyperlink w:anchor="source_2">
        <w:r>
          <w:rPr>
            <w:color w:val="0563C1"/>
            <w:u w:val="single"/>
          </w:rPr>
          <w:t>[2]</w:t>
        </w:r>
      </w:hyperlink>
      <w:r>
        <w:t xml:space="preserve">. Second is market/segment localization: while EU compliance alignment is evident, there is limited proof of a systematic multilingual and multi-market localization playbook, including performance parity monitoring and market-specific datasets—capabilities that become more important as GenAI moves from internal productivity to consumer-facing channels </w:t>
      </w:r>
      <w:hyperlink w:anchor="source_1">
        <w:r>
          <w:rPr>
            <w:color w:val="0563C1"/>
            <w:u w:val="single"/>
          </w:rPr>
          <w:t>[1]</w:t>
        </w:r>
      </w:hyperlink>
      <w:r>
        <w:t>.</w:t>
        <w:br/>
        <w:br/>
        <w:t xml:space="preserve">In benchmarking terms, TIM’s Strategy indicators cluster around “medium-high foundations with medium breadth.” This is a typical profile for operators that have formalized governance and launched visible initiatives but are still evolving toward a strategy that is measured, portfolio-disciplined, and board-instrumented. Moving from Strategy score ~3 to ~4+ typically requires not more vision, but more specificity: explicit enterprise AI KPIs tied to funding and accountability, more systematic disclosure of outcomes, and governance that is demonstrably lifecycle-based rather than document-based </w:t>
      </w:r>
      <w:hyperlink w:anchor="source_5">
        <w:r>
          <w:rPr>
            <w:color w:val="0563C1"/>
            <w:u w:val="single"/>
          </w:rPr>
          <w:t>[5]</w:t>
        </w:r>
      </w:hyperlink>
      <w:hyperlink w:anchor="source_6">
        <w:r>
          <w:rPr>
            <w:color w:val="0563C1"/>
            <w:u w:val="single"/>
          </w:rPr>
          <w:t>[6]</w:t>
        </w:r>
      </w:hyperlink>
      <w:r>
        <w:t>.</w:t>
      </w:r>
    </w:p>
    <w:p>
      <w:pPr>
        <w:spacing w:after="240"/>
      </w:pPr>
      <w:r>
        <w:rPr>
          <w:b/>
        </w:rPr>
        <w:t xml:space="preserve">High Maturity Description. </w:t>
      </w:r>
    </w:p>
    <w:p>
      <w:pPr>
        <w:spacing w:after="240"/>
      </w:pPr>
      <w:r>
        <w:t xml:space="preserve">High maturity (score 5) in Strategy means AI is not treated as a technology program but as a managed portfolio of value-creation bets with auditable governance and clear ownership from board to frontline. In practice, a leading telecom operator demonstrates three characteristics. First, it runs a “value thesis” for AI that is specific to telecom economics: it quantifies how AI will shift unit cost curves (cost per ticket, cost per GB, opex per site), how it will improve customer economics (churn, ARPU mix, digital care deflection), and how it will create new revenue pools (AI-enabled B2B services, sovereign compute, network APIs) </w:t>
      </w:r>
      <w:hyperlink w:anchor="source_6">
        <w:r>
          <w:rPr>
            <w:color w:val="0563C1"/>
            <w:u w:val="single"/>
          </w:rPr>
          <w:t>[6]</w:t>
        </w:r>
      </w:hyperlink>
      <w:hyperlink w:anchor="source_7">
        <w:r>
          <w:rPr>
            <w:color w:val="0563C1"/>
            <w:u w:val="single"/>
          </w:rPr>
          <w:t>[7]</w:t>
        </w:r>
      </w:hyperlink>
      <w:r>
        <w:t>. Second, it institutionalizes accountability: board-level oversight is explicit, executive ownership is stable, and every major AI initiative has named product, data, risk, and run owners with stage-gated decisions and a documented model inventory. Third, it localizes at scale: models are adapted for language, culture, and regulatory constraints, and performance parity is measured across segments and channels.</w:t>
        <w:br/>
        <w:br/>
        <w:t xml:space="preserve">For TIM, a high-maturity endpoint by 2030 would look like a “network-and-customer twin” strategy: autonomous network operations (closed-loop where appropriate, human-in-the-loop where required) combined with continuously optimized customer journeys in digital and assisted channels. The strategic centerpiece would be a small set of lighthouse programs—autonomous assurance and change management in the network; AI-first customer care with measurable deflection and quality uplift; and an AI-enabled enterprise portfolio integrated with TIM’s cloud, security, and digital identity growth plans—each tracked through quarterly value realization with finance sign-off </w:t>
      </w:r>
      <w:hyperlink w:anchor="source_2">
        <w:r>
          <w:rPr>
            <w:color w:val="0563C1"/>
            <w:u w:val="single"/>
          </w:rPr>
          <w:t>[2]</w:t>
        </w:r>
      </w:hyperlink>
      <w:hyperlink w:anchor="source_3">
        <w:r>
          <w:rPr>
            <w:color w:val="0563C1"/>
            <w:u w:val="single"/>
          </w:rPr>
          <w:t>[3]</w:t>
        </w:r>
      </w:hyperlink>
      <w:r>
        <w:t>.</w:t>
        <w:br/>
        <w:br/>
        <w:t>The causal insight is that Strategy is the upstream constraint on every other maturity dimension. When Strategy is precise and metrics-driven, Execution becomes faster because teams stop debating priorities and start reusing patterns; Technical investments become cheaper because platforms are standardized; Organizational change is easier because people can see the why and the scorecard; and Innovation becomes targeted because R&amp;D and partnerships align to a defined set of differentiation themes. Conversely, when Strategy is coherent but not fully instrumented—as TIM’s current evidence suggests—the organization risks “scaled activity without scaled proof”: many initiatives, partners, and tools, but limited enterprise transparency on what is working and why.</w:t>
        <w:br/>
        <w:br/>
        <w:t xml:space="preserve">To reach High maturity, TIM does not need to copy the most public-forward peers; it needs to formalize the strategic contract. That means elevating board competency and committee oversight for AI, publishing a consistent enterprise KPI set for AI outcomes, and making investment decisions transparently contingent on ex-ante business cases and ex-post realized benefits. Doing so would shift TIM from a governance-led, follower-timed strategy to a strategy that actively shapes operating performance and market differentiation in the European telecom landscape </w:t>
      </w:r>
      <w:hyperlink w:anchor="source_5">
        <w:r>
          <w:rPr>
            <w:color w:val="0563C1"/>
            <w:u w:val="single"/>
          </w:rPr>
          <w:t>[5]</w:t>
        </w:r>
      </w:hyperlink>
      <w:hyperlink w:anchor="source_6">
        <w:r>
          <w:rPr>
            <w:color w:val="0563C1"/>
            <w:u w:val="single"/>
          </w:rPr>
          <w:t>[6]</w:t>
        </w:r>
      </w:hyperlink>
      <w:r>
        <w:t>.</w:t>
      </w:r>
    </w:p>
    <w:p>
      <w:pPr>
        <w:pStyle w:val="Heading2"/>
        <w:spacing w:after="240"/>
      </w:pPr>
      <w:r>
        <w:t>Execution</w:t>
      </w:r>
    </w:p>
    <w:p>
      <w:pPr>
        <w:spacing w:after="240"/>
      </w:pPr>
      <w:r>
        <w:rPr>
          <w:b/>
        </w:rPr>
        <w:t xml:space="preserve">Definition: </w:t>
      </w:r>
    </w:p>
    <w:p>
      <w:pPr>
        <w:spacing w:after="240"/>
      </w:pPr>
      <w:r>
        <w:t xml:space="preserve">Execution maturity captures whether AI strategy is translated into scaled, repeatable deployments that change how the company operates—not just what the company experiments with. In telecom, this dimension is decisive because the industry’s economics reward disciplined industrialization: automating assurance and change management, improving contact-center productivity, reducing truck rolls, optimizing energy usage, and improving churn outcomes all require AI to be embedded in day-to-day workflows with reliability, measurement, and ownership. TIM’s Execution score (2.7) signals that the company is beyond experimentation in selected domains—supported by meaningful funding, partnerships, and regulatory alignment—yet is still constrained by weak portfolio transparency, limited documented use-case scaling, and immature benefits-realization and model observability disciplines </w:t>
      </w:r>
      <w:hyperlink w:anchor="source_1">
        <w:r>
          <w:rPr>
            <w:color w:val="0563C1"/>
            <w:u w:val="single"/>
          </w:rPr>
          <w:t>[1]</w:t>
        </w:r>
      </w:hyperlink>
      <w:hyperlink w:anchor="source_2">
        <w:r>
          <w:rPr>
            <w:color w:val="0563C1"/>
            <w:u w:val="single"/>
          </w:rPr>
          <w:t>[2]</w:t>
        </w:r>
      </w:hyperlink>
      <w:r>
        <w:t>.</w:t>
        <w:br/>
        <w:br/>
        <w:t xml:space="preserve">TIM’s execution pattern is best described as “enablement ahead of proof.” The organization allocates resources to AI-related training and transformation, invests in infrastructure and partnerships, and integrates AI into several core processes (e.g., customer service automation and network operations), which is consistent with an operator building the machinery to scale </w:t>
      </w:r>
      <w:hyperlink w:anchor="source_2">
        <w:r>
          <w:rPr>
            <w:color w:val="0563C1"/>
            <w:u w:val="single"/>
          </w:rPr>
          <w:t>[2]</w:t>
        </w:r>
      </w:hyperlink>
      <w:hyperlink w:anchor="source_3">
        <w:r>
          <w:rPr>
            <w:color w:val="0563C1"/>
            <w:u w:val="single"/>
          </w:rPr>
          <w:t>[3]</w:t>
        </w:r>
      </w:hyperlink>
      <w:r>
        <w:t xml:space="preserve">. However, the evidence base also shows that only a small number of use cases are documented in a way that allows independent counting and comparison, and only a subset of those disclose quantified impact. This creates a credibility and steering gap: management may believe AI is widespread, but without a consistently evidenced portfolio and standardized ROI tracking, the organization cannot reliably learn which patterns should be replicated and which should be stopped </w:t>
      </w:r>
      <w:hyperlink w:anchor="source_1">
        <w:r>
          <w:rPr>
            <w:color w:val="0563C1"/>
            <w:u w:val="single"/>
          </w:rPr>
          <w:t>[1]</w:t>
        </w:r>
      </w:hyperlink>
      <w:hyperlink w:anchor="source_3">
        <w:r>
          <w:rPr>
            <w:color w:val="0563C1"/>
            <w:u w:val="single"/>
          </w:rPr>
          <w:t>[3]</w:t>
        </w:r>
      </w:hyperlink>
      <w:r>
        <w:t>.</w:t>
        <w:br/>
        <w:br/>
        <w:t xml:space="preserve">In telecom, the ability to execute is increasingly shaped by two structural forces. The first is system complexity: OSS/BSS architectures are heterogeneous, and many AI use cases require integration across CRM, billing, provisioning, network telemetry, and workforce management. The second is regulatory scrutiny: AI systems touch consumers and critical infrastructure, so the execution engine must embed privacy-by-design, risk classification, and auditability. TIM shows notable strength on the compliance side—guidelines, DPIA practices, and cross-functional governance mechanisms are evidenced—suggesting the company can execute responsibly even as it scales </w:t>
      </w:r>
      <w:hyperlink w:anchor="source_1">
        <w:r>
          <w:rPr>
            <w:color w:val="0563C1"/>
            <w:u w:val="single"/>
          </w:rPr>
          <w:t>[1]</w:t>
        </w:r>
      </w:hyperlink>
      <w:hyperlink w:anchor="source_2">
        <w:r>
          <w:rPr>
            <w:color w:val="0563C1"/>
            <w:u w:val="single"/>
          </w:rPr>
          <w:t>[2]</w:t>
        </w:r>
      </w:hyperlink>
      <w:r>
        <w:t xml:space="preserve">. The weaker side is operational measurement: business-visible model monitoring, external benchmarking for delivery performance, and finance-grade benefit verification are not consistently evidenced </w:t>
      </w:r>
      <w:hyperlink w:anchor="source_1">
        <w:r>
          <w:rPr>
            <w:color w:val="0563C1"/>
            <w:u w:val="single"/>
          </w:rPr>
          <w:t>[1]</w:t>
        </w:r>
      </w:hyperlink>
      <w:r>
        <w:t>.</w:t>
        <w:br/>
        <w:br/>
        <w:t xml:space="preserve">Peer comparison highlights what “good” looks like in execution maturity. Vodafone and Orange, for example, signal broader industrialization through repeated public references to scaled deployment and measurable improvements in customer experience and operations, supported by more explicit platformization and multi-market rollout narratives </w:t>
      </w:r>
      <w:hyperlink w:anchor="source_5">
        <w:r>
          <w:rPr>
            <w:color w:val="0563C1"/>
            <w:u w:val="single"/>
          </w:rPr>
          <w:t>[5]</w:t>
        </w:r>
      </w:hyperlink>
      <w:hyperlink w:anchor="source_6">
        <w:r>
          <w:rPr>
            <w:color w:val="0563C1"/>
            <w:u w:val="single"/>
          </w:rPr>
          <w:t>[6]</w:t>
        </w:r>
      </w:hyperlink>
      <w:r>
        <w:t>. TIM’s execution signals are credible but narrower and more Italy-centric in what is verified, which implies a risk that the organization’s partner ecosystem and infrastructure investments could outpace the operational disciplines needed to capture value repeatedly.</w:t>
        <w:br/>
        <w:br/>
        <w:t>By 2030, the execution bar will rise again: GenAI and agentic automation will not be differentiated by the presence of assistants, but by closed-loop integration into network and enterprise workflows with auditable controls, fast iteration cycles, and clear productivity or revenue outcomes. TIM’s path to that future is less about launching more pilots and more about upgrading the execution operating system—portfolio governance, MLOps-to-operations handover, and benefits realization—so that each additional AI deployment is cheaper, faster, and more measurable than the last.</w:t>
      </w:r>
    </w:p>
    <w:p>
      <w:pPr>
        <w:spacing w:after="240"/>
      </w:pPr>
      <w:r>
        <w:rPr>
          <w:b/>
        </w:rPr>
        <w:t xml:space="preserve">Scope &amp; Indicators. </w:t>
      </w:r>
    </w:p>
    <w:p>
      <w:pPr>
        <w:spacing w:after="240"/>
      </w:pPr>
      <w:r>
        <w:t xml:space="preserve">Execution is measured through KPI drivers that test the organization’s capacity to deliver AI at scale and to realize measurable value. The model evaluates funding and resourcing (financial, human, and technological), sourcing approach (in-house vs partner), operational integration (whether AI is embedded in core processes), rollout and usage at scale, cadence of releases and continuous improvement, business-visible monitoring for models in production, regulatory alignment during rollout (e.g., DPIA/DSAR readiness and artifacting), portfolio balancing (impact/feasibility/risk/time-to-value), use-case volume, and the proportion of use cases with measured financial or operational impact </w:t>
      </w:r>
      <w:hyperlink w:anchor="source_1">
        <w:r>
          <w:rPr>
            <w:color w:val="0563C1"/>
            <w:u w:val="single"/>
          </w:rPr>
          <w:t>[1]</w:t>
        </w:r>
      </w:hyperlink>
      <w:hyperlink w:anchor="source_2">
        <w:r>
          <w:rPr>
            <w:color w:val="0563C1"/>
            <w:u w:val="single"/>
          </w:rPr>
          <w:t>[2]</w:t>
        </w:r>
      </w:hyperlink>
      <w:r>
        <w:t>. Telecom-specific emphasis is placed on operational KPIs that matter at scale: MTTR, alarm-handling time, change success rate, AHT in customer care, first-call resolution, digital self-service containment, fraud detection effectiveness, and workforce productivity in field operations.</w:t>
        <w:br/>
        <w:br/>
        <w:t xml:space="preserve">TIM shows a mixed execution profile that explains the 2.7 score. On the enabling side, funding signals are strong: AI-related reskilling and training volumes and spend are evidenced, and broader transformation investment envelopes reference AI as a core lever </w:t>
      </w:r>
      <w:hyperlink w:anchor="source_2">
        <w:r>
          <w:rPr>
            <w:color w:val="0563C1"/>
            <w:u w:val="single"/>
          </w:rPr>
          <w:t>[2]</w:t>
        </w:r>
      </w:hyperlink>
      <w:r>
        <w:t xml:space="preserve">. A hybrid build–buy–partner approach is visible through extensive partnerships with major vendors and the presence of internal capability nodes in cloud, IoT/vertical solutions, and security—an execution accelerator in telecom where integration complexity is high </w:t>
      </w:r>
      <w:hyperlink w:anchor="source_2">
        <w:r>
          <w:rPr>
            <w:color w:val="0563C1"/>
            <w:u w:val="single"/>
          </w:rPr>
          <w:t>[2]</w:t>
        </w:r>
      </w:hyperlink>
      <w:hyperlink w:anchor="source_3">
        <w:r>
          <w:rPr>
            <w:color w:val="0563C1"/>
            <w:u w:val="single"/>
          </w:rPr>
          <w:t>[3]</w:t>
        </w:r>
      </w:hyperlink>
      <w:r>
        <w:t xml:space="preserve">. Integration into core processes is evidenced across multiple domains: network operations automation at the group level (including a subsidiary example with quantified time savings) and customer care automation with quantified customer satisfaction improvement in at least one market context </w:t>
      </w:r>
      <w:hyperlink w:anchor="source_3">
        <w:r>
          <w:rPr>
            <w:color w:val="0563C1"/>
            <w:u w:val="single"/>
          </w:rPr>
          <w:t>[3]</w:t>
        </w:r>
      </w:hyperlink>
      <w:hyperlink w:anchor="source_4">
        <w:r>
          <w:rPr>
            <w:color w:val="0563C1"/>
            <w:u w:val="single"/>
          </w:rPr>
          <w:t>[4]</w:t>
        </w:r>
      </w:hyperlink>
      <w:r>
        <w:t xml:space="preserve">. Regulatory alignment appears comparatively mature, reflecting a governance posture that reduces the risk of scaling consumer-facing AI without controls </w:t>
      </w:r>
      <w:hyperlink w:anchor="source_1">
        <w:r>
          <w:rPr>
            <w:color w:val="0563C1"/>
            <w:u w:val="single"/>
          </w:rPr>
          <w:t>[1]</w:t>
        </w:r>
      </w:hyperlink>
      <w:hyperlink w:anchor="source_2">
        <w:r>
          <w:rPr>
            <w:color w:val="0563C1"/>
            <w:u w:val="single"/>
          </w:rPr>
          <w:t>[2]</w:t>
        </w:r>
      </w:hyperlink>
      <w:r>
        <w:t>.</w:t>
        <w:br/>
        <w:br/>
        <w:t xml:space="preserve">The underperformance comes from measurement and scaling transparency. The number of documented use cases is low relative to what is implied in broader disclosures, which makes the portfolio hard to benchmark and manage using consistent criteria </w:t>
      </w:r>
      <w:hyperlink w:anchor="source_1">
        <w:r>
          <w:rPr>
            <w:color w:val="0563C1"/>
            <w:u w:val="single"/>
          </w:rPr>
          <w:t>[1]</w:t>
        </w:r>
      </w:hyperlink>
      <w:r>
        <w:t xml:space="preserve">. Only a small subset of deployments demonstrates quantified financial or efficiency impact, and there is limited evidence of a standardized, auditable methodology for estimating and verifying ROI across the portfolio </w:t>
      </w:r>
      <w:hyperlink w:anchor="source_1">
        <w:r>
          <w:rPr>
            <w:color w:val="0563C1"/>
            <w:u w:val="single"/>
          </w:rPr>
          <w:t>[1]</w:t>
        </w:r>
      </w:hyperlink>
      <w:hyperlink w:anchor="source_3">
        <w:r>
          <w:rPr>
            <w:color w:val="0563C1"/>
            <w:u w:val="single"/>
          </w:rPr>
          <w:t>[3]</w:t>
        </w:r>
      </w:hyperlink>
      <w:r>
        <w:t xml:space="preserve">. External benchmarking of AI delivery performance—speed, quality, and cost—is largely absent, which means improvement targets risk being internally referenced rather than top-quartile anchored </w:t>
      </w:r>
      <w:hyperlink w:anchor="source_1">
        <w:r>
          <w:rPr>
            <w:color w:val="0563C1"/>
            <w:u w:val="single"/>
          </w:rPr>
          <w:t>[1]</w:t>
        </w:r>
      </w:hyperlink>
      <w:r>
        <w:t xml:space="preserve">. Finally, model monitoring appears more oriented toward technical and risk frameworks than toward product-owner dashboards with drift, data quality, incidents, and SLA-linked remediation—an important gap as AI becomes embedded in mission-critical operational loops </w:t>
      </w:r>
      <w:hyperlink w:anchor="source_1">
        <w:r>
          <w:rPr>
            <w:color w:val="0563C1"/>
            <w:u w:val="single"/>
          </w:rPr>
          <w:t>[1]</w:t>
        </w:r>
      </w:hyperlink>
      <w:hyperlink w:anchor="source_2">
        <w:r>
          <w:rPr>
            <w:color w:val="0563C1"/>
            <w:u w:val="single"/>
          </w:rPr>
          <w:t>[2]</w:t>
        </w:r>
      </w:hyperlink>
      <w:r>
        <w:t>.</w:t>
        <w:br/>
        <w:br/>
        <w:t xml:space="preserve">In telecom benchmarking terms, these gaps are consequential because they create “scale without steering.” An operator can deploy several AI solutions and still fail to achieve compounding maturity if it cannot compare outcomes, standardize delivery patterns, and build a reusable library of data products and model components. Peers that score higher in execution typically demonstrate a tighter link between deployment and outcome reporting, more systematic platform reuse, and clearer evidence of operational monitoring that is visible to business owners, not only to technical teams </w:t>
      </w:r>
      <w:hyperlink w:anchor="source_5">
        <w:r>
          <w:rPr>
            <w:color w:val="0563C1"/>
            <w:u w:val="single"/>
          </w:rPr>
          <w:t>[5]</w:t>
        </w:r>
      </w:hyperlink>
      <w:hyperlink w:anchor="source_6">
        <w:r>
          <w:rPr>
            <w:color w:val="0563C1"/>
            <w:u w:val="single"/>
          </w:rPr>
          <w:t>[6]</w:t>
        </w:r>
      </w:hyperlink>
      <w:r>
        <w:t>.</w:t>
      </w:r>
    </w:p>
    <w:p>
      <w:pPr>
        <w:spacing w:after="240"/>
      </w:pPr>
      <w:r>
        <w:rPr>
          <w:b/>
        </w:rPr>
        <w:t xml:space="preserve">High Maturity Description. </w:t>
      </w:r>
    </w:p>
    <w:p>
      <w:pPr>
        <w:spacing w:after="240"/>
      </w:pPr>
      <w:r>
        <w:t>High maturity (score 5) in Execution means AI delivery is treated as an operating discipline with the same rigor as network rollout or financial control: standardized, auditable, continuously improved, and accountable. A telecom operator at this level runs a portfolio that is explicitly balanced by horizon and value; it uses stage gates with clear kill/scale decisions; and it embeds ex-ante and ex-post measurement so that forecast-to-actual benefit variance is managed, not discovered late. It also runs production AI with strong observability: model health (performance, drift, data quality), business KPIs (AHT, MTTR, churn), and incident management are unified in role-based dashboards with SLAs and automated alert-to-action workflows.</w:t>
        <w:br/>
        <w:br/>
        <w:t xml:space="preserve">For TIM, moving from 2.7 toward 4+ by 2030 requires converting its current strengths—funding, partnerships, and compliance posture—into repeatable value capture. The practical shift is to make the “unit of execution” a productized use case with a defined lifecycle: data readiness, model build, deployment into OSS/BSS/CRM workflows, monitoring, retraining/iteration, and benefits realization. Two existing proof points illustrate why this matters. The network operations automation outcomes that show meaningful time reduction demonstrate that value is available when AI is embedded into operational loops and measured in operational terms </w:t>
      </w:r>
      <w:hyperlink w:anchor="source_3">
        <w:r>
          <w:rPr>
            <w:color w:val="0563C1"/>
            <w:u w:val="single"/>
          </w:rPr>
          <w:t>[3]</w:t>
        </w:r>
      </w:hyperlink>
      <w:r>
        <w:t xml:space="preserve">. Customer service automation outcomes show that AI can move customer satisfaction, but the strategic question becomes whether that benefit is sustained, replicated across segments, and tied to cost-to-serve and churn outcomes with credible attribution </w:t>
      </w:r>
      <w:hyperlink w:anchor="source_4">
        <w:r>
          <w:rPr>
            <w:color w:val="0563C1"/>
            <w:u w:val="single"/>
          </w:rPr>
          <w:t>[4]</w:t>
        </w:r>
      </w:hyperlink>
      <w:r>
        <w:t>.</w:t>
        <w:br/>
        <w:br/>
        <w:t>The causal insight is that execution maturity is the bridge between strategy and economics. In telecom, AI’s benefits are often incremental—single-digit percentage improvements across many processes—but the organization only captures those benefits if deployment is scaled and continuously optimized. Weak measurement disciplines constrain execution because teams cannot prioritize confidently, cannot build learning curves, and cannot defend investments under cost pressure. Conversely, strong compliance without strong value measurement can produce “safe AI” that is not economically transformative.</w:t>
        <w:br/>
        <w:br/>
        <w:t xml:space="preserve">By 2030, the leading execution pattern will involve agentic and closed-loop automations in bounded, high-control domains (e.g., network assurance, change management, fraud operations) paired with strong human-in-the-loop governance for higher-risk customer interactions. TIM can plausibly reach that state if it builds three execution capabilities now: a finance-grade benefit realization framework tied to an enterprise model inventory; business-visible observability that makes model performance and incidents an owned operational KPI; and disciplined portfolio governance that concentrates spend on a small set of scalable use cases with repeatable architectures. Those moves would reduce vendor lock-in risk, improve reuse and cadence, and turn today’s enablement momentum into sustained, peer-comparable outcomes </w:t>
      </w:r>
      <w:hyperlink w:anchor="source_1">
        <w:r>
          <w:rPr>
            <w:color w:val="0563C1"/>
            <w:u w:val="single"/>
          </w:rPr>
          <w:t>[1]</w:t>
        </w:r>
      </w:hyperlink>
      <w:hyperlink w:anchor="source_5">
        <w:r>
          <w:rPr>
            <w:color w:val="0563C1"/>
            <w:u w:val="single"/>
          </w:rPr>
          <w:t>[5]</w:t>
        </w:r>
      </w:hyperlink>
      <w:r>
        <w:t>.</w:t>
      </w:r>
    </w:p>
    <w:p>
      <w:pPr>
        <w:pStyle w:val="Heading2"/>
        <w:spacing w:after="240"/>
      </w:pPr>
      <w:r>
        <w:t>Technical</w:t>
      </w:r>
    </w:p>
    <w:p>
      <w:pPr>
        <w:spacing w:after="240"/>
      </w:pPr>
      <w:r>
        <w:rPr>
          <w:b/>
        </w:rPr>
        <w:t xml:space="preserve">Definition: </w:t>
      </w:r>
    </w:p>
    <w:p>
      <w:pPr>
        <w:spacing w:after="240"/>
      </w:pPr>
      <w:r>
        <w:t xml:space="preserve">Technical maturity captures whether TIM’s data, infrastructure, platforms, and engineering practices can support AI at scale with reliability, cost efficiency, and regulatory-grade controls. In telecom, this is not merely an IT question; it is a strategic constraint because the most valuable use cases—real-time network optimization, closed-loop assurance, personalized next-best-action, fraud prevention, and large-scale customer service automation—depend on streaming telemetry, low-latency processing, sovereign data handling, and robust ML lifecycle operations. TIM’s Technical score (2.9) reflects a polarized stack: strong “top-of-stack” assets in infrastructure scale, security and privacy controls, and partnerships, offset by weak “last-mile” disciplines in MLOps automation, metadata and semantic governance, and enterprise data leadership </w:t>
      </w:r>
      <w:hyperlink w:anchor="source_1">
        <w:r>
          <w:rPr>
            <w:color w:val="0563C1"/>
            <w:u w:val="single"/>
          </w:rPr>
          <w:t>[1]</w:t>
        </w:r>
      </w:hyperlink>
      <w:hyperlink w:anchor="source_2">
        <w:r>
          <w:rPr>
            <w:color w:val="0563C1"/>
            <w:u w:val="single"/>
          </w:rPr>
          <w:t>[2]</w:t>
        </w:r>
      </w:hyperlink>
      <w:r>
        <w:t>.</w:t>
        <w:br/>
        <w:br/>
        <w:t xml:space="preserve">The evidence suggests TIM has built meaningful technical capacity where telecom operators are investing heavily today: hybrid and edge-oriented infrastructure, data-center expansion, and a broad ecosystem of hyperscaler and vendor partners </w:t>
      </w:r>
      <w:hyperlink w:anchor="source_2">
        <w:r>
          <w:rPr>
            <w:color w:val="0563C1"/>
            <w:u w:val="single"/>
          </w:rPr>
          <w:t>[2]</w:t>
        </w:r>
      </w:hyperlink>
      <w:hyperlink w:anchor="source_3">
        <w:r>
          <w:rPr>
            <w:color w:val="0563C1"/>
            <w:u w:val="single"/>
          </w:rPr>
          <w:t>[3]</w:t>
        </w:r>
      </w:hyperlink>
      <w:r>
        <w:t xml:space="preserve">. This matters because the industry’s AI workload profile is changing. Classical ML can often run centrally, but GenAI and network automation increasingly require a combination of centralized foundation-model services, domain-specific retrieval and orchestration, and edge compute for latency-sensitive or sovereignty-constrained use cases. TIM’s infrastructure investments and partnerships position it to participate in that shift rather than be structurally excluded </w:t>
      </w:r>
      <w:hyperlink w:anchor="source_2">
        <w:r>
          <w:rPr>
            <w:color w:val="0563C1"/>
            <w:u w:val="single"/>
          </w:rPr>
          <w:t>[2]</w:t>
        </w:r>
      </w:hyperlink>
      <w:r>
        <w:t>.</w:t>
        <w:br/>
        <w:br/>
        <w:t xml:space="preserve">Yet the technical bottleneck for AI maturity in telecom is increasingly the production operating system for models, not the availability of tools. TIM’s low MLOps workflow maturity signals that automation from experimentation to CI/CD release, standardized model registry practices, drift monitoring, and reproducible pipelines are not yet clearly evidenced at enterprise scale </w:t>
      </w:r>
      <w:hyperlink w:anchor="source_1">
        <w:r>
          <w:rPr>
            <w:color w:val="0563C1"/>
            <w:u w:val="single"/>
          </w:rPr>
          <w:t>[1]</w:t>
        </w:r>
      </w:hyperlink>
      <w:r>
        <w:t>. This is not a cosmetic gap: in telecom, models degrade as network conditions change, as customer behavior shifts, and as product and tariff structures evolve. Without strong MLOps and data product governance, AI becomes fragile—creating operational risk and slowing the speed of iteration.</w:t>
        <w:br/>
        <w:br/>
        <w:t xml:space="preserve">Peer comparison again clarifies the stakes. Operators that score higher technically tend to show a clearer “platform story”: standardized AI and data platforms, more explicit MLOps practices, and stronger semantic governance and self-service data access (under strict controls). Deutsche Telekom and Swisscom, for example, signal more explicit platformization and sovereign AI positioning in public narratives, and Vodafone’s technical posture emphasizes industrialized MLOps at scale </w:t>
      </w:r>
      <w:hyperlink w:anchor="source_5">
        <w:r>
          <w:rPr>
            <w:color w:val="0563C1"/>
            <w:u w:val="single"/>
          </w:rPr>
          <w:t>[5]</w:t>
        </w:r>
      </w:hyperlink>
      <w:hyperlink w:anchor="source_7">
        <w:r>
          <w:rPr>
            <w:color w:val="0563C1"/>
            <w:u w:val="single"/>
          </w:rPr>
          <w:t>[7]</w:t>
        </w:r>
      </w:hyperlink>
      <w:r>
        <w:t>. TIM’s current strengths are credible, but its maturity will be determined by whether it can convert platform and partnership assets into a standardized, reproducible ML lifecycle and a governed data foundation that is usable across domains.</w:t>
        <w:br/>
        <w:br/>
        <w:t>By 2030, technical maturity in telecom will be defined by the ability to operate AI like a network: with observability, resilience, automated control loops, and standardized interfaces. TIM’s path is therefore to close the gap between having powerful infrastructure and being able to operate models reliably across hundreds of use cases with consistent controls, reuse, and cost efficiency.</w:t>
      </w:r>
    </w:p>
    <w:p>
      <w:pPr>
        <w:spacing w:after="240"/>
      </w:pPr>
      <w:r>
        <w:rPr>
          <w:b/>
        </w:rPr>
        <w:t xml:space="preserve">Scope &amp; Indicators. </w:t>
      </w:r>
    </w:p>
    <w:p>
      <w:pPr>
        <w:spacing w:after="240"/>
      </w:pPr>
      <w:r>
        <w:t xml:space="preserve">The Technical dimension measures the maturity of the foundations that make AI scalable and safe: data governance leadership, data strategy and architecture, integration and interoperability, metadata and semantic management, infrastructure scalability, AI/analytics platforms, MLOps and model management, self-service data and AI portals, policy and standards enforcement, security and privacy mechanisms, legacy modernization, and the ability to adopt complementary technologies (edge/5G, IoT, cloud, and other AI-adjacent capabilities) that expand the feasible use-case set </w:t>
      </w:r>
      <w:hyperlink w:anchor="source_1">
        <w:r>
          <w:rPr>
            <w:color w:val="0563C1"/>
            <w:u w:val="single"/>
          </w:rPr>
          <w:t>[1]</w:t>
        </w:r>
      </w:hyperlink>
      <w:hyperlink w:anchor="source_2">
        <w:r>
          <w:rPr>
            <w:color w:val="0563C1"/>
            <w:u w:val="single"/>
          </w:rPr>
          <w:t>[2]</w:t>
        </w:r>
      </w:hyperlink>
      <w:r>
        <w:t>. In telecom, these indicators are interpreted through a sector lens: ability to ingest and harmonize network telemetry with customer and product data; ability to support low-latency decisioning; ability to provide sovereign processing where required; and the engineering discipline to run models in production with safety and reliability.</w:t>
        <w:br/>
        <w:br/>
        <w:t xml:space="preserve">TIM’s technical strengths are concentrated in infrastructure and governance controls. Evidence indicates significant data-center footprint and expansion, edge-cloud investment, and multi-cloud capabilities supported by partnerships with major technology providers </w:t>
      </w:r>
      <w:hyperlink w:anchor="source_2">
        <w:r>
          <w:rPr>
            <w:color w:val="0563C1"/>
            <w:u w:val="single"/>
          </w:rPr>
          <w:t>[2]</w:t>
        </w:r>
      </w:hyperlink>
      <w:hyperlink w:anchor="source_3">
        <w:r>
          <w:rPr>
            <w:color w:val="0563C1"/>
            <w:u w:val="single"/>
          </w:rPr>
          <w:t>[3]</w:t>
        </w:r>
      </w:hyperlink>
      <w:r>
        <w:t xml:space="preserve">. Security and privacy-by-design controls are well evidenced, including formal governance structures and certifications, which is a critical prerequisite for scaling consumer-facing AI in Europe </w:t>
      </w:r>
      <w:hyperlink w:anchor="source_1">
        <w:r>
          <w:rPr>
            <w:color w:val="0563C1"/>
            <w:u w:val="single"/>
          </w:rPr>
          <w:t>[1]</w:t>
        </w:r>
      </w:hyperlink>
      <w:hyperlink w:anchor="source_2">
        <w:r>
          <w:rPr>
            <w:color w:val="0563C1"/>
            <w:u w:val="single"/>
          </w:rPr>
          <w:t>[2]</w:t>
        </w:r>
      </w:hyperlink>
      <w:r>
        <w:t xml:space="preserve">. The breadth of partnerships is particularly strong, suggesting TIM has access to a wide range of tools and expertise—an advantage if it is matched with reference architectures and rationalized platform patterns </w:t>
      </w:r>
      <w:hyperlink w:anchor="source_2">
        <w:r>
          <w:rPr>
            <w:color w:val="0563C1"/>
            <w:u w:val="single"/>
          </w:rPr>
          <w:t>[2]</w:t>
        </w:r>
      </w:hyperlink>
      <w:r>
        <w:t>.</w:t>
        <w:br/>
        <w:br/>
        <w:t xml:space="preserve">However, several foundational engineering and data-operating elements are under-evidenced or explicitly scored low. First, enterprise data leadership is privacy-centric rather than value-creation-centric: the presence of a DPO-led governance construct is strong for compliance, but there is limited evidence of an enterprise CDO-style mandate focused on data product strategy, standardization, and expansion for AI use cases </w:t>
      </w:r>
      <w:hyperlink w:anchor="source_1">
        <w:r>
          <w:rPr>
            <w:color w:val="0563C1"/>
            <w:u w:val="single"/>
          </w:rPr>
          <w:t>[1]</w:t>
        </w:r>
      </w:hyperlink>
      <w:r>
        <w:t xml:space="preserve">. Second, MLOps maturity is weak: policies and governance are described, yet there is limited evidence of automated model lifecycle tooling (versioning, CI/CD, automated testing, drift monitoring, retraining pipelines) or a reproducible workflow from experimentation to production release </w:t>
      </w:r>
      <w:hyperlink w:anchor="source_1">
        <w:r>
          <w:rPr>
            <w:color w:val="0563C1"/>
            <w:u w:val="single"/>
          </w:rPr>
          <w:t>[1]</w:t>
        </w:r>
      </w:hyperlink>
      <w:r>
        <w:t xml:space="preserve">. Third, semantic and discovery capabilities—metadata management, business glossary, lineage, and canonical data model practices—appear early or partial, limiting reuse and increasing time-to-data for AI teams </w:t>
      </w:r>
      <w:hyperlink w:anchor="source_1">
        <w:r>
          <w:rPr>
            <w:color w:val="0563C1"/>
            <w:u w:val="single"/>
          </w:rPr>
          <w:t>[1]</w:t>
        </w:r>
      </w:hyperlink>
      <w:hyperlink w:anchor="source_2">
        <w:r>
          <w:rPr>
            <w:color w:val="0563C1"/>
            <w:u w:val="single"/>
          </w:rPr>
          <w:t>[2]</w:t>
        </w:r>
      </w:hyperlink>
      <w:r>
        <w:t xml:space="preserve">. Fourth, self-service access is evidenced more as infrastructure management and cloud governance than as a governed data and model marketplace with catalog, approvals, and usage analytics—a capability that becomes essential when AI adoption moves beyond centralized teams to federated product and operations groups </w:t>
      </w:r>
      <w:hyperlink w:anchor="source_1">
        <w:r>
          <w:rPr>
            <w:color w:val="0563C1"/>
            <w:u w:val="single"/>
          </w:rPr>
          <w:t>[1]</w:t>
        </w:r>
      </w:hyperlink>
      <w:r>
        <w:t>.</w:t>
        <w:br/>
        <w:br/>
        <w:t>These gaps have practical implications. In telecom, most high-value AI use cases require linking data across silos (network, customer, product, finance, field operations) and maintaining model performance under changing conditions. Weak metadata and canonical modeling slow this integration; weak MLOps increases operational risk; and lack of enterprise data leadership makes it harder to resolve cross-domain trade-offs and standardize patterns.</w:t>
        <w:br/>
        <w:br/>
        <w:t xml:space="preserve">Relative to peers, TIM’s technical profile resembles many European operators in mid-maturity: strong infra and compliance, weaker model operations and semantic governance. The difference between a 3 and a 4+ technical score is typically not another vendor partnership or another tool, but the establishment of a single “golden path” for data and ML delivery—standardized platforms, data products with owners, and enterprise-grade MLOps that makes deployment and monitoring routine rather than bespoke </w:t>
      </w:r>
      <w:hyperlink w:anchor="source_5">
        <w:r>
          <w:rPr>
            <w:color w:val="0563C1"/>
            <w:u w:val="single"/>
          </w:rPr>
          <w:t>[5]</w:t>
        </w:r>
      </w:hyperlink>
      <w:hyperlink w:anchor="source_7">
        <w:r>
          <w:rPr>
            <w:color w:val="0563C1"/>
            <w:u w:val="single"/>
          </w:rPr>
          <w:t>[7]</w:t>
        </w:r>
      </w:hyperlink>
      <w:r>
        <w:t>.</w:t>
      </w:r>
    </w:p>
    <w:p>
      <w:pPr>
        <w:spacing w:after="240"/>
      </w:pPr>
      <w:r>
        <w:rPr>
          <w:b/>
        </w:rPr>
        <w:t xml:space="preserve">High Maturity Description. </w:t>
      </w:r>
    </w:p>
    <w:p>
      <w:pPr>
        <w:spacing w:after="240"/>
      </w:pPr>
      <w:r>
        <w:t>High maturity (score 5) in Technical means the AI stack is standardized, observable, and self-service within clear guardrails. A leading telecom operator at this level has three technical properties. First, it runs a coherent architecture that connects network and IT data domains through governed data products (or a disciplined data mesh), with a semantic layer that supports reuse across OSS/BSS, customer, and enterprise analytics. Second, it operates enterprise MLOps: model registries, CI/CD, automated testing, feature stores where relevant, drift and data-quality monitoring, and automated rollback and incident response are standard for production systems. Third, it treats security, privacy, and compliance as “policy-as-code,” so control evidence is generated continuously and auditability scales with usage.</w:t>
        <w:br/>
        <w:br/>
        <w:t xml:space="preserve">For TIM, the highest-value technical evolution by 2030 is to turn its strong infrastructure and partner ecosystem into a repeatable “telco AI factory” operating model—one that can support network autonomy use cases and GenAI copilots at scale without sacrificing reliability or sovereignty requirements. Concretely, that would involve appointing an enterprise data leader with authority across domains; establishing a governed data foundation (glossary, lineage, canonical model or data contracts) anchored in owned data products; and implementing standardized MLOps patterns that make model development reproducible and measurable </w:t>
      </w:r>
      <w:hyperlink w:anchor="source_1">
        <w:r>
          <w:rPr>
            <w:color w:val="0563C1"/>
            <w:u w:val="single"/>
          </w:rPr>
          <w:t>[1]</w:t>
        </w:r>
      </w:hyperlink>
      <w:hyperlink w:anchor="source_2">
        <w:r>
          <w:rPr>
            <w:color w:val="0563C1"/>
            <w:u w:val="single"/>
          </w:rPr>
          <w:t>[2]</w:t>
        </w:r>
      </w:hyperlink>
      <w:r>
        <w:t>. It also implies tightening the coupling between model monitoring and business operations: drift and performance alerts need to be visible not only to technical teams but to service owners who are accountable for MTTR, NPS, and operational cost.</w:t>
        <w:br/>
        <w:br/>
        <w:t>The causal insight is that technical maturity is the “rate limiter” on innovation and execution. TIM’s current polarization—strong infrastructure and controls, weaker MLOps and semantic governance—explains why strategy and organizational governance can be credible while execution struggles to demonstrate scaled, repeatable outcomes. When MLOps is immature, each model deployment is effectively a bespoke engineering project; when metadata and semantics are weak, each use case spends disproportionate time on data discovery and reconciliation; when leadership for data is diffuse, cross-domain reuse is slow and costly. These constraints directly cap execution cadence and make it harder to scale beyond a handful of measurable lighthouse deployments.</w:t>
        <w:br/>
        <w:br/>
        <w:t xml:space="preserve">Reaching High maturity will require TIM to shift from “platform presence” to “platform discipline.” That means rationalizing tools under reference architectures, standardizing model lifecycle and data governance practices, expanding self-service capabilities into a controlled data and AI marketplace, and ensuring that cost and performance observability are built into the stack (especially as GenAI inference costs become material). If TIM makes these moves, the company can transform its existing infrastructure and compliance strengths into a durable technical advantage—enabling faster execution, safer scaling, and a stronger innovation pipeline through 2030 </w:t>
      </w:r>
      <w:hyperlink w:anchor="source_5">
        <w:r>
          <w:rPr>
            <w:color w:val="0563C1"/>
            <w:u w:val="single"/>
          </w:rPr>
          <w:t>[5]</w:t>
        </w:r>
      </w:hyperlink>
      <w:hyperlink w:anchor="source_7">
        <w:r>
          <w:rPr>
            <w:color w:val="0563C1"/>
            <w:u w:val="single"/>
          </w:rPr>
          <w:t>[7]</w:t>
        </w:r>
      </w:hyperlink>
      <w:r>
        <w:t>.</w:t>
      </w:r>
    </w:p>
    <w:p>
      <w:pPr>
        <w:pStyle w:val="Heading2"/>
        <w:spacing w:after="240"/>
      </w:pPr>
      <w:r>
        <w:t>Organizational</w:t>
      </w:r>
    </w:p>
    <w:p>
      <w:pPr>
        <w:spacing w:after="240"/>
      </w:pPr>
      <w:r>
        <w:rPr>
          <w:b/>
        </w:rPr>
        <w:t xml:space="preserve">Definition: </w:t>
      </w:r>
    </w:p>
    <w:p>
      <w:pPr>
        <w:spacing w:after="240"/>
      </w:pPr>
      <w:r>
        <w:t>Organizational maturity captures whether TIM has the people, governance, culture, and operating mechanisms to adopt AI safely and effectively at scale. In telecom, this dimension is frequently underestimated because the industry has strong engineering traditions and mature risk functions—yet AI adoption requires new collaboration patterns between network engineering, IT, commercial functions, legal/privacy, and frontline operations. It also requires trust: employees must see AI as a tool that changes work, not a threat managed only through compliance documents; customers must trust that AI interactions are fair and transparent; and regulators must trust that governance is real in practice.</w:t>
        <w:br/>
        <w:br/>
        <w:t xml:space="preserve">TIM’s Organizational score (3.4) indicates a comparatively strong governance-and-culture base with gaps in leadership architecture and transparently evidenced talent depth. The evidence points to board-approved guidelines and a cross-functional AI governance structure; robust ethics-by-design and compliance integration; and large-scale learning and enablement programs with disclosed participation metrics </w:t>
      </w:r>
      <w:hyperlink w:anchor="source_1">
        <w:r>
          <w:rPr>
            <w:color w:val="0563C1"/>
            <w:u w:val="single"/>
          </w:rPr>
          <w:t>[1]</w:t>
        </w:r>
      </w:hyperlink>
      <w:hyperlink w:anchor="source_2">
        <w:r>
          <w:rPr>
            <w:color w:val="0563C1"/>
            <w:u w:val="single"/>
          </w:rPr>
          <w:t>[2]</w:t>
        </w:r>
      </w:hyperlink>
      <w:r>
        <w:t xml:space="preserve">. At the same time, the organization appears to lack a single, clearly evidenced Chief AI Officer (or equivalent) role, and public evidence of a deep bench of named AI leaders and a clearly quantified AI workforce remains limited </w:t>
      </w:r>
      <w:hyperlink w:anchor="source_1">
        <w:r>
          <w:rPr>
            <w:color w:val="0563C1"/>
            <w:u w:val="single"/>
          </w:rPr>
          <w:t>[1]</w:t>
        </w:r>
      </w:hyperlink>
      <w:r>
        <w:t>. This creates a structural risk: governance can outpace delivery capacity if specialist leadership and talent density do not scale in tandem.</w:t>
        <w:br/>
        <w:br/>
        <w:t>Organizational maturity matters because telecom is operationally distributed. AI must be adopted across NOCs, field operations, customer care, digital product teams, and enterprise sales. Without a clear accountability model and a strong enablement engine, AI stays in centralized teams; without role clarity and lifecycle ownership, models become “orphans” in production; without ethical mechanisms and risk appetite, the organization either blocks innovation or scales unsafely.</w:t>
        <w:br/>
        <w:br/>
        <w:t xml:space="preserve">TIM’s culture and learning signals are notably positive. Disclosed training volumes and AI academy structures suggest a serious intent to build internal capability rather than outsource the future entirely </w:t>
      </w:r>
      <w:hyperlink w:anchor="source_2">
        <w:r>
          <w:rPr>
            <w:color w:val="0563C1"/>
            <w:u w:val="single"/>
          </w:rPr>
          <w:t>[2]</w:t>
        </w:r>
      </w:hyperlink>
      <w:r>
        <w:t>. This is strategically important because telecom operators face a persistent skills constraint and must often reskill at scale to avoid dependence on a thin layer of specialists.</w:t>
        <w:br/>
        <w:br/>
        <w:t xml:space="preserve">Comparatively, leading peers pair strong governance with visible leadership architecture: clear executive accountability, a federated network of domain leaders, and enterprise adoption mechanisms that embed AI into performance management. Orange and Vodafone, for example, signal strong responsible-AI governance and broad organizational adoption narratives, while Deutsche Telekom demonstrates highly visible, enterprise-wide AI enablement and change programs in its public positioning </w:t>
      </w:r>
      <w:hyperlink w:anchor="source_5">
        <w:r>
          <w:rPr>
            <w:color w:val="0563C1"/>
            <w:u w:val="single"/>
          </w:rPr>
          <w:t>[5]</w:t>
        </w:r>
      </w:hyperlink>
      <w:hyperlink w:anchor="source_6">
        <w:r>
          <w:rPr>
            <w:color w:val="0563C1"/>
            <w:u w:val="single"/>
          </w:rPr>
          <w:t>[6]</w:t>
        </w:r>
      </w:hyperlink>
      <w:hyperlink w:anchor="source_7">
        <w:r>
          <w:rPr>
            <w:color w:val="0563C1"/>
            <w:u w:val="single"/>
          </w:rPr>
          <w:t>[7]</w:t>
        </w:r>
      </w:hyperlink>
      <w:r>
        <w:t>. TIM’s organizational foundation is credible, but to become top-tier it must tighten the link between governance, leadership accountability, and measurable adoption outcomes.</w:t>
        <w:br/>
        <w:br/>
        <w:t>By 2030, organizational maturity will be defined by whether AI becomes a normal part of work—engineers, agents, marketers, and enterprise sales using AI within controlled environments—and whether that adoption is accompanied by measurable well-being, risk, and performance outcomes. TIM has many prerequisites; the next step is to institutionalize leadership and measurement so culture and governance translate into scaled execution.</w:t>
      </w:r>
    </w:p>
    <w:p>
      <w:pPr>
        <w:spacing w:after="240"/>
      </w:pPr>
      <w:r>
        <w:rPr>
          <w:b/>
        </w:rPr>
        <w:t xml:space="preserve">Scope &amp; Indicators. </w:t>
      </w:r>
    </w:p>
    <w:p>
      <w:pPr>
        <w:spacing w:after="240"/>
      </w:pPr>
      <w:r>
        <w:t xml:space="preserve">The Organizational dimension is assessed through indicators that measure AI talent, leadership and accountability, governance and ethics, change management, knowledge sharing, cultural readiness, employee well-being, and external trust-building. The model looks for evidence of AI hiring demand (job postings), the presence and clarity of AI leadership roles, the existence of a formal CAIO (or equivalent), the scale of AI specialist headcount, the maturity of role-based learning paths and certification, the strength of cross-functional governance structures, explicit risk appetite and approval guardrails, compliance reporting maturity, engagement with external AI ethics bodies, and the degree to which responsible AI is embedded into culture through training, audits, and whistleblowing mechanisms </w:t>
      </w:r>
      <w:hyperlink w:anchor="source_1">
        <w:r>
          <w:rPr>
            <w:color w:val="0563C1"/>
            <w:u w:val="single"/>
          </w:rPr>
          <w:t>[1]</w:t>
        </w:r>
      </w:hyperlink>
      <w:hyperlink w:anchor="source_2">
        <w:r>
          <w:rPr>
            <w:color w:val="0563C1"/>
            <w:u w:val="single"/>
          </w:rPr>
          <w:t>[2]</w:t>
        </w:r>
      </w:hyperlink>
      <w:r>
        <w:t>.</w:t>
        <w:br/>
        <w:br/>
        <w:t xml:space="preserve">TIM’s organizational evidence shows a strong governance and ethics backbone. Board-approved AI guidelines and cross-functional oversight structures suggest that AI risks are treated as enterprise risks rather than IT risks, and that decision rights and accountability exist at senior levels </w:t>
      </w:r>
      <w:hyperlink w:anchor="source_1">
        <w:r>
          <w:rPr>
            <w:color w:val="0563C1"/>
            <w:u w:val="single"/>
          </w:rPr>
          <w:t>[1]</w:t>
        </w:r>
      </w:hyperlink>
      <w:r>
        <w:t xml:space="preserve">. The company’s ethics-by-design posture is reinforced by policies and oversight mechanisms that are reviewed and updated, and by enterprise risk and compliance integration—an important signal for telecom operators operating under EU regulatory scrutiny </w:t>
      </w:r>
      <w:hyperlink w:anchor="source_1">
        <w:r>
          <w:rPr>
            <w:color w:val="0563C1"/>
            <w:u w:val="single"/>
          </w:rPr>
          <w:t>[1]</w:t>
        </w:r>
      </w:hyperlink>
      <w:hyperlink w:anchor="source_2">
        <w:r>
          <w:rPr>
            <w:color w:val="0563C1"/>
            <w:u w:val="single"/>
          </w:rPr>
          <w:t>[2]</w:t>
        </w:r>
      </w:hyperlink>
      <w:r>
        <w:t>.</w:t>
        <w:br/>
        <w:br/>
        <w:t xml:space="preserve">Enablement and culture are also comparatively mature. TIM discloses substantial training activity, including AI-focused academies and large-scale digital transformation training hours with meaningful employee participation, indicating an organizational commitment to capability building rather than isolated specialist teams </w:t>
      </w:r>
      <w:hyperlink w:anchor="source_2">
        <w:r>
          <w:rPr>
            <w:color w:val="0563C1"/>
            <w:u w:val="single"/>
          </w:rPr>
          <w:t>[2]</w:t>
        </w:r>
      </w:hyperlink>
      <w:r>
        <w:t xml:space="preserve">. Employee well-being and engagement initiatives are evidenced through structured programs and measurement mechanisms, which matters because AI-driven transformation in telecom can trigger workforce anxiety and operational change fatigue if not actively managed </w:t>
      </w:r>
      <w:hyperlink w:anchor="source_2">
        <w:r>
          <w:rPr>
            <w:color w:val="0563C1"/>
            <w:u w:val="single"/>
          </w:rPr>
          <w:t>[2]</w:t>
        </w:r>
      </w:hyperlink>
      <w:r>
        <w:t>.</w:t>
        <w:br/>
        <w:br/>
        <w:t xml:space="preserve">The gaps are concentrated in leadership architecture and transparent talent density. Evidence suggests no formal CAIO role and limited publicly verifiable counts of named AI leaders, creating potential diffusion of accountability across functions </w:t>
      </w:r>
      <w:hyperlink w:anchor="source_1">
        <w:r>
          <w:rPr>
            <w:color w:val="0563C1"/>
            <w:u w:val="single"/>
          </w:rPr>
          <w:t>[1]</w:t>
        </w:r>
      </w:hyperlink>
      <w:r>
        <w:t xml:space="preserve">. While hiring activity is evidenced through job postings, and there are indications of research activity and partnerships, the verified AI specialist headcount and leadership bench depth appear modest relative to the scale of the enterprise, at least in what is publicly evidenced </w:t>
      </w:r>
      <w:hyperlink w:anchor="source_1">
        <w:r>
          <w:rPr>
            <w:color w:val="0563C1"/>
            <w:u w:val="single"/>
          </w:rPr>
          <w:t>[1]</w:t>
        </w:r>
      </w:hyperlink>
      <w:hyperlink w:anchor="source_2">
        <w:r>
          <w:rPr>
            <w:color w:val="0563C1"/>
            <w:u w:val="single"/>
          </w:rPr>
          <w:t>[2]</w:t>
        </w:r>
      </w:hyperlink>
      <w:r>
        <w:t xml:space="preserve">. Additionally, while TIM references external ethical frameworks, there is limited evidence of active membership or collaboration with dedicated AI ethics organizations—an increasingly important trust signal as telecom operators deploy GenAI in customer interactions </w:t>
      </w:r>
      <w:hyperlink w:anchor="source_1">
        <w:r>
          <w:rPr>
            <w:color w:val="0563C1"/>
            <w:u w:val="single"/>
          </w:rPr>
          <w:t>[1]</w:t>
        </w:r>
      </w:hyperlink>
      <w:r>
        <w:t>.</w:t>
        <w:br/>
        <w:br/>
        <w:t>In telecom operational terms, these gaps manifest as common failure points: unclear ownership for models from idea to run, inconsistent adoption across business units, uneven AI literacy among frontline managers, and a risk that governance becomes document-centric rather than workflow-centric. Peers that score higher organizationally typically show stronger visibility of AI leadership roles and more explicit integration of AI KPIs into performance management and operating cadence.</w:t>
        <w:br/>
        <w:br/>
        <w:t xml:space="preserve">From a benchmarking perspective, TIM’s organizational maturity is “strong controls and enablement, incomplete leadership scaling.” This is an advantageous profile if the company uses it to accelerate safe adoption; it becomes a limiting profile if leadership accountability and talent density remain thin, because the organization will struggle to industrialize execution and to sustain innovation without over-reliance on vendors and a small core team </w:t>
      </w:r>
      <w:hyperlink w:anchor="source_5">
        <w:r>
          <w:rPr>
            <w:color w:val="0563C1"/>
            <w:u w:val="single"/>
          </w:rPr>
          <w:t>[5]</w:t>
        </w:r>
      </w:hyperlink>
      <w:hyperlink w:anchor="source_6">
        <w:r>
          <w:rPr>
            <w:color w:val="0563C1"/>
            <w:u w:val="single"/>
          </w:rPr>
          <w:t>[6]</w:t>
        </w:r>
      </w:hyperlink>
      <w:r>
        <w:t>.</w:t>
      </w:r>
    </w:p>
    <w:p>
      <w:pPr>
        <w:spacing w:after="240"/>
      </w:pPr>
      <w:r>
        <w:rPr>
          <w:b/>
        </w:rPr>
        <w:t xml:space="preserve">High Maturity Description. </w:t>
      </w:r>
    </w:p>
    <w:p>
      <w:pPr>
        <w:spacing w:after="240"/>
      </w:pPr>
      <w:r>
        <w:t>High maturity (score 5) in Organizational capability means the organization can scale AI adoption while increasing trust and reducing operational risk. In a leading telecom operator, the organizational model has four defining features. First, accountability is explicit and federated: a single executive owner (often a CAIO or equivalent) sets standards and metrics, while domain leaders in network, customer, and enterprise functions own outcomes and run AI as part of their operational KPIs. Second, workforce enablement is role-based and measurable: executives, product owners, engineers, customer care leaders, and risk functions each have tailored learning paths, with certification coverage tracked and linked to career progression. Third, responsible AI is operational: model inventories, risk classifications, and approval gates are embedded in workflows, and the organization publishes credible transparency signals (metrics, audits, incident learning) that build stakeholder trust. Fourth, the people system is healthy: AI adoption is paired with well-being monitoring and proactive change management so productivity gains do not come at the cost of burnout or cultural resistance.</w:t>
        <w:br/>
        <w:br/>
        <w:t xml:space="preserve">TIM’s path to high maturity by 2030 is conceptually clear. The company already demonstrates strong governance and ethics-by-design foundations and a serious commitment to learning at scale </w:t>
      </w:r>
      <w:hyperlink w:anchor="source_1">
        <w:r>
          <w:rPr>
            <w:color w:val="0563C1"/>
            <w:u w:val="single"/>
          </w:rPr>
          <w:t>[1]</w:t>
        </w:r>
      </w:hyperlink>
      <w:hyperlink w:anchor="source_2">
        <w:r>
          <w:rPr>
            <w:color w:val="0563C1"/>
            <w:u w:val="single"/>
          </w:rPr>
          <w:t>[2]</w:t>
        </w:r>
      </w:hyperlink>
      <w:r>
        <w:t>. To reach the next level, TIM would need to formalize single-threaded accountability (either appointing a CAIO or establishing a clearly named federated network of AI domain leads) and make that accountability visible through a shared KPI framework. That KPI framework should include both value and trust metrics: adoption rates by role, productivity indicators in customer care and network operations, model-risk coverage, and external compliance artifacts aligned to regulatory expectations.</w:t>
        <w:br/>
        <w:br/>
        <w:t>The causal insight is that organizational maturity is the multiplier on Technical and Execution. TIM can invest in infrastructure and partner ecosystems, but without clear leadership and talent density, the organization will be forced into a “consultant and vendor dependent” execution model that slows learning and reduces defensibility. Conversely, if TIM strengthens leadership architecture and transparently scales AI roles, it can reuse technical platforms more effectively, measure outcomes more consistently, and accelerate execution cadence across functions.</w:t>
        <w:br/>
        <w:br/>
        <w:t xml:space="preserve">By 2030, the strongest organizational signal will be whether AI becomes normal in core work: NOC teams trusting AI recommendations, field operations using AI for diagnostics, customer care agents using copilots with measured quality and compliance, and commercial teams using AI to manage churn and ARPU outcomes. TIM’s current foundation provides a credible start; the next step is to close the leadership-and-measurement gap so governance and training translate into enterprise-wide, repeatable performance gains—and into external credibility comparable to the most mature European peers </w:t>
      </w:r>
      <w:hyperlink w:anchor="source_5">
        <w:r>
          <w:rPr>
            <w:color w:val="0563C1"/>
            <w:u w:val="single"/>
          </w:rPr>
          <w:t>[5]</w:t>
        </w:r>
      </w:hyperlink>
      <w:hyperlink w:anchor="source_6">
        <w:r>
          <w:rPr>
            <w:color w:val="0563C1"/>
            <w:u w:val="single"/>
          </w:rPr>
          <w:t>[6]</w:t>
        </w:r>
      </w:hyperlink>
      <w:hyperlink w:anchor="source_7">
        <w:r>
          <w:rPr>
            <w:color w:val="0563C1"/>
            <w:u w:val="single"/>
          </w:rPr>
          <w:t>[7]</w:t>
        </w:r>
      </w:hyperlink>
      <w:r>
        <w:t>.</w:t>
      </w:r>
    </w:p>
    <w:p>
      <w:pPr>
        <w:pStyle w:val="Heading2"/>
        <w:spacing w:after="240"/>
      </w:pPr>
      <w:r>
        <w:t>Innovation</w:t>
      </w:r>
    </w:p>
    <w:p>
      <w:pPr>
        <w:spacing w:after="240"/>
      </w:pPr>
      <w:r>
        <w:rPr>
          <w:b/>
        </w:rPr>
        <w:t xml:space="preserve">Definition: </w:t>
      </w:r>
    </w:p>
    <w:p>
      <w:pPr>
        <w:spacing w:after="240"/>
      </w:pPr>
      <w:r>
        <w:t>Innovation maturity captures whether TIM is building a sustainable advantage from AI—beyond near-term efficiency—through research, intellectual property, ecosystem influence, and the ability to convert experimentation into differentiated products and capabilities. In telecom, innovation has a specific meaning: it is not only “new features,” but advances that reshape how networks are operated (toward autonomy), how customer relationships are managed (toward AI-first and personalized interactions), and how operators monetize capabilities (through AI-enabled enterprise services, sovereign compute, and platform/API ecosystems). Innovation maturity is therefore measured both by creation (IP, research output, standards influence) and by conversion (experimentation discipline, partnerships that produce in-market deployments).</w:t>
        <w:br/>
        <w:br/>
        <w:t xml:space="preserve">TIM’s Innovation score (3.1) describes an organization with a credible invention and governance base but limited externalized knowledge diffusion and scaled innovation outcomes. The evidence indicates a strong patenting engine and structured partner/vendor governance, along with active academic collaboration and experimentation mechanisms </w:t>
      </w:r>
      <w:hyperlink w:anchor="source_2">
        <w:r>
          <w:rPr>
            <w:color w:val="0563C1"/>
            <w:u w:val="single"/>
          </w:rPr>
          <w:t>[2]</w:t>
        </w:r>
      </w:hyperlink>
      <w:r>
        <w:t xml:space="preserve">. At the same time, peer-reviewed publication volume is modest relative to the scale of the organization’s ambition, an open-source footprint is not evidenced, and many alliances appear Italy-centric in what is verified to have reached production at scale </w:t>
      </w:r>
      <w:hyperlink w:anchor="source_1">
        <w:r>
          <w:rPr>
            <w:color w:val="0563C1"/>
            <w:u w:val="single"/>
          </w:rPr>
          <w:t>[1]</w:t>
        </w:r>
      </w:hyperlink>
      <w:hyperlink w:anchor="source_2">
        <w:r>
          <w:rPr>
            <w:color w:val="0563C1"/>
            <w:u w:val="single"/>
          </w:rPr>
          <w:t>[2]</w:t>
        </w:r>
      </w:hyperlink>
      <w:r>
        <w:t>.</w:t>
        <w:br/>
        <w:br/>
        <w:t>This is a common “inside-out” innovation posture for incumbents: the company can originate and protect IP, and can partner extensively, but does not yet consistently project ecosystem leadership signals that attract developer mindshare, accelerate adoption, and shape standards. In the AI era, that external posture matters more than before because AI innovation is increasingly distributed: progress happens through ecosystems, open tooling, and shared research communities as much as through proprietary labs.</w:t>
        <w:br/>
        <w:br/>
        <w:t xml:space="preserve">Peers illustrate the range of innovation models in European telecom. Orange demonstrates a highly visible responsible-AI and innovation posture with broad partnerships and public thought leadership, while Deutsche Telekom signals a stronger open innovation ecosystem and more visible agentic-AI narratives </w:t>
      </w:r>
      <w:hyperlink w:anchor="source_6">
        <w:r>
          <w:rPr>
            <w:color w:val="0563C1"/>
            <w:u w:val="single"/>
          </w:rPr>
          <w:t>[6]</w:t>
        </w:r>
      </w:hyperlink>
      <w:hyperlink w:anchor="source_7">
        <w:r>
          <w:rPr>
            <w:color w:val="0563C1"/>
            <w:u w:val="single"/>
          </w:rPr>
          <w:t>[7]</w:t>
        </w:r>
      </w:hyperlink>
      <w:r>
        <w:t xml:space="preserve">. Vodafone’s innovation posture is more implementation-led, emphasizing industrialization and platform scale rather than IP differentiation </w:t>
      </w:r>
      <w:hyperlink w:anchor="source_5">
        <w:r>
          <w:rPr>
            <w:color w:val="0563C1"/>
            <w:u w:val="single"/>
          </w:rPr>
          <w:t>[5]</w:t>
        </w:r>
      </w:hyperlink>
      <w:r>
        <w:t>. TIM sits between these archetypes: it has real IP strength and partnering discipline, but must strengthen conversion and external credibility to move from “structured innovation” to “advantage-generating innovation.”</w:t>
        <w:br/>
        <w:br/>
        <w:t>By 2030, innovation maturity will be defined by whether TIM can create repeatable AI assets—data products, telco-specific models, automation patterns, sovereign AI services—and whether it can translate those into measurable revenue, cost advantage, or regulatory credibility. The next phase is therefore not just more invention, but more visible and scalable conversion from labs and alliances into production outcomes.</w:t>
      </w:r>
    </w:p>
    <w:p>
      <w:pPr>
        <w:spacing w:after="240"/>
      </w:pPr>
      <w:r>
        <w:rPr>
          <w:b/>
        </w:rPr>
        <w:t xml:space="preserve">Scope &amp; Indicators. </w:t>
      </w:r>
    </w:p>
    <w:p>
      <w:pPr>
        <w:spacing w:after="240"/>
      </w:pPr>
      <w:r>
        <w:t xml:space="preserve">Innovation is assessed through KPI drivers that capture research and ecosystem engagement, intellectual property creation, open collaboration, experimentation discipline, and the governance of external partners and data sharing. The model evaluates participation in research conferences and academic partnerships, volume of AI patents, volume of AI-related publications, contributions to open-source projects, the structure and scalability of experimentation (PoCs/pilots) with success metrics and governance, the existence of structured alliances or joint ventures that accelerate AI value with shared assets, standardized privacy-preserving data-sharing mechanisms, participation in standards and regulation shaping, and rigor of partner/vendor capability assessment (security, compliance, delivery, integration) </w:t>
      </w:r>
      <w:hyperlink w:anchor="source_2">
        <w:r>
          <w:rPr>
            <w:color w:val="0563C1"/>
            <w:u w:val="single"/>
          </w:rPr>
          <w:t>[2]</w:t>
        </w:r>
      </w:hyperlink>
      <w:r>
        <w:t>.</w:t>
        <w:br/>
        <w:br/>
        <w:t xml:space="preserve">TIM’s innovation profile shows strengths where telecom incumbents traditionally excel: IP protection and controlled collaboration. Evidence indicates high AI patent output over the past five years, signaling an institutional ability to originate and protect technical innovation </w:t>
      </w:r>
      <w:hyperlink w:anchor="source_2">
        <w:r>
          <w:rPr>
            <w:color w:val="0563C1"/>
            <w:u w:val="single"/>
          </w:rPr>
          <w:t>[2]</w:t>
        </w:r>
      </w:hyperlink>
      <w:r>
        <w:t xml:space="preserve">. Vendor assessment and partner governance appear comparatively mature, which matters because telecom innovation increasingly relies on external ecosystems and supply chains; rigorous assessment reduces the risk that innovation introduces security or compliance exposure </w:t>
      </w:r>
      <w:hyperlink w:anchor="source_2">
        <w:r>
          <w:rPr>
            <w:color w:val="0563C1"/>
            <w:u w:val="single"/>
          </w:rPr>
          <w:t>[2]</w:t>
        </w:r>
      </w:hyperlink>
      <w:r>
        <w:t xml:space="preserve">. Academic partnerships and research structures are present, including lab and university collaborations, suggesting access to talent pipelines and research communities even if publication output is not yet at a peer-leading level </w:t>
      </w:r>
      <w:hyperlink w:anchor="source_2">
        <w:r>
          <w:rPr>
            <w:color w:val="0563C1"/>
            <w:u w:val="single"/>
          </w:rPr>
          <w:t>[2]</w:t>
        </w:r>
      </w:hyperlink>
      <w:r>
        <w:t>.</w:t>
        <w:br/>
        <w:br/>
        <w:t xml:space="preserve">The constraints are primarily about externalized innovation signals and conversion scale. Peer-reviewed AI publication volume is assessed as low-medium relative to top-tier research-led organizations, and there is no evidenced open-source contribution footprint—both of which matter because open collaboration increasingly shapes talent attraction, tool reuse, and ecosystem influence </w:t>
      </w:r>
      <w:hyperlink w:anchor="source_1">
        <w:r>
          <w:rPr>
            <w:color w:val="0563C1"/>
            <w:u w:val="single"/>
          </w:rPr>
          <w:t>[1]</w:t>
        </w:r>
      </w:hyperlink>
      <w:hyperlink w:anchor="source_2">
        <w:r>
          <w:rPr>
            <w:color w:val="0563C1"/>
            <w:u w:val="single"/>
          </w:rPr>
          <w:t>[2]</w:t>
        </w:r>
      </w:hyperlink>
      <w:r>
        <w:t xml:space="preserve">. Experimentation is structured but appears mid-maturity: the organization can run PoCs and pilots under governance, yet there is limited evidence of portfolio-level metrics such as hit rate, time-to-production, reuse rate, and year-on-year acceleration </w:t>
      </w:r>
      <w:hyperlink w:anchor="source_2">
        <w:r>
          <w:rPr>
            <w:color w:val="0563C1"/>
            <w:u w:val="single"/>
          </w:rPr>
          <w:t>[2]</w:t>
        </w:r>
      </w:hyperlink>
      <w:r>
        <w:t>. Alliances exist and produce outputs, but the number of verified, customer-facing deployments and the breadth of multi-market rollout are limited in what is evidenced, which constrains the innovation-to-value narrative.</w:t>
        <w:br/>
        <w:br/>
        <w:t>In telecom terms, these gaps can lead to three risks. First, “innovation without adoption”: pilots remain local, and learnings are not codified into reusable product patterns across the group. Second, “partner value capture”: if TIM relies heavily on partner ecosystems without a strong internal productization and IP-to-product linkage, value capture can skew toward vendors. Third, “credibility asymmetry”: regulators, enterprise customers, and talent markets respond to visible innovation signals (public research, standards leadership, trusted open assets), and a limited external footprint can undercut TIM’s ability to be perceived as a European AI leader even when internal capability is real.</w:t>
        <w:br/>
        <w:br/>
        <w:t xml:space="preserve">Benchmarking against peers suggests that moving from Innovation ~3 to ~4 requires strengthening conversion and ecosystem influence: clearer evidence that alliances produce repeatable in-market deployments, a step-change in public thought leadership (publications and conference presence), and at least a selective open-source program that signals confidence and attracts collaboration while respecting telecom security constraints </w:t>
      </w:r>
      <w:hyperlink w:anchor="source_5">
        <w:r>
          <w:rPr>
            <w:color w:val="0563C1"/>
            <w:u w:val="single"/>
          </w:rPr>
          <w:t>[5]</w:t>
        </w:r>
      </w:hyperlink>
      <w:hyperlink w:anchor="source_6">
        <w:r>
          <w:rPr>
            <w:color w:val="0563C1"/>
            <w:u w:val="single"/>
          </w:rPr>
          <w:t>[6]</w:t>
        </w:r>
      </w:hyperlink>
      <w:hyperlink w:anchor="source_7">
        <w:r>
          <w:rPr>
            <w:color w:val="0563C1"/>
            <w:u w:val="single"/>
          </w:rPr>
          <w:t>[7]</w:t>
        </w:r>
      </w:hyperlink>
      <w:r>
        <w:t>.</w:t>
      </w:r>
    </w:p>
    <w:p>
      <w:pPr>
        <w:spacing w:after="240"/>
      </w:pPr>
      <w:r>
        <w:rPr>
          <w:b/>
        </w:rPr>
        <w:t xml:space="preserve">High Maturity Description. </w:t>
      </w:r>
    </w:p>
    <w:p>
      <w:pPr>
        <w:spacing w:after="240"/>
      </w:pPr>
      <w:r>
        <w:t>High maturity (score 5) in Innovation means TIM would be shaping the telecom AI frontier rather than following it. A high-maturity telecom innovator demonstrates an integrated “create–share–scale” loop: it generates proprietary IP in priority domains (network autonomy, telco-grade GenAI, security/fraud), contributes selectively to open ecosystems to build credibility and reuse, and converts research and partnerships into scaled deployments with measurable outcomes. It also has agenda-setting influence in standards and policy discussions, which matters in telecom because regulation and interoperability can define competitive advantage.</w:t>
        <w:br/>
        <w:br/>
        <w:t>For TIM, a credible high-maturity endpoint by 2030 would involve turning its current IP strength into visible, market-facing differentiation. That means linking patent themes to a small number of flagship product and operating capabilities—such as autonomous assurance patterns, telco-specific model orchestration and retrieval over operational data, or security-intelligence services—so that innovation is not only protected but monetized. It also means industrializing experimentation: TIM should track the pilot funnel with clear stage gates, measure time-to-production and reuse, and create a “pattern library” so successful pilots become standard building blocks across consumer, enterprise, and network domains.</w:t>
        <w:br/>
        <w:br/>
        <w:t>The largest step-change opportunity is ecosystem posture. TIM does not need to open-source sensitive network automation logic; it can still create an open-source program that releases non-sensitive tooling, evaluation frameworks, or reference implementations, governed by a clear security and IP policy. Doing so would improve talent attraction, accelerate internal reuse, and enhance credibility with enterprise customers who increasingly ask for transparency and interoperability.</w:t>
        <w:br/>
        <w:br/>
        <w:t>The causal insight is that innovation maturity is constrained by execution and technical foundations but also feeds them. Without technical discipline (MLOps, data governance), innovation cannot scale; without execution discipline (portfolio management, ROI measurement), innovation cannot prove value; without innovation visibility (research, open assets), the organization struggles to attract talent and partners that would improve technical and execution maturity. TIM’s current profile—strong IP and governance, weaker external diffusion and conversion metrics—suggests the innovation engine exists but is not yet operating at full leverage.</w:t>
        <w:br/>
        <w:br/>
        <w:t xml:space="preserve">By 2030, the operators that win will be those that can prove a cycle time advantage: faster from idea to production, faster from production to measurable value, and faster from measurable value to the next iteration—while remaining compliant and trusted. TIM can move into that tier by turning patents and partnerships into scalable products and operating capabilities, by making experimentation metrics-driven, and by increasing external credibility signals (publications, standards roles, selective open collaboration). Those moves would shift innovation from being “structured” to being “compounding,” enabling TIM to close the gap with the strongest European peers </w:t>
      </w:r>
      <w:hyperlink w:anchor="source_5">
        <w:r>
          <w:rPr>
            <w:color w:val="0563C1"/>
            <w:u w:val="single"/>
          </w:rPr>
          <w:t>[5]</w:t>
        </w:r>
      </w:hyperlink>
      <w:hyperlink w:anchor="source_6">
        <w:r>
          <w:rPr>
            <w:color w:val="0563C1"/>
            <w:u w:val="single"/>
          </w:rPr>
          <w:t>[6]</w:t>
        </w:r>
      </w:hyperlink>
      <w:hyperlink w:anchor="source_7">
        <w:r>
          <w:rPr>
            <w:color w:val="0563C1"/>
            <w:u w:val="single"/>
          </w:rPr>
          <w:t>[7]</w:t>
        </w:r>
      </w:hyperlink>
      <w:r>
        <w:t>.</w:t>
      </w:r>
    </w:p>
    <w:p>
      <w:bookmarkStart w:id="1002" w:name="heading_1002"/>
      <w:pPr>
        <w:pStyle w:val="Heading1"/>
        <w:spacing w:after="240"/>
      </w:pPr>
      <w:r>
        <w:t>Competitive AI Maturity Benchmarking (2025): Telecom Italia S.p.A. vs Peers</w:t>
      </w:r>
      <w:bookmarkEnd w:id="1002"/>
    </w:p>
    <w:p>
      <w:pPr>
        <w:spacing w:after="240"/>
      </w:pPr>
      <w:r>
        <w:t>This benchmarking assesses Telecom Italia S.p.A. (TIM) against five European telecom peers—Vodafone Group, iliad, Swisscom, Deutsche Telekom, and Orange—across the evidence window ending 18 November 2025. The goal is not simply to rank companies, but to isolate the specific capability gaps that explain why some operators industrialize AI faster (and more safely) than others, and what TIM must change to move from “promising foundations” to repeatable, enterprise-wide value.</w:t>
        <w:br/>
        <w:br/>
        <w:t>The assessment follows the AlixPartners AI Maturity Framework across five dimensions: Strategy (direction, governance, funding), Execution (deployment at scale, ROI discipline), Technical (data, platforms, MLOps, integration), Organizational (talent, operating model, culture, responsible AI), and Innovation (R&amp;D output, ecosystem leverage, IP creation). Scores are assigned on a 1–5 scale: 1 = Low (ad hoc/pilot), 2 = Low–Medium (pockets of capability, limited standardization), 3 = Medium (repeatable in priority areas), 4 = Medium–High (industrialized, multi-domain scaling), 5 = High (best-in-class, differentiated, continuously optimized).</w:t>
        <w:br/>
        <w:br/>
        <w:t>This peer set is intentionally diverse in scale and operating model. Deutsche Telekom and Orange represent large, multi-market operators with established digital and enterprise arms; Vodafone reflects a platform-led multi-market model with heavy partner leverage; Swisscom reflects a smaller-market incumbent with strong trust and platform ambitions; iliad represents an “aggressive builder” profile where investment and narrative can run ahead of enterprise operating discipline.</w:t>
        <w:br/>
        <w:br/>
        <w:t>The timing of this benchmark matters. Telecom is entering a phase where AI is no longer confined to digital channels; it is converging with network automation (closed-loop assurance, AI-RAN), GenAI-enabled customer and field operations, and 5G/edge analytics that blur the boundary between connectivity and compute. This changes the maturity bar: winning operators will pair cost-out automation with AI-native product and platform monetization, while meeting tightening regulatory and societal expectations around privacy, bias, and transparency.</w:t>
        <w:br/>
        <w:br/>
        <w:t>Finally, the comparative lens is strategically useful because maturity gaps are rarely about “having more pilots.” They tend to reflect structural factors—how centralized decision rights are, whether data platforms are truly shared, how finance validates benefits, and whether leaders create a culture that treats AI as a managed production capability rather than a sequence of experiments. Those factors explain most of the separation between TIM and the top tier peers in this benchmark.</w:t>
      </w:r>
    </w:p>
    <w:p>
      <w:pPr>
        <w:spacing w:after="240"/>
      </w:pPr>
      <w:r>
        <w:t>Across the five categories, TIM posts an overall average of ~3.1/5 (Medium), positioned in the middle of the peer set but clearly behind the European leaders. Orange (~3.8) and Deutsche Telekom (~3.8) set the pace with consistently Medium‑High performance across Strategy, Execution, Technical, and Organizational dimensions—reflecting both scale and institutionalized operating models. Vodafone (~3.6) is close behind, with especially strong Strategy and Execution but a more “partner/platform-led” innovation posture. Swisscom (~3.2) typically outperforms TIM on Technical and Organizational maturity but remains less differentiated in Strategy and Innovation. iliad (~2.8) shows a distinct barbell profile: bold AI ambition and investment narratives, but weaker enterprise execution and organizational scaffolding.</w:t>
        <w:br/>
        <w:br/>
        <w:t xml:space="preserve">TIM’s pattern is balanced but uneven: it is relatively stronger in Organizational maturity (3.4) due to governance and ethics structures and visible workforce enablement </w:t>
      </w:r>
      <w:hyperlink w:anchor="source_1">
        <w:r>
          <w:rPr>
            <w:color w:val="0563C1"/>
            <w:u w:val="single"/>
          </w:rPr>
          <w:t>[1]</w:t>
        </w:r>
      </w:hyperlink>
      <w:r>
        <w:t xml:space="preserve">, and it is directionally solid in Strategy (3.2) given a coherent AI agenda and pockets of quantified operational impact </w:t>
      </w:r>
      <w:hyperlink w:anchor="source_2">
        <w:r>
          <w:rPr>
            <w:color w:val="0563C1"/>
            <w:u w:val="single"/>
          </w:rPr>
          <w:t>[2]</w:t>
        </w:r>
      </w:hyperlink>
      <w:r>
        <w:t xml:space="preserve">. It lags peers most in Execution (2.7) and Technical (2.9), where the evidence points to gaps in standardized ROI discipline, model observability, MLOps reproducibility, and “last-mile” data operating rigor. In Innovation (3.1), TIM is competitive with Vodafone and slightly ahead of Swisscom/iliad, helped by a strong patenting engine </w:t>
      </w:r>
      <w:hyperlink w:anchor="source_3">
        <w:r>
          <w:rPr>
            <w:color w:val="0563C1"/>
            <w:u w:val="single"/>
          </w:rPr>
          <w:t>[3]</w:t>
        </w:r>
      </w:hyperlink>
      <w:r>
        <w:t>, but it does not match Orange’s stronger innovation-to-market conversion.</w:t>
        <w:br/>
        <w:br/>
        <w:t>The underlying reasons are structurally consistent with incumbent realities: TIM’s operating environment includes legacy complexity, heavy regulatory constraints, and multi-entity execution (Group/subsidiaries) that make standardization hard. The leading peers appear to have pushed further on platform unification, enterprise KPI discipline, and multi-market scaling of AI capabilities—turning similar ingredients (partners, cloud, data) into more repeatable outcomes.</w:t>
      </w:r>
    </w:p>
    <w:p>
      <w:r>
        <w:br w:type="page"/>
      </w:r>
    </w:p>
    <w:p>
      <w:pPr>
        <w:pStyle w:val="Heading2"/>
        <w:spacing w:after="240"/>
      </w:pPr>
      <w:r>
        <w:t>Category Analysis</w:t>
      </w:r>
    </w:p>
    <w:p>
      <w:pPr>
        <w:jc w:val="center"/>
      </w:pPr>
      <w:r>
        <w:drawing>
          <wp:inline xmlns:a="http://schemas.openxmlformats.org/drawingml/2006/main" xmlns:pic="http://schemas.openxmlformats.org/drawingml/2006/picture">
            <wp:extent cx="7383780" cy="54406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383780" cy="5440680"/>
                    </a:xfrm>
                    <a:prstGeom prst="rect"/>
                  </pic:spPr>
                </pic:pic>
              </a:graphicData>
            </a:graphic>
          </wp:inline>
        </w:drawing>
      </w:r>
    </w:p>
    <w:p>
      <w:pPr>
        <w:spacing w:after="240"/>
      </w:pPr>
    </w:p>
    <w:tbl>
      <w:tblPr>
        <w:tblStyle w:val="LightGrid-Accent1"/>
        <w:tblW w:type="auto" w:w="0"/>
        <w:tblLook w:firstColumn="1" w:firstRow="1" w:lastColumn="0" w:lastRow="0" w:noHBand="0" w:noVBand="1" w:val="04A0"/>
      </w:tblPr>
      <w:tblGrid>
        <w:gridCol w:w="2592"/>
        <w:gridCol w:w="864"/>
        <w:gridCol w:w="864"/>
        <w:gridCol w:w="864"/>
        <w:gridCol w:w="864"/>
        <w:gridCol w:w="864"/>
        <w:gridCol w:w="864"/>
        <w:gridCol w:w="6768"/>
      </w:tblGrid>
      <w:tr>
        <w:tc>
          <w:tcPr>
            <w:tcW w:type="dxa" w:w="1710"/>
          </w:tcPr>
          <w:p>
            <w:r>
              <w:rPr>
                <w:b/>
              </w:rPr>
              <w:t>Category</w:t>
            </w:r>
          </w:p>
        </w:tc>
        <w:tc>
          <w:tcPr>
            <w:tcW w:type="dxa" w:w="1710"/>
          </w:tcPr>
          <w:p>
            <w:r>
              <w:rPr>
                <w:b/>
              </w:rPr>
              <w:t>Telecom Italia S.p.A.</w:t>
            </w:r>
          </w:p>
        </w:tc>
        <w:tc>
          <w:tcPr>
            <w:tcW w:type="dxa" w:w="1710"/>
          </w:tcPr>
          <w:p>
            <w:r>
              <w:rPr>
                <w:b/>
              </w:rPr>
              <w:t>Vodafone Group plc</w:t>
            </w:r>
          </w:p>
        </w:tc>
        <w:tc>
          <w:tcPr>
            <w:tcW w:type="dxa" w:w="1710"/>
          </w:tcPr>
          <w:p>
            <w:r>
              <w:rPr>
                <w:b/>
              </w:rPr>
              <w:t>iliad SA</w:t>
            </w:r>
          </w:p>
        </w:tc>
        <w:tc>
          <w:tcPr>
            <w:tcW w:type="dxa" w:w="1710"/>
          </w:tcPr>
          <w:p>
            <w:r>
              <w:rPr>
                <w:b/>
              </w:rPr>
              <w:t>Swisscom AG</w:t>
            </w:r>
          </w:p>
        </w:tc>
        <w:tc>
          <w:tcPr>
            <w:tcW w:type="dxa" w:w="1710"/>
          </w:tcPr>
          <w:p>
            <w:r>
              <w:rPr>
                <w:b/>
              </w:rPr>
              <w:t>Deutsche Telekom</w:t>
            </w:r>
          </w:p>
        </w:tc>
        <w:tc>
          <w:tcPr>
            <w:tcW w:type="dxa" w:w="1710"/>
          </w:tcPr>
          <w:p>
            <w:r>
              <w:rPr>
                <w:b/>
              </w:rPr>
              <w:t>Orange S.A.</w:t>
            </w:r>
          </w:p>
        </w:tc>
        <w:tc>
          <w:tcPr>
            <w:tcW w:type="dxa" w:w="1710"/>
          </w:tcPr>
          <w:p>
            <w:r>
              <w:rPr>
                <w:b/>
              </w:rPr>
              <w:t>Gap Explanation</w:t>
            </w:r>
          </w:p>
        </w:tc>
      </w:tr>
      <w:tr>
        <w:tc>
          <w:tcPr>
            <w:tcW w:type="dxa" w:w="1710"/>
          </w:tcPr>
          <w:p>
            <w:r>
              <w:t>Strategy</w:t>
            </w:r>
          </w:p>
        </w:tc>
        <w:tc>
          <w:tcPr>
            <w:tcW w:type="dxa" w:w="1710"/>
          </w:tcPr>
          <w:p>
            <w:r>
              <w:t>3.2</w:t>
            </w:r>
          </w:p>
        </w:tc>
        <w:tc>
          <w:tcPr>
            <w:tcW w:type="dxa" w:w="1710"/>
          </w:tcPr>
          <w:p>
            <w:r>
              <w:t>3.8</w:t>
            </w:r>
          </w:p>
        </w:tc>
        <w:tc>
          <w:tcPr>
            <w:tcW w:type="dxa" w:w="1710"/>
          </w:tcPr>
          <w:p>
            <w:r>
              <w:t>3</w:t>
            </w:r>
          </w:p>
        </w:tc>
        <w:tc>
          <w:tcPr>
            <w:tcW w:type="dxa" w:w="1710"/>
          </w:tcPr>
          <w:p>
            <w:r>
              <w:t>3</w:t>
            </w:r>
          </w:p>
        </w:tc>
        <w:tc>
          <w:tcPr>
            <w:tcW w:type="dxa" w:w="1710"/>
          </w:tcPr>
          <w:p>
            <w:r>
              <w:t>3.9</w:t>
            </w:r>
          </w:p>
        </w:tc>
        <w:tc>
          <w:tcPr>
            <w:tcW w:type="dxa" w:w="1710"/>
          </w:tcPr>
          <w:p>
            <w:r>
              <w:t>3.7</w:t>
            </w:r>
          </w:p>
        </w:tc>
        <w:tc>
          <w:tcPr>
            <w:tcW w:type="dxa" w:w="1710"/>
          </w:tcPr>
          <w:p>
            <w:r/>
            <w:r>
              <w:t xml:space="preserve">TIM’s Strategy score reflects a credible top-down AI agenda with formal governance, published guidelines, and a multi-year technology plan, supported by visible executive sponsorship </w:t>
            </w:r>
            <w:hyperlink w:anchor="source_1">
              <w:r>
                <w:rPr>
                  <w:color w:val="0563C1"/>
                  <w:u w:val="single"/>
                </w:rPr>
                <w:t>[1]</w:t>
              </w:r>
            </w:hyperlink>
            <w:r>
              <w:t xml:space="preserve">. The category is capped by uneven board-level AI expertise, limited programmatic disclosure of enterprise-wide AI KPIs, and a follower posture on certain AI propositions relative to best-in-class peers </w:t>
            </w:r>
            <w:hyperlink w:anchor="source_2">
              <w:r>
                <w:rPr>
                  <w:color w:val="0563C1"/>
                  <w:u w:val="single"/>
                </w:rPr>
                <w:t>[2]</w:t>
              </w:r>
            </w:hyperlink>
            <w:r>
              <w:t>.</w:t>
            </w:r>
          </w:p>
        </w:tc>
      </w:tr>
      <w:tr>
        <w:tc>
          <w:tcPr>
            <w:tcW w:type="dxa" w:w="1710"/>
          </w:tcPr>
          <w:p>
            <w:r>
              <w:t>Execution</w:t>
            </w:r>
          </w:p>
        </w:tc>
        <w:tc>
          <w:tcPr>
            <w:tcW w:type="dxa" w:w="1710"/>
          </w:tcPr>
          <w:p>
            <w:r>
              <w:t>2.7</w:t>
            </w:r>
          </w:p>
        </w:tc>
        <w:tc>
          <w:tcPr>
            <w:tcW w:type="dxa" w:w="1710"/>
          </w:tcPr>
          <w:p>
            <w:r>
              <w:t>3.6</w:t>
            </w:r>
          </w:p>
        </w:tc>
        <w:tc>
          <w:tcPr>
            <w:tcW w:type="dxa" w:w="1710"/>
          </w:tcPr>
          <w:p>
            <w:r>
              <w:t>2.4</w:t>
            </w:r>
          </w:p>
        </w:tc>
        <w:tc>
          <w:tcPr>
            <w:tcW w:type="dxa" w:w="1710"/>
          </w:tcPr>
          <w:p>
            <w:r>
              <w:t>2.6</w:t>
            </w:r>
          </w:p>
        </w:tc>
        <w:tc>
          <w:tcPr>
            <w:tcW w:type="dxa" w:w="1710"/>
          </w:tcPr>
          <w:p>
            <w:r>
              <w:t>3.4</w:t>
            </w:r>
          </w:p>
        </w:tc>
        <w:tc>
          <w:tcPr>
            <w:tcW w:type="dxa" w:w="1710"/>
          </w:tcPr>
          <w:p>
            <w:r>
              <w:t>3.8</w:t>
            </w:r>
          </w:p>
        </w:tc>
        <w:tc>
          <w:tcPr>
            <w:tcW w:type="dxa" w:w="1710"/>
          </w:tcPr>
          <w:p>
            <w:r/>
            <w:r>
              <w:t xml:space="preserve">TIM executes meaningfully in selected domains (notably network operations and customer care) and shows strong regulatory alignment and partnership leverage </w:t>
            </w:r>
            <w:hyperlink w:anchor="source_1">
              <w:r>
                <w:rPr>
                  <w:color w:val="0563C1"/>
                  <w:u w:val="single"/>
                </w:rPr>
                <w:t>[1]</w:t>
              </w:r>
            </w:hyperlink>
            <w:r>
              <w:t xml:space="preserve">. The score is held back by weak portfolio-wide documentation of use cases, limited standardized ROI and benchmarking discipline, and immature business-visible model observability—constraints that leading peers have moved further to institutionalize </w:t>
            </w:r>
            <w:hyperlink w:anchor="source_5">
              <w:r>
                <w:rPr>
                  <w:color w:val="0563C1"/>
                  <w:u w:val="single"/>
                </w:rPr>
                <w:t>[5]</w:t>
              </w:r>
            </w:hyperlink>
            <w:r>
              <w:t>.</w:t>
            </w:r>
          </w:p>
        </w:tc>
      </w:tr>
      <w:tr>
        <w:tc>
          <w:tcPr>
            <w:tcW w:type="dxa" w:w="1710"/>
          </w:tcPr>
          <w:p>
            <w:r>
              <w:t>Technical</w:t>
            </w:r>
          </w:p>
        </w:tc>
        <w:tc>
          <w:tcPr>
            <w:tcW w:type="dxa" w:w="1710"/>
          </w:tcPr>
          <w:p>
            <w:r>
              <w:t>2.9</w:t>
            </w:r>
          </w:p>
        </w:tc>
        <w:tc>
          <w:tcPr>
            <w:tcW w:type="dxa" w:w="1710"/>
          </w:tcPr>
          <w:p>
            <w:r>
              <w:t>3.5</w:t>
            </w:r>
          </w:p>
        </w:tc>
        <w:tc>
          <w:tcPr>
            <w:tcW w:type="dxa" w:w="1710"/>
          </w:tcPr>
          <w:p>
            <w:r>
              <w:t>3</w:t>
            </w:r>
          </w:p>
        </w:tc>
        <w:tc>
          <w:tcPr>
            <w:tcW w:type="dxa" w:w="1710"/>
          </w:tcPr>
          <w:p>
            <w:r>
              <w:t>3.6</w:t>
            </w:r>
          </w:p>
        </w:tc>
        <w:tc>
          <w:tcPr>
            <w:tcW w:type="dxa" w:w="1710"/>
          </w:tcPr>
          <w:p>
            <w:r>
              <w:t>3.9</w:t>
            </w:r>
          </w:p>
        </w:tc>
        <w:tc>
          <w:tcPr>
            <w:tcW w:type="dxa" w:w="1710"/>
          </w:tcPr>
          <w:p>
            <w:r>
              <w:t>3.5</w:t>
            </w:r>
          </w:p>
        </w:tc>
        <w:tc>
          <w:tcPr>
            <w:tcW w:type="dxa" w:w="1710"/>
          </w:tcPr>
          <w:p>
            <w:r/>
            <w:r>
              <w:t xml:space="preserve">TIM has strong infrastructure and governance controls (hybrid/edge capabilities, data centers, security/privacy policies, extensive partnerships) </w:t>
            </w:r>
            <w:hyperlink w:anchor="source_1">
              <w:r>
                <w:rPr>
                  <w:color w:val="0563C1"/>
                  <w:u w:val="single"/>
                </w:rPr>
                <w:t>[1]</w:t>
              </w:r>
            </w:hyperlink>
            <w:r>
              <w:t xml:space="preserve">. The score is constrained by weak evidence of enterprise MLOps reproducibility, limited metadata and canonical data model maturity, and the absence of an empowered enterprise CDO mandate—gaps that inhibit scalable, repeatable deployment across domains </w:t>
            </w:r>
            <w:hyperlink w:anchor="source_6">
              <w:r>
                <w:rPr>
                  <w:color w:val="0563C1"/>
                  <w:u w:val="single"/>
                </w:rPr>
                <w:t>[6]</w:t>
              </w:r>
            </w:hyperlink>
            <w:r>
              <w:t>.</w:t>
            </w:r>
          </w:p>
        </w:tc>
      </w:tr>
      <w:tr>
        <w:tc>
          <w:tcPr>
            <w:tcW w:type="dxa" w:w="1710"/>
          </w:tcPr>
          <w:p>
            <w:r>
              <w:t>Organizational</w:t>
            </w:r>
          </w:p>
        </w:tc>
        <w:tc>
          <w:tcPr>
            <w:tcW w:type="dxa" w:w="1710"/>
          </w:tcPr>
          <w:p>
            <w:r>
              <w:t>3.4</w:t>
            </w:r>
          </w:p>
        </w:tc>
        <w:tc>
          <w:tcPr>
            <w:tcW w:type="dxa" w:w="1710"/>
          </w:tcPr>
          <w:p>
            <w:r>
              <w:t>3.9</w:t>
            </w:r>
          </w:p>
        </w:tc>
        <w:tc>
          <w:tcPr>
            <w:tcW w:type="dxa" w:w="1710"/>
          </w:tcPr>
          <w:p>
            <w:r>
              <w:t>2.7</w:t>
            </w:r>
          </w:p>
        </w:tc>
        <w:tc>
          <w:tcPr>
            <w:tcW w:type="dxa" w:w="1710"/>
          </w:tcPr>
          <w:p>
            <w:r>
              <w:t>3.8</w:t>
            </w:r>
          </w:p>
        </w:tc>
        <w:tc>
          <w:tcPr>
            <w:tcW w:type="dxa" w:w="1710"/>
          </w:tcPr>
          <w:p>
            <w:r>
              <w:t>4.1</w:t>
            </w:r>
          </w:p>
        </w:tc>
        <w:tc>
          <w:tcPr>
            <w:tcW w:type="dxa" w:w="1710"/>
          </w:tcPr>
          <w:p>
            <w:r>
              <w:t>4.2</w:t>
            </w:r>
          </w:p>
        </w:tc>
        <w:tc>
          <w:tcPr>
            <w:tcW w:type="dxa" w:w="1710"/>
          </w:tcPr>
          <w:p>
            <w:r/>
            <w:r>
              <w:t xml:space="preserve">TIM’s organizational maturity is supported by Board-approved AI guidelines, strong ethics-by-design and control frameworks, and large-scale upskilling investments </w:t>
            </w:r>
            <w:hyperlink w:anchor="source_1">
              <w:r>
                <w:rPr>
                  <w:color w:val="0563C1"/>
                  <w:u w:val="single"/>
                </w:rPr>
                <w:t>[1]</w:t>
              </w:r>
            </w:hyperlink>
            <w:r>
              <w:t xml:space="preserve">. The principal gaps are thin formal AI leadership architecture (no CAIO, limited publicly named AI leaders), limited disclosed AI talent density, and weaker external trust signals through AI-ethics body participation and externally assured AI impact reporting </w:t>
            </w:r>
            <w:hyperlink w:anchor="source_7">
              <w:r>
                <w:rPr>
                  <w:color w:val="0563C1"/>
                  <w:u w:val="single"/>
                </w:rPr>
                <w:t>[7]</w:t>
              </w:r>
            </w:hyperlink>
            <w:r>
              <w:t>.</w:t>
            </w:r>
          </w:p>
        </w:tc>
      </w:tr>
      <w:tr>
        <w:tc>
          <w:tcPr>
            <w:tcW w:type="dxa" w:w="1710"/>
          </w:tcPr>
          <w:p>
            <w:r>
              <w:t>Innovation</w:t>
            </w:r>
          </w:p>
        </w:tc>
        <w:tc>
          <w:tcPr>
            <w:tcW w:type="dxa" w:w="1710"/>
          </w:tcPr>
          <w:p>
            <w:r>
              <w:t>3.1</w:t>
            </w:r>
          </w:p>
        </w:tc>
        <w:tc>
          <w:tcPr>
            <w:tcW w:type="dxa" w:w="1710"/>
          </w:tcPr>
          <w:p>
            <w:r>
              <w:t>3.1</w:t>
            </w:r>
          </w:p>
        </w:tc>
        <w:tc>
          <w:tcPr>
            <w:tcW w:type="dxa" w:w="1710"/>
          </w:tcPr>
          <w:p>
            <w:r>
              <w:t>3</w:t>
            </w:r>
          </w:p>
        </w:tc>
        <w:tc>
          <w:tcPr>
            <w:tcW w:type="dxa" w:w="1710"/>
          </w:tcPr>
          <w:p>
            <w:r>
              <w:t>3</w:t>
            </w:r>
          </w:p>
        </w:tc>
        <w:tc>
          <w:tcPr>
            <w:tcW w:type="dxa" w:w="1710"/>
          </w:tcPr>
          <w:p>
            <w:r>
              <w:t>3.5</w:t>
            </w:r>
          </w:p>
        </w:tc>
        <w:tc>
          <w:tcPr>
            <w:tcW w:type="dxa" w:w="1710"/>
          </w:tcPr>
          <w:p>
            <w:r>
              <w:t>3.8</w:t>
            </w:r>
          </w:p>
        </w:tc>
        <w:tc>
          <w:tcPr>
            <w:tcW w:type="dxa" w:w="1710"/>
          </w:tcPr>
          <w:p>
            <w:r/>
            <w:r>
              <w:t xml:space="preserve">TIM shows meaningful innovation capability through strong AI-related patenting and structured academic partnerships, alongside disciplined vendor governance </w:t>
            </w:r>
            <w:hyperlink w:anchor="source_3">
              <w:r>
                <w:rPr>
                  <w:color w:val="0563C1"/>
                  <w:u w:val="single"/>
                </w:rPr>
                <w:t>[3]</w:t>
              </w:r>
            </w:hyperlink>
            <w:r>
              <w:t xml:space="preserve">. The category is capped by limited open-source footprint, modest peer-reviewed publication volume, and fewer verifiable scaled deployments emerging from alliances—leading to weaker ecosystem mindshare than the top peer, Orange </w:t>
            </w:r>
            <w:hyperlink w:anchor="source_8">
              <w:r>
                <w:rPr>
                  <w:color w:val="0563C1"/>
                  <w:u w:val="single"/>
                </w:rPr>
                <w:t>[8]</w:t>
              </w:r>
            </w:hyperlink>
            <w:r>
              <w:t>.</w:t>
            </w:r>
          </w:p>
        </w:tc>
      </w:tr>
    </w:tbl>
    <w:p/>
    <w:p>
      <w:pPr>
        <w:pStyle w:val="Heading3"/>
        <w:spacing w:after="240"/>
      </w:pPr>
      <w:r>
        <w:t>Strategy</w:t>
      </w:r>
    </w:p>
    <w:p>
      <w:r>
        <w:rPr>
          <w:b/>
        </w:rPr>
        <w:t xml:space="preserve">Definition. </w:t>
      </w:r>
    </w:p>
    <w:p>
      <w:pPr>
        <w:spacing w:after="240"/>
      </w:pPr>
      <w:r>
        <w:t>Measures how clearly AI is tied to corporate objectives, how decision rights and funding are governed, and whether leadership and the board provide the mandate and expertise to sustain a multi-year transformation.</w:t>
      </w:r>
    </w:p>
    <w:p>
      <w:pPr>
        <w:spacing w:after="240"/>
      </w:pPr>
      <w:r>
        <w:rPr>
          <w:b/>
        </w:rPr>
        <w:t xml:space="preserve">Analysis. </w:t>
      </w:r>
    </w:p>
    <w:p>
      <w:pPr>
        <w:spacing w:after="240"/>
      </w:pPr>
      <w:r>
        <w:t xml:space="preserve">TIM’s Strategy maturity is best described as “governance-led, selectively quantified.” The company has done the hard foundational work that many operators postpone: formal AI guidelines, cross-functional oversight, and an explicit technology roadmap that positions AI alongside network modernization and digital services </w:t>
      </w:r>
      <w:hyperlink w:anchor="source_1">
        <w:r>
          <w:rPr>
            <w:color w:val="0563C1"/>
            <w:u w:val="single"/>
          </w:rPr>
          <w:t>[1]</w:t>
        </w:r>
      </w:hyperlink>
      <w:r>
        <w:t xml:space="preserve">. TIM also demonstrates that strategy is not purely conceptual—there are credible impact examples in network operations and customer care, indicating the program has moved beyond a pilot-only stage </w:t>
      </w:r>
      <w:hyperlink w:anchor="source_2">
        <w:r>
          <w:rPr>
            <w:color w:val="0563C1"/>
            <w:u w:val="single"/>
          </w:rPr>
          <w:t>[2]</w:t>
        </w:r>
      </w:hyperlink>
      <w:r>
        <w:t>.</w:t>
        <w:br/>
        <w:br/>
        <w:t xml:space="preserve">Where the strategy ceiling appears is in the link between ambition, enterprise measurement, and board capability. Evidence points to a gap in explicit board-level AI expertise and the absence of a dedicated AI/technology committee structure, which matters as the organization moves from “compliance-safe AI” to “strategically differentiated AI” </w:t>
      </w:r>
      <w:hyperlink w:anchor="source_2">
        <w:r>
          <w:rPr>
            <w:color w:val="0563C1"/>
            <w:u w:val="single"/>
          </w:rPr>
          <w:t>[2]</w:t>
        </w:r>
      </w:hyperlink>
      <w:r>
        <w:t>. In practice, this often becomes a speed constraint: when AI decisions touch risk appetite, workforce change, and customer propositions simultaneously, boards without AI fluency tend to push decisions down into fragmented committees—slowing scale.</w:t>
        <w:br/>
        <w:br/>
        <w:t xml:space="preserve">Compared with peers, Deutsche Telekom (3.9) and Orange (3.7) look more institutionalized in strategy because they combine multi-year roadmaps with clearer enterprise transformation narratives and stronger board-level technology governance patterns, enabling faster alignment across consumer, enterprise, and network domains </w:t>
      </w:r>
      <w:hyperlink w:anchor="source_4">
        <w:r>
          <w:rPr>
            <w:color w:val="0563C1"/>
            <w:u w:val="single"/>
          </w:rPr>
          <w:t>[4]</w:t>
        </w:r>
      </w:hyperlink>
      <w:r>
        <w:t>. Vodafone (3.8) similarly benefits from a more standardized multi-market approach and platform-led strategy articulation.</w:t>
        <w:br/>
        <w:br/>
        <w:t>For TIM, the strategic implication is clear: the blueprint exists, but the strategy must become more finance-anchored and outcome-visible. Over the next 12–24 months, the decisive move is to operationalize a small set of enterprise AI KPIs (opex saved, AHT reduction, churn/NPS uplift, network incident reduction) with quarterly governance and explicit linkage to investment and workforce scaling. Looking toward 2030, strategy maturity will depend on whether TIM shifts from “AI as a set of important initiatives” to “AI as a managed system of capabilities” with a board that can steer trade-offs between cost-out automation and AI-native growth.</w:t>
      </w:r>
    </w:p>
    <w:p>
      <w:pPr>
        <w:pStyle w:val="Heading3"/>
        <w:spacing w:after="240"/>
      </w:pPr>
      <w:r>
        <w:t>Execution</w:t>
      </w:r>
    </w:p>
    <w:p>
      <w:r>
        <w:rPr>
          <w:b/>
        </w:rPr>
        <w:t xml:space="preserve">Definition. </w:t>
      </w:r>
    </w:p>
    <w:p>
      <w:pPr>
        <w:spacing w:after="240"/>
      </w:pPr>
      <w:r>
        <w:t>Assesses the ability to move from pilots to scaled deployment, embed AI into day-to-day workflows, manage benefits realization, and run models reliably in production with monitoring and accountability.</w:t>
      </w:r>
    </w:p>
    <w:p>
      <w:pPr>
        <w:spacing w:after="240"/>
      </w:pPr>
      <w:r>
        <w:rPr>
          <w:b/>
        </w:rPr>
        <w:t xml:space="preserve">Analysis. </w:t>
      </w:r>
    </w:p>
    <w:p>
      <w:pPr>
        <w:spacing w:after="240"/>
      </w:pPr>
      <w:r>
        <w:t xml:space="preserve">Execution is TIM’s clearest maturity bottleneck—not because the company lacks activity, but because it lacks repeatable proof and industrial “run” discipline at portfolio scale. TIM has credible examples of AI embedded into core processes (network operations assurance and contact-center automation), including measurable operational gains in subsidiaries such as Sparkle </w:t>
      </w:r>
      <w:hyperlink w:anchor="source_2">
        <w:r>
          <w:rPr>
            <w:color w:val="0563C1"/>
            <w:u w:val="single"/>
          </w:rPr>
          <w:t>[2]</w:t>
        </w:r>
      </w:hyperlink>
      <w:r>
        <w:t xml:space="preserve">. It also demonstrates strong enablement signals: significant training volumes and reskilling investment, plus multi-vendor partnerships that accelerate delivery </w:t>
      </w:r>
      <w:hyperlink w:anchor="source_1">
        <w:r>
          <w:rPr>
            <w:color w:val="0563C1"/>
            <w:u w:val="single"/>
          </w:rPr>
          <w:t>[1]</w:t>
        </w:r>
      </w:hyperlink>
      <w:r>
        <w:t>.</w:t>
        <w:br/>
        <w:br/>
        <w:t xml:space="preserve">However, the execution narrative contains a tension: broad claims of integration coexist with a low number of publicly documented, countable use cases and a thin set of quantified ROI cases </w:t>
      </w:r>
      <w:hyperlink w:anchor="source_5">
        <w:r>
          <w:rPr>
            <w:color w:val="0563C1"/>
            <w:u w:val="single"/>
          </w:rPr>
          <w:t>[5]</w:t>
        </w:r>
      </w:hyperlink>
      <w:r>
        <w:t>. This is precisely where peers differentiate. Orange (3.8) and Vodafone (3.6) tend to show both breadth and repeatability: many deployments across markets, paired with more systematic articulation of how those deployments are governed, monitored, and measured. Deutsche Telekom (3.4) similarly benefits from a larger industrialized delivery engine across business units.</w:t>
        <w:br/>
        <w:br/>
        <w:t xml:space="preserve">The root cause is not a lack of talent or partners; it is the maturity of the benefits-realization and observability stack. TIM’s current evidence suggests that compliance processes (privacy impact assessments, regulatory alignment) are more mature than the “value governance” processes (ex-ante ROI, ex-post verification, drift and incident monitoring dashboards that business owners actually see) </w:t>
      </w:r>
      <w:hyperlink w:anchor="source_1">
        <w:r>
          <w:rPr>
            <w:color w:val="0563C1"/>
            <w:u w:val="single"/>
          </w:rPr>
          <w:t>[1]</w:t>
        </w:r>
      </w:hyperlink>
      <w:r>
        <w:t>. In telecom, that imbalance can lead to a specific failure mode: safe scaling without provable impact—where spend increases, deployments grow, but P&amp;L and customer outcomes remain hard to attribute.</w:t>
        <w:br/>
        <w:br/>
        <w:t>The forward-looking implication is that TIM must treat execution maturity as a finance-and-operations transformation, not as an AI engineering problem. The near-term priority is to stand up an auditable benefits-realization framework tied to a model inventory and stage gates, and to expand model observability beyond technical teams to product and P&amp;L owners with SLAs. By 2030, the execution benchmark will be closed-loop operations—agentic and predictive systems that reduce MTTR, automate capacity optimization, and materially shift cost-to-serve—supported by enterprise metrics that make impact undeniable.</w:t>
      </w:r>
    </w:p>
    <w:p>
      <w:pPr>
        <w:pStyle w:val="Heading3"/>
        <w:spacing w:after="240"/>
      </w:pPr>
      <w:r>
        <w:t>Technical</w:t>
      </w:r>
    </w:p>
    <w:p>
      <w:r>
        <w:rPr>
          <w:b/>
        </w:rPr>
        <w:t xml:space="preserve">Definition. </w:t>
      </w:r>
    </w:p>
    <w:p>
      <w:pPr>
        <w:spacing w:after="240"/>
      </w:pPr>
      <w:r>
        <w:t>Evaluates data foundations, platform and infrastructure scalability, MLOps maturity, integration of legacy systems, and the ability to operationalize AI reliably and securely across the enterprise.</w:t>
      </w:r>
    </w:p>
    <w:p>
      <w:pPr>
        <w:spacing w:after="240"/>
      </w:pPr>
      <w:r>
        <w:rPr>
          <w:b/>
        </w:rPr>
        <w:t xml:space="preserve">Analysis. </w:t>
      </w:r>
    </w:p>
    <w:p>
      <w:pPr>
        <w:spacing w:after="240"/>
      </w:pPr>
      <w:r>
        <w:t xml:space="preserve">TIM’s technical maturity is best characterized as “top-of-stack strong, foundations uneven.” On the positive side, TIM has invested in scalable infrastructure and a broad partner ecosystem, and it demonstrates mature privacy and security governance—an increasingly critical differentiator in the EU regulatory environment </w:t>
      </w:r>
      <w:hyperlink w:anchor="source_1">
        <w:r>
          <w:rPr>
            <w:color w:val="0563C1"/>
            <w:u w:val="single"/>
          </w:rPr>
          <w:t>[1]</w:t>
        </w:r>
      </w:hyperlink>
      <w:r>
        <w:t>. The company’s platform posture also supports multiple real deployments (customer care automation, network assurance), implying that the technical stack is not purely aspirational.</w:t>
        <w:br/>
        <w:br/>
        <w:t xml:space="preserve">Yet, the technical constraints that matter most for scaling are concentrated in the data and MLOps operating layer. Evidence indicates limited maturity in reproducible model development workflows, model lifecycle automation, metadata management, and enterprise-wide self-service discovery—precisely the “last mile” capabilities that separate occasional scaling from industrial repetition </w:t>
      </w:r>
      <w:hyperlink w:anchor="source_6">
        <w:r>
          <w:rPr>
            <w:color w:val="0563C1"/>
            <w:u w:val="single"/>
          </w:rPr>
          <w:t>[6]</w:t>
        </w:r>
      </w:hyperlink>
      <w:r>
        <w:t>. In other words, TIM appears able to stand up solutions with partners and internal teams, but less able to standardize the path so that the 10th deployment is dramatically easier than the 1st.</w:t>
        <w:br/>
        <w:br/>
        <w:t>In peer terms, Deutsche Telekom (3.9) sets the technical benchmark: its platform and ecosystem investments appear paired with more standardized enterprise data/AI platforms and stronger operationalization of governance into tooling. Orange and Vodafone (both 3.5) show similarly industrial technical stacks. Swisscom (3.6) is a relevant comparison because it demonstrates that even a smaller-market operator can outperform on technical maturity when it productizes a trusted AI platform approach and tightens platform governance.</w:t>
        <w:br/>
        <w:br/>
        <w:t>For TIM, the technical agenda is therefore less about acquiring more tools and more about consolidating and standardizing how tools are used. The priority moves are to strengthen enterprise data leadership (a clear mandate beyond privacy), implement standardized MLOps (versioning, CI/CD, drift monitoring, rollback), and raise metadata and data-product ownership so business domains can reliably reuse governed assets. By 2030, as AI moves deeper into autonomous network operations and edge-enabled analytics, TIM’s ability to compete will hinge on whether it can run AI like a utility—secure, observable, cost-efficient, and reusable across consumer, enterprise, and wholesale domains.</w:t>
      </w:r>
    </w:p>
    <w:p>
      <w:pPr>
        <w:pStyle w:val="Heading3"/>
        <w:spacing w:after="240"/>
      </w:pPr>
      <w:r>
        <w:t>Organizational</w:t>
      </w:r>
    </w:p>
    <w:p>
      <w:r>
        <w:rPr>
          <w:b/>
        </w:rPr>
        <w:t xml:space="preserve">Definition. </w:t>
      </w:r>
    </w:p>
    <w:p>
      <w:pPr>
        <w:spacing w:after="240"/>
      </w:pPr>
      <w:r>
        <w:t>Measures whether the organization has the talent depth, operating model, responsible AI governance, and cultural readiness to adopt AI at scale—sustainably and with accountability.</w:t>
      </w:r>
    </w:p>
    <w:p>
      <w:pPr>
        <w:spacing w:after="240"/>
      </w:pPr>
      <w:r>
        <w:rPr>
          <w:b/>
        </w:rPr>
        <w:t xml:space="preserve">Analysis. </w:t>
      </w:r>
    </w:p>
    <w:p>
      <w:pPr>
        <w:spacing w:after="240"/>
      </w:pPr>
      <w:r>
        <w:t xml:space="preserve">Organizationally, TIM is stronger than its overall maturity headline would suggest. It has placed responsible AI and governance at the center of its operating model—board-approved AI guidelines, cross-functional oversight, and integration of AI-related risks into broader control systems create a credible “trust spine” </w:t>
      </w:r>
      <w:hyperlink w:anchor="source_1">
        <w:r>
          <w:rPr>
            <w:color w:val="0563C1"/>
            <w:u w:val="single"/>
          </w:rPr>
          <w:t>[1]</w:t>
        </w:r>
      </w:hyperlink>
      <w:r>
        <w:t xml:space="preserve">. At the workforce level, training investment and participation volumes are meaningful, indicating that enablement is not confined to a small technical elite </w:t>
      </w:r>
      <w:hyperlink w:anchor="source_1">
        <w:r>
          <w:rPr>
            <w:color w:val="0563C1"/>
            <w:u w:val="single"/>
          </w:rPr>
          <w:t>[1]</w:t>
        </w:r>
      </w:hyperlink>
      <w:r>
        <w:t>.</w:t>
        <w:br/>
        <w:br/>
        <w:t xml:space="preserve">Where TIM falls short versus the leaders is not “intent,” but leadership architecture and scale signals. The evidence points to an absence of a formal Chief AI Officer role and limited visibility of a named, federated network of AI domain leaders with clear lifecycle accountability </w:t>
      </w:r>
      <w:hyperlink w:anchor="source_7">
        <w:r>
          <w:rPr>
            <w:color w:val="0563C1"/>
            <w:u w:val="single"/>
          </w:rPr>
          <w:t>[7]</w:t>
        </w:r>
      </w:hyperlink>
      <w:r>
        <w:t>. In practice, this can create a predictable operational gap: governance and ethics processes are strong, but delivery capacity and ownership can become diffuse—making it harder to scale consistently across business units.</w:t>
        <w:br/>
        <w:br/>
        <w:t>Peers illustrate the endpoint. Orange (4.2) and Deutsche Telekom (4.1) show more institutionalized organizational models, with stronger cross-functional governance maturity and clearer enterprise enablement at scale. Vodafone (3.9) demonstrates strong multi-market operating rhythm and talent signals. Swisscom (3.8) shows that organizational maturity can be driven by trust and disciplined governance even without the scale of the largest groups.</w:t>
        <w:br/>
        <w:br/>
        <w:t>For TIM, the organizational priority is to convert a strong governance foundation into a high-throughput operating model: formalize accountability (either a CAIO or a clearly defined federated model), tie role-based learning to certification and career progression, and strengthen external trust and transparency through measurable responsible-AI reporting. By 2030, telecom operators will be judged not only on what AI they deploy, but on whether they can prove that AI is governed, safe, and adopted at workforce scale. TIM has the cultural and governance ingredients; it now needs the leadership and measurement system that turns those ingredients into sustained execution.</w:t>
      </w:r>
    </w:p>
    <w:p>
      <w:pPr>
        <w:pStyle w:val="Heading3"/>
        <w:spacing w:after="240"/>
      </w:pPr>
      <w:r>
        <w:t>Innovation</w:t>
      </w:r>
    </w:p>
    <w:p>
      <w:r>
        <w:rPr>
          <w:b/>
        </w:rPr>
        <w:t xml:space="preserve">Definition. </w:t>
      </w:r>
    </w:p>
    <w:p>
      <w:pPr>
        <w:spacing w:after="240"/>
      </w:pPr>
      <w:r>
        <w:t>Captures the company’s ability to generate and absorb new AI capabilities through research, patents, ecosystems, experimentation, and open innovation—and to convert that into differentiated products and operating advantage.</w:t>
      </w:r>
    </w:p>
    <w:p>
      <w:pPr>
        <w:spacing w:after="240"/>
      </w:pPr>
      <w:r>
        <w:rPr>
          <w:b/>
        </w:rPr>
        <w:t xml:space="preserve">Analysis. </w:t>
      </w:r>
    </w:p>
    <w:p>
      <w:pPr>
        <w:spacing w:after="240"/>
      </w:pPr>
      <w:r>
        <w:t xml:space="preserve">TIM’s innovation profile has a distinctive shape: strong “inside-out” creation and protection of intellectual property, with less evidence of “outside-in” ecosystem influence. The strongest signal is the patent engine, which suggests institutional capability to originate technical ideas and formalize them into defensible assets </w:t>
      </w:r>
      <w:hyperlink w:anchor="source_3">
        <w:r>
          <w:rPr>
            <w:color w:val="0563C1"/>
            <w:u w:val="single"/>
          </w:rPr>
          <w:t>[3]</w:t>
        </w:r>
      </w:hyperlink>
      <w:r>
        <w:t>. TIM also demonstrates credible academic linkages and structured partner programs, which matter in a sector where innovation increasingly depends on co-development with hyperscalers, vendors, and research institutions.</w:t>
        <w:br/>
        <w:br/>
        <w:t xml:space="preserve">The constraints are largely about diffusion and conversion. Evidence points to modest peer-reviewed publication output and minimal open-source contribution—two signals that increasingly shape talent attraction and developer mindshare in AI. In parallel, while TIM has many partnerships, there are fewer clearly documented examples where alliances translate into multiple, measured, customer-facing deployments beyond single flagship initiatives </w:t>
      </w:r>
      <w:hyperlink w:anchor="source_8">
        <w:r>
          <w:rPr>
            <w:color w:val="0563C1"/>
            <w:u w:val="single"/>
          </w:rPr>
          <w:t>[8]</w:t>
        </w:r>
      </w:hyperlink>
      <w:r>
        <w:t>.</w:t>
        <w:br/>
        <w:br/>
        <w:t>Peer contrast is instructive. Orange (3.8) leads on innovation due to stronger evidence of innovation-to-market conversion and a more externally visible research and ecosystem posture. Deutsche Telekom (3.5) sits between, with stronger innovation industrialization than TIM but still not at the highest tier. Vodafone (3.1) is roughly on par with TIM—suggesting both operators are strong at applied scaling but less differentiated on proprietary innovation signals.</w:t>
        <w:br/>
        <w:br/>
        <w:t>For TIM, innovation maturity should be treated as a strategic lever, not a branding exercise. The objective is to convert the patent pipeline and partnerships into repeatable, visible outcomes: more lighthouse deployments, more rigorous experiment-to-production governance (hit rates, time-to-production), and selective open releases that build credibility without compromising security or IP. By 2030, the innovation winners in telecom will be those who combine autonomous network capabilities, sovereign/regulated AI competence, and AI-native customer propositions. TIM has elements of that foundation; the next step is to make innovation more externally legible and more tightly linked to scaled business outcomes.</w:t>
      </w:r>
    </w:p>
    <w:p>
      <w:pPr>
        <w:pStyle w:val="Heading2"/>
        <w:spacing w:after="240"/>
      </w:pPr>
      <w:r>
        <w:t>Overall Position Summary</w:t>
      </w:r>
    </w:p>
    <w:p>
      <w:pPr>
        <w:spacing w:after="240"/>
      </w:pPr>
      <w:r>
        <w:t xml:space="preserve">Overall, TIM sits at a Medium maturity level with an average score of ~3.1/5, behind Orange (~3.8) and Deutsche Telekom (~3.8), and modestly below Vodafone (~3.6) and Swisscom (~3.2), while remaining ahead of iliad (~2.8) on enterprise operating discipline. The shape of TIM’s maturity is consistent: it is comparatively stronger in Organizational readiness (3.4) and Strategy coherence (3.2), reflecting a governance-led posture and responsible AI foundations that are well aligned with the EU regulatory trajectory </w:t>
      </w:r>
      <w:hyperlink w:anchor="source_1">
        <w:r>
          <w:rPr>
            <w:color w:val="0563C1"/>
            <w:u w:val="single"/>
          </w:rPr>
          <w:t>[1]</w:t>
        </w:r>
      </w:hyperlink>
      <w:r>
        <w:t>.</w:t>
        <w:br/>
        <w:br/>
        <w:t xml:space="preserve">The persistent gaps are in Execution (2.7) and Technical (2.9), where TIM is not lacking AI initiatives, but lacks industrial, portfolio-wide mechanisms to (a) prove value repeatedly (standard ROI and benefits booking), and (b) run models as a managed production capability (business-visible observability, reproducible MLOps, and standardized data-product discipline) </w:t>
      </w:r>
      <w:hyperlink w:anchor="source_6">
        <w:r>
          <w:rPr>
            <w:color w:val="0563C1"/>
            <w:u w:val="single"/>
          </w:rPr>
          <w:t>[6]</w:t>
        </w:r>
      </w:hyperlink>
      <w:r>
        <w:t>. This creates a strategic risk: TIM can scale activity and remain compliant, yet still under-realize economic impact relative to peers who have tightened the “value-to-run” operating system.</w:t>
        <w:br/>
        <w:br/>
        <w:t xml:space="preserve">Structurally, the benchmark suggests three underlying causes. First, leadership architecture is governance-strong but accountability-thin: the absence of a single AI executive owner (or explicitly federated equivalent) can slow decisions and dilute ownership as AI expands into network and workforce automation </w:t>
      </w:r>
      <w:hyperlink w:anchor="source_7">
        <w:r>
          <w:rPr>
            <w:color w:val="0563C1"/>
            <w:u w:val="single"/>
          </w:rPr>
          <w:t>[7]</w:t>
        </w:r>
      </w:hyperlink>
      <w:r>
        <w:t xml:space="preserve">. Second, technical foundations are strong at the infrastructure/partner layer but uneven at the operational data/MLOps layer, which is where scale economics and reuse are created </w:t>
      </w:r>
      <w:hyperlink w:anchor="source_6">
        <w:r>
          <w:rPr>
            <w:color w:val="0563C1"/>
            <w:u w:val="single"/>
          </w:rPr>
          <w:t>[6]</w:t>
        </w:r>
      </w:hyperlink>
      <w:r>
        <w:t xml:space="preserve">. Third, innovation is strong in IP creation but less externally amplified through open ecosystems and scaled alliance outputs, reducing mindshare and slowing the flywheel between experimentation and market differentiation </w:t>
      </w:r>
      <w:hyperlink w:anchor="source_3">
        <w:r>
          <w:rPr>
            <w:color w:val="0563C1"/>
            <w:u w:val="single"/>
          </w:rPr>
          <w:t>[3]</w:t>
        </w:r>
      </w:hyperlink>
      <w:r>
        <w:t>.</w:t>
        <w:br/>
        <w:br/>
        <w:t>In an industry context, TIM’s profile is not unusual: many telecom incumbents have prioritized governance, privacy, and partner-driven acceleration, while struggling to industrialize cross-domain data products and benefits realization. But the peers show that the frontier is shifting quickly toward closed-loop network operations, GenAI-driven cost-to-serve reduction, and AI-native enterprise propositions. On that frontier, the maturity separators are platform unification, measurement discipline, and leadership accountability—less so “number of pilots.”</w:t>
        <w:br/>
        <w:br/>
        <w:t>Comparative benchmarking therefore acts as a diagnostic: it highlights that TIM does not need a wholesale strategic reset; it needs targeted operating upgrades that convert existing governance, partnerships, and infrastructure into repeatable, measurable outcomes. The most value-accretive path is to professionalize benefits realization and production operations (model inventory, observability, MLOps), while strengthening senior accountability and board fluency—so that by 2030 TIM can compete not only on AI-enabled efficiency, but also on trustworthy, differentiated AI-driven services.</w:t>
      </w:r>
    </w:p>
    <w:p>
      <w:pPr>
        <w:spacing w:before="240"/>
      </w:pPr>
      <w:r>
        <w:t>The next section provides deeper category-level diagnostics—unpacking the specific drivers behind TIM’s current scores, the proof points underlying each rating, and the prioritized levers that would most efficiently move TIM from Medium maturity toward a sustained Medium‑High trajectory.</w:t>
      </w:r>
    </w:p>
    <w:p>
      <w:bookmarkStart w:id="1003" w:name="heading_1003"/>
      <w:pPr>
        <w:pStyle w:val="Heading1"/>
        <w:spacing w:after="240"/>
      </w:pPr>
      <w:r>
        <w:t>Functional Insights &amp; Best Practices by KPI Category</w:t>
      </w:r>
      <w:bookmarkEnd w:id="1003"/>
    </w:p>
    <w:p>
      <w:pPr>
        <w:pStyle w:val="Heading2"/>
        <w:spacing w:after="240"/>
      </w:pPr>
      <w:r>
        <w:t>1. Strategy</w:t>
      </w:r>
    </w:p>
    <w:p>
      <w:pPr>
        <w:spacing w:after="240"/>
      </w:pPr>
      <w:r>
        <w:rPr>
          <w:b/>
        </w:rPr>
        <w:t xml:space="preserve">Definition: </w:t>
      </w:r>
      <w:r>
        <w:t>Measures how well AI ambition, leadership ownership, and governance are aligned with enterprise goals.</w:t>
      </w:r>
    </w:p>
    <w:p>
      <w:pPr>
        <w:spacing w:after="240"/>
      </w:pPr>
      <w:r>
        <w:rPr>
          <w:b/>
        </w:rPr>
        <w:t>Best Practices</w:t>
      </w:r>
    </w:p>
    <w:p>
      <w:pPr>
        <w:spacing w:after="240"/>
      </w:pPr>
      <w:r>
        <w:t xml:space="preserve">Telecom leaders that consistently outperform treat AI as a managed portfolio of business bets—anchored in governance, but expressed as measurable outcomes by domain (network, care, enterprise, fraud) and reviewed with the same cadence as capex and service KPIs. Vodafone and Deutsche Telekom illustrate this “strategy as an operating system”: they pair visible executive sponsorship with repeatable, multi-market scaling patterns and explicit positioning on how AI changes customer experience and operations, not just cost efficiency </w:t>
      </w:r>
      <w:hyperlink w:anchor="source_8">
        <w:r>
          <w:rPr>
            <w:color w:val="0563C1"/>
            <w:u w:val="single"/>
          </w:rPr>
          <w:t>[8]</w:t>
        </w:r>
      </w:hyperlink>
      <w:hyperlink w:anchor="source_9">
        <w:r>
          <w:rPr>
            <w:color w:val="0563C1"/>
            <w:u w:val="single"/>
          </w:rPr>
          <w:t>[9]</w:t>
        </w:r>
      </w:hyperlink>
      <w:hyperlink w:anchor="source_19">
        <w:r>
          <w:rPr>
            <w:color w:val="0563C1"/>
            <w:u w:val="single"/>
          </w:rPr>
          <w:t>[19]</w:t>
        </w:r>
      </w:hyperlink>
      <w:r>
        <w:t xml:space="preserve">. Orange adds a second dimension: it uses formal ethics structures to sustain stakeholder trust while accelerating rollout—reducing the typical telecom failure mode where risk controls slow delivery rather than enabling it </w:t>
      </w:r>
      <w:hyperlink w:anchor="source_10">
        <w:r>
          <w:rPr>
            <w:color w:val="0563C1"/>
            <w:u w:val="single"/>
          </w:rPr>
          <w:t>[10]</w:t>
        </w:r>
      </w:hyperlink>
      <w:r>
        <w:t xml:space="preserve">. Across industries, the common thread is accountability: strategy is translated into a small set of enterprise AI KPIs (e.g., care deflection, MTTR, churn, fraud loss, energy per bit) tied to funding gates and owned by P&amp;L leaders—so “AI strategy” becomes a contract, not a narrative </w:t>
      </w:r>
      <w:hyperlink w:anchor="source_8">
        <w:r>
          <w:rPr>
            <w:color w:val="0563C1"/>
            <w:u w:val="single"/>
          </w:rPr>
          <w:t>[8]</w:t>
        </w:r>
      </w:hyperlink>
      <w:hyperlink w:anchor="source_10">
        <w:r>
          <w:rPr>
            <w:color w:val="0563C1"/>
            <w:u w:val="single"/>
          </w:rPr>
          <w:t>[10]</w:t>
        </w:r>
      </w:hyperlink>
      <w:r>
        <w:t xml:space="preserve">. The meta-pattern in telecom is clear: top performers treat AI as governance plus measurement, not governance alone </w:t>
      </w:r>
      <w:hyperlink w:anchor="source_19">
        <w:r>
          <w:rPr>
            <w:color w:val="0563C1"/>
            <w:u w:val="single"/>
          </w:rPr>
          <w:t>[19]</w:t>
        </w:r>
      </w:hyperlink>
      <w:r>
        <w:t>.</w:t>
      </w:r>
    </w:p>
    <w:p>
      <w:pPr>
        <w:spacing w:after="240"/>
      </w:pPr>
      <w:r>
        <w:rPr>
          <w:b/>
        </w:rPr>
        <w:t>Target Company Gaps</w:t>
      </w:r>
    </w:p>
    <w:p>
      <w:pPr>
        <w:spacing w:after="240"/>
      </w:pPr>
      <w:r>
        <w:t xml:space="preserve">TIM’s Strategy score (3.2) is credible—its AI agenda is governance-led, with published guidelines, a multi-year technology plan, and several quantified wins (notably network operations and contact center improvements) </w:t>
      </w:r>
      <w:hyperlink w:anchor="source_1">
        <w:r>
          <w:rPr>
            <w:color w:val="0563C1"/>
            <w:u w:val="single"/>
          </w:rPr>
          <w:t>[1]</w:t>
        </w:r>
      </w:hyperlink>
      <w:hyperlink w:anchor="source_2">
        <w:r>
          <w:rPr>
            <w:color w:val="0563C1"/>
            <w:u w:val="single"/>
          </w:rPr>
          <w:t>[2]</w:t>
        </w:r>
      </w:hyperlink>
      <w:hyperlink w:anchor="source_3">
        <w:r>
          <w:rPr>
            <w:color w:val="0563C1"/>
            <w:u w:val="single"/>
          </w:rPr>
          <w:t>[3]</w:t>
        </w:r>
      </w:hyperlink>
      <w:r>
        <w:t xml:space="preserve">. The material gap is that strategy is not yet “finance-grade” across the enterprise. First, board-level AI depth is thin (driver-level evidence suggests no explicit AI/ML expertise and no dedicated technology/AI committee), which weakens challenge capacity as AI becomes more material to product, risk, and workforce design </w:t>
      </w:r>
      <w:hyperlink w:anchor="source_16">
        <w:r>
          <w:rPr>
            <w:color w:val="0563C1"/>
            <w:u w:val="single"/>
          </w:rPr>
          <w:t>[16]</w:t>
        </w:r>
      </w:hyperlink>
      <w:r>
        <w:t xml:space="preserve">. Second, disclosed use cases and systematic KPI reporting remain narrow—TIM can cite strong point outcomes, but cannot yet demonstrate programmatic measurement across lines of business, which is where peers are stronger (Vodafone 3.8 and Deutsche Telekom 3.9 vs TIM 3.2 in Strategy) </w:t>
      </w:r>
      <w:hyperlink w:anchor="source_19">
        <w:r>
          <w:rPr>
            <w:color w:val="0563C1"/>
            <w:u w:val="single"/>
          </w:rPr>
          <w:t>[19]</w:t>
        </w:r>
      </w:hyperlink>
      <w:r>
        <w:t xml:space="preserve">. Third, market/segment localization is compliance-heavy and experience-light: the evidence emphasizes EU-alignment, but shows limited proof of multilingual model and dataset localization that would support differentiated CX at scale </w:t>
      </w:r>
      <w:hyperlink w:anchor="source_1">
        <w:r>
          <w:rPr>
            <w:color w:val="0563C1"/>
            <w:u w:val="single"/>
          </w:rPr>
          <w:t>[1]</w:t>
        </w:r>
      </w:hyperlink>
      <w:r>
        <w:t xml:space="preserve">. Strategically, this creates a “credibility gap” risk: governance and messaging outpace auditable enterprise outcomes—slowing investment confidence and limiting TIM’s ability to price AI-enhanced propositions as a durable differentiator </w:t>
      </w:r>
      <w:hyperlink w:anchor="source_19">
        <w:r>
          <w:rPr>
            <w:color w:val="0563C1"/>
            <w:u w:val="single"/>
          </w:rPr>
          <w:t>[19]</w:t>
        </w:r>
      </w:hyperlink>
      <w:r>
        <w:t>.</w:t>
      </w:r>
    </w:p>
    <w:p>
      <w:r>
        <w:rPr>
          <w:b/>
        </w:rPr>
        <w:t>Quick Evidence Callouts:</w:t>
      </w:r>
    </w:p>
    <w:p>
      <w:pPr>
        <w:pStyle w:val="ListBullet"/>
      </w:pPr>
      <w:r>
        <w:t xml:space="preserve">Board-approved AI Guidelines and multi-year technology plan exist, but board AI expertise is limited </w:t>
      </w:r>
      <w:hyperlink w:anchor="source_1">
        <w:r>
          <w:rPr>
            <w:color w:val="0563C1"/>
            <w:u w:val="single"/>
          </w:rPr>
          <w:t>[1]</w:t>
        </w:r>
      </w:hyperlink>
      <w:hyperlink w:anchor="source_16">
        <w:r>
          <w:rPr>
            <w:color w:val="0563C1"/>
            <w:u w:val="single"/>
          </w:rPr>
          <w:t>[16]</w:t>
        </w:r>
      </w:hyperlink>
      <w:r>
        <w:t>.</w:t>
      </w:r>
    </w:p>
    <w:p>
      <w:pPr>
        <w:pStyle w:val="ListBullet"/>
      </w:pPr>
      <w:r>
        <w:t xml:space="preserve">Quantified impact is present in selected areas (e.g., network operations, contact centers) but not systematized enterprise-wide </w:t>
      </w:r>
      <w:hyperlink w:anchor="source_2">
        <w:r>
          <w:rPr>
            <w:color w:val="0563C1"/>
            <w:u w:val="single"/>
          </w:rPr>
          <w:t>[2]</w:t>
        </w:r>
      </w:hyperlink>
      <w:hyperlink w:anchor="source_3">
        <w:r>
          <w:rPr>
            <w:color w:val="0563C1"/>
            <w:u w:val="single"/>
          </w:rPr>
          <w:t>[3]</w:t>
        </w:r>
      </w:hyperlink>
      <w:r>
        <w:t>.</w:t>
      </w:r>
    </w:p>
    <w:p>
      <w:pPr>
        <w:pStyle w:val="ListBullet"/>
      </w:pPr>
      <w:r>
        <w:t xml:space="preserve">Localization evidence is primarily regulatory (EU) rather than multilingual / segment-tailored model performance </w:t>
      </w:r>
      <w:hyperlink w:anchor="source_1">
        <w:r>
          <w:rPr>
            <w:color w:val="0563C1"/>
            <w:u w:val="single"/>
          </w:rPr>
          <w:t>[1]</w:t>
        </w:r>
      </w:hyperlink>
      <w:r>
        <w:t>.</w:t>
      </w:r>
    </w:p>
    <w:p>
      <w:pPr>
        <w:spacing w:after="240"/>
      </w:pPr>
      <w:r>
        <w:rPr>
          <w:b/>
        </w:rPr>
        <w:t>Improvement Levers</w:t>
      </w:r>
    </w:p>
    <w:p>
      <w:pPr>
        <w:pStyle w:val="ListNumber"/>
      </w:pPr>
      <w:r>
        <w:rPr>
          <w:b/>
        </w:rPr>
        <w:t xml:space="preserve">Move from “governance-led” to “outcome-locked” strategy with a Board-visible AI scorecard - </w:t>
      </w:r>
      <w:r>
        <w:t>TIM should convert its existing strategic spine (guidelines, roadmap, cross-functional oversight) into an outcome system that allocates capital based on verified value. Start by defining 8–12 enterprise AI KPIs across the value chain (e.g., MTTR/MTBF, energy per bit, AHT and deflection, churn propensity lift, fraud loss avoided, enterprise lead-to-cash cycle time) and assign each KPI to a named business owner, not IT. Then establish quarterly AI performance reviews chaired by the CEO/COO with Finance present, so benefits are tracked as forecast vs. actual and linked to funding decisions. Create an explicit “strategy-to-portfolio” map: each AI initiative must tie to one KPI, one data product, one model owner, and one risk classification. Close the board gap by adding a Technology &amp; AI agenda (committee or formal charter) and ensuring directors receive targeted briefings on AI risk, value, and regulation—so oversight becomes proactive rather than document-approval. This will also sharpen Execution: once KPIs and ownership exist, model monitoring and observability become non-negotiable rather than optional. Impact: High. Example_or_step: “Stand up the AI scorecard and quarterly cadence within 120 days; publish the first scorecard internally within 6 months.” Impact: High Example: Launch a Board-facing AI scorecard (8–12 KPIs) and quarterly value reviews within 6 months.</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ListNumber"/>
      </w:pPr>
      <w:r>
        <w:t>Impact: Low</w:t>
      </w:r>
    </w:p>
    <w:p>
      <w:pPr>
        <w:pStyle w:val="Heading2"/>
        <w:spacing w:after="240"/>
      </w:pPr>
      <w:r>
        <w:t>2. Execution</w:t>
      </w:r>
    </w:p>
    <w:p>
      <w:pPr>
        <w:spacing w:after="240"/>
      </w:pPr>
      <w:r>
        <w:rPr>
          <w:b/>
        </w:rPr>
        <w:t xml:space="preserve">Definition: </w:t>
      </w:r>
      <w:r>
        <w:t>Measures how reliably AI is industrialized into delivery, operations, and value capture (not just piloted).</w:t>
      </w:r>
    </w:p>
    <w:p>
      <w:pPr>
        <w:spacing w:after="240"/>
      </w:pPr>
      <w:r>
        <w:rPr>
          <w:b/>
        </w:rPr>
        <w:t>Best Practices</w:t>
      </w:r>
    </w:p>
    <w:p>
      <w:pPr>
        <w:spacing w:after="240"/>
      </w:pPr>
      <w:r>
        <w:t xml:space="preserve">Best-in-class operators separate “shipping” from “scaling value.” Vodafone’s execution advantage comes from standardizing delivery paths (platforms, templates, reusable components) and then proving value repeatedly through operational KPIs and multi-market reuse </w:t>
      </w:r>
      <w:hyperlink w:anchor="source_8">
        <w:r>
          <w:rPr>
            <w:color w:val="0563C1"/>
            <w:u w:val="single"/>
          </w:rPr>
          <w:t>[8]</w:t>
        </w:r>
      </w:hyperlink>
      <w:r>
        <w:t xml:space="preserve">. Orange and Deutsche Telekom show the next step: they increasingly treat AI as an operational layer—instrumented with business-visible telemetry and tied to service and productivity outcomes—so models behave like managed services with SLAs rather than experiments </w:t>
      </w:r>
      <w:hyperlink w:anchor="source_9">
        <w:r>
          <w:rPr>
            <w:color w:val="0563C1"/>
            <w:u w:val="single"/>
          </w:rPr>
          <w:t>[9]</w:t>
        </w:r>
      </w:hyperlink>
      <w:hyperlink w:anchor="source_10">
        <w:r>
          <w:rPr>
            <w:color w:val="0563C1"/>
            <w:u w:val="single"/>
          </w:rPr>
          <w:t>[10]</w:t>
        </w:r>
      </w:hyperlink>
      <w:r>
        <w:t xml:space="preserve">. In adjacent industries (banking, e-commerce), leading firms institutionalize benefits realization: every use case has an ex-ante business case, an ex-post verification method, and a governance gate that stops funding if value does not materialize. The telecom pattern is that operators who invest early in portfolio discipline and observability can safely move into closed-loop automation and agentic workflows without losing control </w:t>
      </w:r>
      <w:hyperlink w:anchor="source_8">
        <w:r>
          <w:rPr>
            <w:color w:val="0563C1"/>
            <w:u w:val="single"/>
          </w:rPr>
          <w:t>[8]</w:t>
        </w:r>
      </w:hyperlink>
      <w:hyperlink w:anchor="source_9">
        <w:r>
          <w:rPr>
            <w:color w:val="0563C1"/>
            <w:u w:val="single"/>
          </w:rPr>
          <w:t>[9]</w:t>
        </w:r>
      </w:hyperlink>
      <w:r>
        <w:t>.</w:t>
      </w:r>
    </w:p>
    <w:p>
      <w:pPr>
        <w:spacing w:after="240"/>
      </w:pPr>
      <w:r>
        <w:rPr>
          <w:b/>
        </w:rPr>
        <w:t>Target Company Gaps</w:t>
      </w:r>
    </w:p>
    <w:p>
      <w:pPr>
        <w:spacing w:after="240"/>
      </w:pPr>
      <w:r>
        <w:t xml:space="preserve">TIM’s Execution score (2.7) reflects a paradox: strong enablers, weak value proof. On the enabling side, TIM funds reskilling and platform efforts and integrates AI into multiple workflows (customer care, network monitoring, security), and shows regulatory discipline in delivery </w:t>
      </w:r>
      <w:hyperlink w:anchor="source_1">
        <w:r>
          <w:rPr>
            <w:color w:val="0563C1"/>
            <w:u w:val="single"/>
          </w:rPr>
          <w:t>[1]</w:t>
        </w:r>
      </w:hyperlink>
      <w:hyperlink w:anchor="source_5">
        <w:r>
          <w:rPr>
            <w:color w:val="0563C1"/>
            <w:u w:val="single"/>
          </w:rPr>
          <w:t>[5]</w:t>
        </w:r>
      </w:hyperlink>
      <w:r>
        <w:t xml:space="preserve">. Yet the measurable portfolio is small: only four clearly documented implemented use cases and only a couple with quantified impact, which depresses value credibility and slows organizational pull-through </w:t>
      </w:r>
      <w:hyperlink w:anchor="source_2">
        <w:r>
          <w:rPr>
            <w:color w:val="0563C1"/>
            <w:u w:val="single"/>
          </w:rPr>
          <w:t>[2]</w:t>
        </w:r>
      </w:hyperlink>
      <w:hyperlink w:anchor="source_3">
        <w:r>
          <w:rPr>
            <w:color w:val="0563C1"/>
            <w:u w:val="single"/>
          </w:rPr>
          <w:t>[3]</w:t>
        </w:r>
      </w:hyperlink>
      <w:r>
        <w:t xml:space="preserve">. Model monitoring is also not business-visible in a systematic way—evidence points to strong security/controls, but limited model-specific drift/performance dashboards seen by P&amp;L owners </w:t>
      </w:r>
      <w:hyperlink w:anchor="source_1">
        <w:r>
          <w:rPr>
            <w:color w:val="0563C1"/>
            <w:u w:val="single"/>
          </w:rPr>
          <w:t>[1]</w:t>
        </w:r>
      </w:hyperlink>
      <w:r>
        <w:t xml:space="preserve">. Compared to peers, this is where the gap becomes strategic: Vodafone (3.6) and Orange (3.8) have translated similar building blocks into repeatable, demonstrable value, while TIM still appears to be scaling activity faster than auditable outcomes </w:t>
      </w:r>
      <w:hyperlink w:anchor="source_19">
        <w:r>
          <w:rPr>
            <w:color w:val="0563C1"/>
            <w:u w:val="single"/>
          </w:rPr>
          <w:t>[19]</w:t>
        </w:r>
      </w:hyperlink>
      <w:r>
        <w:t xml:space="preserve">. The risk is not “lack of AI”—it is scale without a control tower: spending and partnering can grow while the organization cannot prove what is working, why, and where to double down </w:t>
      </w:r>
      <w:hyperlink w:anchor="source_19">
        <w:r>
          <w:rPr>
            <w:color w:val="0563C1"/>
            <w:u w:val="single"/>
          </w:rPr>
          <w:t>[19]</w:t>
        </w:r>
      </w:hyperlink>
      <w:r>
        <w:t>.</w:t>
      </w:r>
    </w:p>
    <w:p>
      <w:r>
        <w:rPr>
          <w:b/>
        </w:rPr>
        <w:t>Quick Evidence Callouts:</w:t>
      </w:r>
    </w:p>
    <w:p>
      <w:pPr>
        <w:pStyle w:val="ListBullet"/>
      </w:pPr>
      <w:r>
        <w:t xml:space="preserve">Only a small number of documented implemented use cases is evidenced vs broad qualitative claims </w:t>
      </w:r>
      <w:hyperlink w:anchor="source_2">
        <w:r>
          <w:rPr>
            <w:color w:val="0563C1"/>
            <w:u w:val="single"/>
          </w:rPr>
          <w:t>[2]</w:t>
        </w:r>
      </w:hyperlink>
      <w:hyperlink w:anchor="source_3">
        <w:r>
          <w:rPr>
            <w:color w:val="0563C1"/>
            <w:u w:val="single"/>
          </w:rPr>
          <w:t>[3]</w:t>
        </w:r>
      </w:hyperlink>
      <w:r>
        <w:t>.</w:t>
      </w:r>
    </w:p>
    <w:p>
      <w:pPr>
        <w:pStyle w:val="ListBullet"/>
      </w:pPr>
      <w:r>
        <w:t xml:space="preserve">Business-visible model monitoring and standardized ROI methods are not evidenced as enterprise practices </w:t>
      </w:r>
      <w:hyperlink w:anchor="source_1">
        <w:r>
          <w:rPr>
            <w:color w:val="0563C1"/>
            <w:u w:val="single"/>
          </w:rPr>
          <w:t>[1]</w:t>
        </w:r>
      </w:hyperlink>
      <w:r>
        <w:t>.</w:t>
      </w:r>
    </w:p>
    <w:p>
      <w:pPr>
        <w:pStyle w:val="ListBullet"/>
      </w:pPr>
      <w:r>
        <w:t xml:space="preserve">Funding and enablement exist (training investment, partnerships), but benefits tracking is inconsistent </w:t>
      </w:r>
      <w:hyperlink w:anchor="source_5">
        <w:r>
          <w:rPr>
            <w:color w:val="0563C1"/>
            <w:u w:val="single"/>
          </w:rPr>
          <w:t>[5]</w:t>
        </w:r>
      </w:hyperlink>
      <w:hyperlink w:anchor="source_19">
        <w:r>
          <w:rPr>
            <w:color w:val="0563C1"/>
            <w:u w:val="single"/>
          </w:rPr>
          <w:t>[19]</w:t>
        </w:r>
      </w:hyperlink>
      <w:r>
        <w:t>.</w:t>
      </w:r>
    </w:p>
    <w:p>
      <w:pPr>
        <w:spacing w:after="240"/>
      </w:pPr>
      <w:r>
        <w:rPr>
          <w:b/>
        </w:rPr>
        <w:t>Improvement Levers</w:t>
      </w:r>
    </w:p>
    <w:p>
      <w:pPr>
        <w:pStyle w:val="ListNumber"/>
      </w:pPr>
      <w:r>
        <w:rPr>
          <w:b/>
        </w:rPr>
        <w:t xml:space="preserve">Build a finance-grade “AI Value Office” that governs from idea → run with auditable ROI - </w:t>
      </w:r>
      <w:r>
        <w:t>TIM should stand up a small, high-authority Value Office that sits between Strategy and Delivery and makes ROI real. First, standardize the business case template: baseline, counterfactual method, cost stack (model, data, run), and benefit booking owner in Finance. Second, enforce stage gates: no pilot without an instrumentation plan; no scale without verified impact; and a formal “kill” mechanism that reallocates capacity. Third, create a portfolio dashboard that reconciles three views—value (€/KPI), risk (AI Act class / privacy / security), and operability (uptime, drift incidents, model refresh cadence)—so leadership can rebalance monthly. Fourth, link vendor contracts to outcomes (e.g., AHT reduction, MTTR improvement) to avoid partner-heavy delivery without value accountability. This lever is explicitly cross-category: it forces Technical observability and Organizational ownership to mature, or the portfolio cannot progress. Impact: High. Example_or_step: “Run the Value Office on the top 10 initiatives first; scale governance after two quarters.” Impact: High Example: Pilot the Value Office on 10 initiatives within 90 days; expand enterprise-wide in 2 quarters.</w:t>
      </w:r>
    </w:p>
    <w:p>
      <w:pPr>
        <w:pStyle w:val="Heading2"/>
        <w:spacing w:after="240"/>
      </w:pPr>
      <w:r>
        <w:t>3. Technical (Data &amp; Infrastructure)</w:t>
      </w:r>
    </w:p>
    <w:p>
      <w:pPr>
        <w:spacing w:after="240"/>
      </w:pPr>
      <w:r>
        <w:rPr>
          <w:b/>
        </w:rPr>
        <w:t xml:space="preserve">Definition: </w:t>
      </w:r>
      <w:r>
        <w:t>Measures whether data, platforms, and MLOps enable secure, scalable, repeatable AI in production.</w:t>
      </w:r>
    </w:p>
    <w:p>
      <w:pPr>
        <w:spacing w:after="240"/>
      </w:pPr>
      <w:r>
        <w:rPr>
          <w:b/>
        </w:rPr>
        <w:t>Best Practices</w:t>
      </w:r>
    </w:p>
    <w:p>
      <w:pPr>
        <w:spacing w:after="240"/>
      </w:pPr>
      <w:r>
        <w:t xml:space="preserve">Telecom technical leaders have converged on a pragmatic formula: a shared AI platform, a governed data foundation (often data-product oriented), and MLOps that makes production boring. Vodafone’s platformization and Deutsche Telekom’s push toward reusable agent and data foundations illustrate how standardization becomes speed—teams ship faster because they stop rebuilding pipelines and controls per use case </w:t>
      </w:r>
      <w:hyperlink w:anchor="source_8">
        <w:r>
          <w:rPr>
            <w:color w:val="0563C1"/>
            <w:u w:val="single"/>
          </w:rPr>
          <w:t>[8]</w:t>
        </w:r>
      </w:hyperlink>
      <w:hyperlink w:anchor="source_9">
        <w:r>
          <w:rPr>
            <w:color w:val="0563C1"/>
            <w:u w:val="single"/>
          </w:rPr>
          <w:t>[9]</w:t>
        </w:r>
      </w:hyperlink>
      <w:r>
        <w:t xml:space="preserve">. Swisscom demonstrates a second best practice: pairing sovereign/trusted compute positioning with practical tooling for enterprise adoption, so “trust” is a product feature, not only a policy statement </w:t>
      </w:r>
      <w:hyperlink w:anchor="source_11">
        <w:r>
          <w:rPr>
            <w:color w:val="0563C1"/>
            <w:u w:val="single"/>
          </w:rPr>
          <w:t>[11]</w:t>
        </w:r>
      </w:hyperlink>
      <w:r>
        <w:t xml:space="preserve">. Across industries, the strongest pattern is not “more tools,” but fewer, better-integrated tools with clear golden paths (feature store, model registry, CI/CD, monitoring, rollback) and measurable adoption across teams. Telecom’s direction of travel is clear: the winners will own enough of the stack to industrialize, while partnering selectively at the model layer </w:t>
      </w:r>
      <w:hyperlink w:anchor="source_8">
        <w:r>
          <w:rPr>
            <w:color w:val="0563C1"/>
            <w:u w:val="single"/>
          </w:rPr>
          <w:t>[8]</w:t>
        </w:r>
      </w:hyperlink>
      <w:hyperlink w:anchor="source_11">
        <w:r>
          <w:rPr>
            <w:color w:val="0563C1"/>
            <w:u w:val="single"/>
          </w:rPr>
          <w:t>[11]</w:t>
        </w:r>
      </w:hyperlink>
      <w:r>
        <w:t>.</w:t>
      </w:r>
    </w:p>
    <w:p>
      <w:pPr>
        <w:spacing w:after="240"/>
      </w:pPr>
      <w:r>
        <w:rPr>
          <w:b/>
        </w:rPr>
        <w:t>Target Company Gaps</w:t>
      </w:r>
    </w:p>
    <w:p>
      <w:pPr>
        <w:spacing w:after="240"/>
      </w:pPr>
      <w:r>
        <w:t xml:space="preserve">TIM’s Technical score (2.9) is a classic ‘top-of-stack vs last-mile’ split. TIM has strong infrastructure and partnerships (including hybrid/edge capacity and broad vendor ecosystem), and mature security/privacy governance that is well suited to regulated markets </w:t>
      </w:r>
      <w:hyperlink w:anchor="source_1">
        <w:r>
          <w:rPr>
            <w:color w:val="0563C1"/>
            <w:u w:val="single"/>
          </w:rPr>
          <w:t>[1]</w:t>
        </w:r>
      </w:hyperlink>
      <w:hyperlink w:anchor="source_17">
        <w:r>
          <w:rPr>
            <w:color w:val="0563C1"/>
            <w:u w:val="single"/>
          </w:rPr>
          <w:t>[17]</w:t>
        </w:r>
      </w:hyperlink>
      <w:r>
        <w:t xml:space="preserve">. However, several foundational mechanics are weak: no enterprise CDO mandate beyond privacy-focused leadership, immature MLOps workflow reproducibility, and limited evidence of enterprise metadata, canonical models, and a governed self-service data/AI marketplace </w:t>
      </w:r>
      <w:hyperlink w:anchor="source_17">
        <w:r>
          <w:rPr>
            <w:color w:val="0563C1"/>
            <w:u w:val="single"/>
          </w:rPr>
          <w:t>[17]</w:t>
        </w:r>
      </w:hyperlink>
      <w:r>
        <w:t xml:space="preserve">. This matters because it directly constrains Execution and Innovation: without reusable MLOps and data products, TIM cannot cheaply expand from a few well-documented use cases to dozens of reliably monitored, ROI-instrumented deployments. Peer comparison reinforces the point: Deutsche Telekom (3.9), Swisscom (3.6), and Vodafone (3.5) have stronger technical industrialization, while TIM remains closer to “capable infrastructure + partner delivery” than “repeatable internal AI factory” </w:t>
      </w:r>
      <w:hyperlink w:anchor="source_19">
        <w:r>
          <w:rPr>
            <w:color w:val="0563C1"/>
            <w:u w:val="single"/>
          </w:rPr>
          <w:t>[19]</w:t>
        </w:r>
      </w:hyperlink>
      <w:r>
        <w:t xml:space="preserve">. Strategically, that increases operational risk (drift, inconsistent compliance artifacts) and vendor dependency as AI becomes embedded into core OSS/BSS workflows </w:t>
      </w:r>
      <w:hyperlink w:anchor="source_19">
        <w:r>
          <w:rPr>
            <w:color w:val="0563C1"/>
            <w:u w:val="single"/>
          </w:rPr>
          <w:t>[19]</w:t>
        </w:r>
      </w:hyperlink>
      <w:r>
        <w:t>.</w:t>
      </w:r>
    </w:p>
    <w:p>
      <w:r>
        <w:rPr>
          <w:b/>
        </w:rPr>
        <w:t>Quick Evidence Callouts:</w:t>
      </w:r>
    </w:p>
    <w:p>
      <w:pPr>
        <w:pStyle w:val="ListBullet"/>
      </w:pPr>
      <w:r>
        <w:t xml:space="preserve">Strong privacy/security controls and partner ecosystem are evidenced, but MLOps workflow maturity is low </w:t>
      </w:r>
      <w:hyperlink w:anchor="source_1">
        <w:r>
          <w:rPr>
            <w:color w:val="0563C1"/>
            <w:u w:val="single"/>
          </w:rPr>
          <w:t>[1]</w:t>
        </w:r>
      </w:hyperlink>
      <w:hyperlink w:anchor="source_17">
        <w:r>
          <w:rPr>
            <w:color w:val="0563C1"/>
            <w:u w:val="single"/>
          </w:rPr>
          <w:t>[17]</w:t>
        </w:r>
      </w:hyperlink>
      <w:r>
        <w:t>.</w:t>
      </w:r>
    </w:p>
    <w:p>
      <w:pPr>
        <w:pStyle w:val="ListBullet"/>
      </w:pPr>
      <w:r>
        <w:t xml:space="preserve">No clear enterprise CDO role; governance is anchored mainly in privacy (DPO) </w:t>
      </w:r>
      <w:hyperlink w:anchor="source_17">
        <w:r>
          <w:rPr>
            <w:color w:val="0563C1"/>
            <w:u w:val="single"/>
          </w:rPr>
          <w:t>[17]</w:t>
        </w:r>
      </w:hyperlink>
      <w:r>
        <w:t>.</w:t>
      </w:r>
    </w:p>
    <w:p>
      <w:pPr>
        <w:pStyle w:val="ListBullet"/>
      </w:pPr>
      <w:r>
        <w:t xml:space="preserve">Metadata, canonical model, and self-service marketplace evidence is limited, constraining scale </w:t>
      </w:r>
      <w:hyperlink w:anchor="source_17">
        <w:r>
          <w:rPr>
            <w:color w:val="0563C1"/>
            <w:u w:val="single"/>
          </w:rPr>
          <w:t>[17]</w:t>
        </w:r>
      </w:hyperlink>
      <w:hyperlink w:anchor="source_19">
        <w:r>
          <w:rPr>
            <w:color w:val="0563C1"/>
            <w:u w:val="single"/>
          </w:rPr>
          <w:t>[19]</w:t>
        </w:r>
      </w:hyperlink>
      <w:r>
        <w:t>.</w:t>
      </w:r>
    </w:p>
    <w:p>
      <w:pPr>
        <w:spacing w:after="240"/>
      </w:pPr>
      <w:r>
        <w:rPr>
          <w:b/>
        </w:rPr>
        <w:t>Improvement Levers</w:t>
      </w:r>
    </w:p>
    <w:p>
      <w:pPr>
        <w:pStyle w:val="ListNumber"/>
      </w:pPr>
      <w:r>
        <w:rPr>
          <w:b/>
        </w:rPr>
        <w:t xml:space="preserve">Create a ‘telco AI factory’ by standardizing the ML lifecycle and data products (not adding more tools) - </w:t>
      </w:r>
      <w:r>
        <w:t>TIM should focus technical investment on one outcome: repeatable production AI with low marginal cost per new use case. Start with a golden-path MLOps stack (model registry, artifact/version control, CI/CD, automated testing, drift monitoring, rollback) and mandate it for all new models. In parallel, build 10–15 “data products” aligned to the Strategy scorecard (e.g., customer interaction events, network telemetry, trouble tickets, fraud signals) with clear owners, quality SLAs, and lineage. This is where a CDO-equivalent mandate matters: someone must arbitrate standards, fund shared assets, and stop domain teams from creating bespoke pipelines. Tie the factory to execution by exposing business-visible model health dashboards (SLA, drift incidents, performance vs KPI) so product owners trust and adopt models. Done well, this reduces the documentation gap—use cases become easier to count, measure, and audit because they share the same operational backbone. Impact: High. Example_or_step: “Within 6 months, require golden-path compliance for all new GenAI and ML deployments.” Impact: High Example: Mandate a single golden-path MLOps standard and first 10 data products within 6–9 months.</w:t>
      </w:r>
    </w:p>
    <w:p>
      <w:pPr>
        <w:pStyle w:val="Heading2"/>
        <w:spacing w:after="240"/>
      </w:pPr>
      <w:r>
        <w:t>4. Organizational (People, Structure, Governance)</w:t>
      </w:r>
    </w:p>
    <w:p>
      <w:pPr>
        <w:spacing w:after="240"/>
      </w:pPr>
      <w:r>
        <w:rPr>
          <w:b/>
        </w:rPr>
        <w:t xml:space="preserve">Definition: </w:t>
      </w:r>
      <w:r>
        <w:t>Measures whether talent, governance, culture, and change mechanisms make AI a repeatable organizational capability.</w:t>
      </w:r>
    </w:p>
    <w:p>
      <w:pPr>
        <w:spacing w:after="240"/>
      </w:pPr>
      <w:r>
        <w:rPr>
          <w:b/>
        </w:rPr>
        <w:t>Best Practices</w:t>
      </w:r>
    </w:p>
    <w:p>
      <w:pPr>
        <w:spacing w:after="240"/>
      </w:pPr>
      <w:r>
        <w:t xml:space="preserve">High-performing operators institutionalize AI in three layers: (1) clear accountability (CAIO or a federated network of named domain leaders), (2) scaled literacy with role-based pathways, and (3) trust mechanisms that keep regulators, employees, and customers aligned. Orange’s dedicated ethics structures and Vodafone’s scaled talent and operating model show how governance can accelerate—not slow—adoption when decision rights are clear and embedded in delivery </w:t>
      </w:r>
      <w:hyperlink w:anchor="source_8">
        <w:r>
          <w:rPr>
            <w:color w:val="0563C1"/>
            <w:u w:val="single"/>
          </w:rPr>
          <w:t>[8]</w:t>
        </w:r>
      </w:hyperlink>
      <w:hyperlink w:anchor="source_10">
        <w:r>
          <w:rPr>
            <w:color w:val="0563C1"/>
            <w:u w:val="single"/>
          </w:rPr>
          <w:t>[10]</w:t>
        </w:r>
      </w:hyperlink>
      <w:r>
        <w:t xml:space="preserve">. Deutsche Telekom demonstrates the cultural mechanism: repeated internal enablement motions (promptathons, adoption programs) that normalize AI usage and reduce “shadow AI” behavior </w:t>
      </w:r>
      <w:hyperlink w:anchor="source_9">
        <w:r>
          <w:rPr>
            <w:color w:val="0563C1"/>
            <w:u w:val="single"/>
          </w:rPr>
          <w:t>[9]</w:t>
        </w:r>
      </w:hyperlink>
      <w:r>
        <w:t xml:space="preserve">. Cross-industry leaders increasingly treat workforce enablement as a product: they measure adoption, proficiency, and productivity improvements per role, and they connect learning to career progression. The telecom pattern is that organizational maturity is becoming a competitive moat because AI execution is now a people system as much as a technology system </w:t>
      </w:r>
      <w:hyperlink w:anchor="source_8">
        <w:r>
          <w:rPr>
            <w:color w:val="0563C1"/>
            <w:u w:val="single"/>
          </w:rPr>
          <w:t>[8]</w:t>
        </w:r>
      </w:hyperlink>
      <w:hyperlink w:anchor="source_9">
        <w:r>
          <w:rPr>
            <w:color w:val="0563C1"/>
            <w:u w:val="single"/>
          </w:rPr>
          <w:t>[9]</w:t>
        </w:r>
      </w:hyperlink>
      <w:r>
        <w:t>.</w:t>
      </w:r>
    </w:p>
    <w:p>
      <w:pPr>
        <w:spacing w:after="240"/>
      </w:pPr>
      <w:r>
        <w:rPr>
          <w:b/>
        </w:rPr>
        <w:t>Target Company Gaps</w:t>
      </w:r>
    </w:p>
    <w:p>
      <w:pPr>
        <w:spacing w:after="240"/>
      </w:pPr>
      <w:r>
        <w:t xml:space="preserve">TIM’s Organizational score (3.4) is an asset—strong ethics-by-design, cross-functional governance, and large-scale reskilling activity provide a credible foundation for responsible scaling </w:t>
      </w:r>
      <w:hyperlink w:anchor="source_1">
        <w:r>
          <w:rPr>
            <w:color w:val="0563C1"/>
            <w:u w:val="single"/>
          </w:rPr>
          <w:t>[1]</w:t>
        </w:r>
      </w:hyperlink>
      <w:hyperlink w:anchor="source_5">
        <w:r>
          <w:rPr>
            <w:color w:val="0563C1"/>
            <w:u w:val="single"/>
          </w:rPr>
          <w:t>[5]</w:t>
        </w:r>
      </w:hyperlink>
      <w:r>
        <w:t xml:space="preserve">. The constraint is leadership architecture and talent transparency. Evidence indicates no formal CAIO and few publicly named AI leaders, while verifiable AI specialist headcount is not clearly disclosed at scale, despite meaningful hiring signals </w:t>
      </w:r>
      <w:hyperlink w:anchor="source_15">
        <w:r>
          <w:rPr>
            <w:color w:val="0563C1"/>
            <w:u w:val="single"/>
          </w:rPr>
          <w:t>[15]</w:t>
        </w:r>
      </w:hyperlink>
      <w:hyperlink w:anchor="source_16">
        <w:r>
          <w:rPr>
            <w:color w:val="0563C1"/>
            <w:u w:val="single"/>
          </w:rPr>
          <w:t>[16]</w:t>
        </w:r>
      </w:hyperlink>
      <w:r>
        <w:t xml:space="preserve">. This is more than optics: without a single-thread accountable leader (or a clearly federated network), business units can interpret priorities differently, reinforcing the inconsistency already visible in Execution measurement. Relative to peers, TIM is behind Vodafone (3.9), Swisscom (3.8), Deutsche Telekom (4.1), and Orange (4.2) in Organizational maturity, suggesting the “people system” is the fastest route to closing gaps elsewhere </w:t>
      </w:r>
      <w:hyperlink w:anchor="source_19">
        <w:r>
          <w:rPr>
            <w:color w:val="0563C1"/>
            <w:u w:val="single"/>
          </w:rPr>
          <w:t>[19]</w:t>
        </w:r>
      </w:hyperlink>
      <w:r>
        <w:t xml:space="preserve">. The strategic consequence is a bottleneck risk: governance frameworks exist, but delivery capacity and ownership density may not be sufficient to industrialize AI across OSS/BSS and enterprise product lines at pace </w:t>
      </w:r>
      <w:hyperlink w:anchor="source_19">
        <w:r>
          <w:rPr>
            <w:color w:val="0563C1"/>
            <w:u w:val="single"/>
          </w:rPr>
          <w:t>[19]</w:t>
        </w:r>
      </w:hyperlink>
      <w:r>
        <w:t>.</w:t>
      </w:r>
    </w:p>
    <w:p>
      <w:r>
        <w:rPr>
          <w:b/>
        </w:rPr>
        <w:t>Quick Evidence Callouts:</w:t>
      </w:r>
    </w:p>
    <w:p>
      <w:pPr>
        <w:pStyle w:val="ListBullet"/>
      </w:pPr>
      <w:r>
        <w:t xml:space="preserve">Large-scale reskilling investment and training hours are disclosed </w:t>
      </w:r>
      <w:hyperlink w:anchor="source_5">
        <w:r>
          <w:rPr>
            <w:color w:val="0563C1"/>
            <w:u w:val="single"/>
          </w:rPr>
          <w:t>[5]</w:t>
        </w:r>
      </w:hyperlink>
      <w:r>
        <w:t>.</w:t>
      </w:r>
    </w:p>
    <w:p>
      <w:pPr>
        <w:pStyle w:val="ListBullet"/>
      </w:pPr>
      <w:r>
        <w:t xml:space="preserve">No formal CAIO and limited named AI leadership depth are evidenced </w:t>
      </w:r>
      <w:hyperlink w:anchor="source_16">
        <w:r>
          <w:rPr>
            <w:color w:val="0563C1"/>
            <w:u w:val="single"/>
          </w:rPr>
          <w:t>[16]</w:t>
        </w:r>
      </w:hyperlink>
      <w:r>
        <w:t>.</w:t>
      </w:r>
    </w:p>
    <w:p>
      <w:pPr>
        <w:pStyle w:val="ListBullet"/>
      </w:pPr>
      <w:r>
        <w:t xml:space="preserve">Hiring demand exists, but AI role density disclosure appears limited vs peers </w:t>
      </w:r>
      <w:hyperlink w:anchor="source_15">
        <w:r>
          <w:rPr>
            <w:color w:val="0563C1"/>
            <w:u w:val="single"/>
          </w:rPr>
          <w:t>[15]</w:t>
        </w:r>
      </w:hyperlink>
      <w:hyperlink w:anchor="source_19">
        <w:r>
          <w:rPr>
            <w:color w:val="0563C1"/>
            <w:u w:val="single"/>
          </w:rPr>
          <w:t>[19]</w:t>
        </w:r>
      </w:hyperlink>
      <w:r>
        <w:t>.</w:t>
      </w:r>
    </w:p>
    <w:p>
      <w:pPr>
        <w:spacing w:after="240"/>
      </w:pPr>
      <w:r>
        <w:rPr>
          <w:b/>
        </w:rPr>
        <w:t>Improvement Levers</w:t>
      </w:r>
    </w:p>
    <w:p>
      <w:pPr>
        <w:pStyle w:val="ListNumber"/>
      </w:pPr>
      <w:r>
        <w:rPr>
          <w:b/>
        </w:rPr>
        <w:t xml:space="preserve">Install single-thread AI accountability (CAIO or federated domain leads) and tie it to adoption + value metrics - </w:t>
      </w:r>
      <w:r>
        <w:t>TIM should treat accountability as the missing operating mechanism between strong governance and uneven outcomes. Option A is a CAIO with explicit mandate across Consumer, Enterprise, Network, and Group functions; option B is a federated model with named domain AI leads and a chaired council—but in both cases decision rights must be explicit. Establish a lightweight RACI from idea to run, including model owners, data product owners, risk approvers, and KPI owners. Then measure adoption, not participation: for priority roles, track active usage of copilots/assistants, time saved, and quality improvements, and connect results to performance objectives. Align learning to outcomes by requiring certification or proficiency thresholds for roles that approve or deploy AI. This lever reinforces Execution: once leaders are accountable for KPIs and adoption, the organization will demand observability and standardized ROI methods rather than leaving them as optional. Impact: Medium-High. Example_or_step: “Name domain AI leads in Network, Care, and Enterprise within 90 days; publish RACI within 120 days.” Impact: Medium Example: Name three domain AI leads (Network, Care, Enterprise) within 90 days and publish a lifecycle RACI within 120 days.</w:t>
      </w:r>
    </w:p>
    <w:p>
      <w:pPr>
        <w:pStyle w:val="Heading2"/>
        <w:spacing w:after="240"/>
      </w:pPr>
      <w:r>
        <w:t>5. Innovation</w:t>
      </w:r>
    </w:p>
    <w:p>
      <w:pPr>
        <w:spacing w:after="240"/>
      </w:pPr>
      <w:r>
        <w:rPr>
          <w:b/>
        </w:rPr>
        <w:t xml:space="preserve">Definition: </w:t>
      </w:r>
      <w:r>
        <w:t>Measures the strength of the R&amp;D engine, ecosystem leverage, and ability to turn new ideas into scalable differentiation.</w:t>
      </w:r>
    </w:p>
    <w:p>
      <w:pPr>
        <w:spacing w:after="240"/>
      </w:pPr>
      <w:r>
        <w:rPr>
          <w:b/>
        </w:rPr>
        <w:t>Best Practices</w:t>
      </w:r>
    </w:p>
    <w:p>
      <w:pPr>
        <w:spacing w:after="240"/>
      </w:pPr>
      <w:r>
        <w:t xml:space="preserve">Telecom innovation leaders balance two forms of defensibility: protected IP (patents, proprietary methods) and ecosystem influence (standards, open-source, thought leadership). Orange’s stronger innovation posture reflects a broader external footprint—alliances, research, and governance translated into market-facing credibility—while Deutsche Telekom shows how innovation accelerates when experimentation is industrialized into product release trains </w:t>
      </w:r>
      <w:hyperlink w:anchor="source_9">
        <w:r>
          <w:rPr>
            <w:color w:val="0563C1"/>
            <w:u w:val="single"/>
          </w:rPr>
          <w:t>[9]</w:t>
        </w:r>
      </w:hyperlink>
      <w:hyperlink w:anchor="source_10">
        <w:r>
          <w:rPr>
            <w:color w:val="0563C1"/>
            <w:u w:val="single"/>
          </w:rPr>
          <w:t>[10]</w:t>
        </w:r>
      </w:hyperlink>
      <w:r>
        <w:t xml:space="preserve">. The industry is also shifting toward “innovation through platforms”: trusted AI/sovereign compute, network APIs, and vertical AI solutions become distribution channels for innovation, not just infrastructure. Adjacent digital leaders add a final lesson: selective open sourcing is not charity; it is a mechanism to attract talent, shape standards, and reduce vendor dependency by anchoring ecosystems around your architectural choices. The telecom direction is toward ecosystem-based innovation where the operator curates value creation across partners, data, and distribution </w:t>
      </w:r>
      <w:hyperlink w:anchor="source_9">
        <w:r>
          <w:rPr>
            <w:color w:val="0563C1"/>
            <w:u w:val="single"/>
          </w:rPr>
          <w:t>[9]</w:t>
        </w:r>
      </w:hyperlink>
      <w:hyperlink w:anchor="source_10">
        <w:r>
          <w:rPr>
            <w:color w:val="0563C1"/>
            <w:u w:val="single"/>
          </w:rPr>
          <w:t>[10]</w:t>
        </w:r>
      </w:hyperlink>
      <w:r>
        <w:t>.</w:t>
      </w:r>
    </w:p>
    <w:p>
      <w:pPr>
        <w:spacing w:after="240"/>
      </w:pPr>
      <w:r>
        <w:rPr>
          <w:b/>
        </w:rPr>
        <w:t>Target Company Gaps</w:t>
      </w:r>
    </w:p>
    <w:p>
      <w:pPr>
        <w:spacing w:after="240"/>
      </w:pPr>
      <w:r>
        <w:t xml:space="preserve">TIM’s Innovation score (3.1) is balanced but constrained by outward influence. On the positive side, TIM shows a strong IP engine (high AI patenting) and structured academic engagement, which is a credible upstream capability base </w:t>
      </w:r>
      <w:hyperlink w:anchor="source_13">
        <w:r>
          <w:rPr>
            <w:color w:val="0563C1"/>
            <w:u w:val="single"/>
          </w:rPr>
          <w:t>[13]</w:t>
        </w:r>
      </w:hyperlink>
      <w:hyperlink w:anchor="source_14">
        <w:r>
          <w:rPr>
            <w:color w:val="0563C1"/>
            <w:u w:val="single"/>
          </w:rPr>
          <w:t>[14]</w:t>
        </w:r>
      </w:hyperlink>
      <w:r>
        <w:t xml:space="preserve">. The drag is downstream conversion and ecosystem signaling: open-source contribution is effectively absent, and publication volume is modest relative to the patent footprint—limiting mindshare and reducing TIM’s ability to “pull” partners and talent into its architecture </w:t>
      </w:r>
      <w:hyperlink w:anchor="source_14">
        <w:r>
          <w:rPr>
            <w:color w:val="0563C1"/>
            <w:u w:val="single"/>
          </w:rPr>
          <w:t>[14]</w:t>
        </w:r>
      </w:hyperlink>
      <w:r>
        <w:t xml:space="preserve">. Additionally, while TIM has extensive partnerships, the documented set of scaled, customer-facing joint outcomes is still narrow; this mirrors the Execution gap and suggests innovation is not yet consistently translating into repeatable products </w:t>
      </w:r>
      <w:hyperlink w:anchor="source_4">
        <w:r>
          <w:rPr>
            <w:color w:val="0563C1"/>
            <w:u w:val="single"/>
          </w:rPr>
          <w:t>[4]</w:t>
        </w:r>
      </w:hyperlink>
      <w:hyperlink w:anchor="source_19">
        <w:r>
          <w:rPr>
            <w:color w:val="0563C1"/>
            <w:u w:val="single"/>
          </w:rPr>
          <w:t>[19]</w:t>
        </w:r>
      </w:hyperlink>
      <w:r>
        <w:t xml:space="preserve">. Relative to peers, TIM sits near Vodafone (3.1) and above Swisscom/iliad (3.0), but behind Deutsche Telekom (3.5) and Orange (3.8), where ecosystem influence and conversion appear stronger </w:t>
      </w:r>
      <w:hyperlink w:anchor="source_19">
        <w:r>
          <w:rPr>
            <w:color w:val="0563C1"/>
            <w:u w:val="single"/>
          </w:rPr>
          <w:t>[19]</w:t>
        </w:r>
      </w:hyperlink>
      <w:r>
        <w:t xml:space="preserve">. The strategic risk is an “inside-out” innovation posture: strong invention and governance without sufficient external credibility signals or repeatable go-to-market outcomes—especially important as AI-native propositions become a differentiator in the European telco landscape </w:t>
      </w:r>
      <w:hyperlink w:anchor="source_19">
        <w:r>
          <w:rPr>
            <w:color w:val="0563C1"/>
            <w:u w:val="single"/>
          </w:rPr>
          <w:t>[19]</w:t>
        </w:r>
      </w:hyperlink>
      <w:r>
        <w:t>.</w:t>
      </w:r>
    </w:p>
    <w:p>
      <w:r>
        <w:rPr>
          <w:b/>
        </w:rPr>
        <w:t>Quick Evidence Callouts:</w:t>
      </w:r>
    </w:p>
    <w:p>
      <w:pPr>
        <w:pStyle w:val="ListBullet"/>
      </w:pPr>
      <w:r>
        <w:t xml:space="preserve">High AI patenting signals strong invention capacity </w:t>
      </w:r>
      <w:hyperlink w:anchor="source_13">
        <w:r>
          <w:rPr>
            <w:color w:val="0563C1"/>
            <w:u w:val="single"/>
          </w:rPr>
          <w:t>[13]</w:t>
        </w:r>
      </w:hyperlink>
      <w:r>
        <w:t>.</w:t>
      </w:r>
    </w:p>
    <w:p>
      <w:pPr>
        <w:pStyle w:val="ListBullet"/>
      </w:pPr>
      <w:r>
        <w:t xml:space="preserve">Publication volume is modest relative to peers and patents </w:t>
      </w:r>
      <w:hyperlink w:anchor="source_14">
        <w:r>
          <w:rPr>
            <w:color w:val="0563C1"/>
            <w:u w:val="single"/>
          </w:rPr>
          <w:t>[14]</w:t>
        </w:r>
      </w:hyperlink>
      <w:r>
        <w:t>.</w:t>
      </w:r>
    </w:p>
    <w:p>
      <w:pPr>
        <w:pStyle w:val="ListBullet"/>
      </w:pPr>
      <w:r>
        <w:t xml:space="preserve">Open-source footprint is not evidenced, limiting ecosystem influence </w:t>
      </w:r>
      <w:hyperlink w:anchor="source_14">
        <w:r>
          <w:rPr>
            <w:color w:val="0563C1"/>
            <w:u w:val="single"/>
          </w:rPr>
          <w:t>[14]</w:t>
        </w:r>
      </w:hyperlink>
      <w:hyperlink w:anchor="source_19">
        <w:r>
          <w:rPr>
            <w:color w:val="0563C1"/>
            <w:u w:val="single"/>
          </w:rPr>
          <w:t>[19]</w:t>
        </w:r>
      </w:hyperlink>
      <w:r>
        <w:t>.</w:t>
      </w:r>
    </w:p>
    <w:p>
      <w:pPr>
        <w:spacing w:after="240"/>
      </w:pPr>
      <w:r>
        <w:rPr>
          <w:b/>
        </w:rPr>
        <w:t>Improvement Levers</w:t>
      </w:r>
    </w:p>
    <w:p>
      <w:pPr>
        <w:pStyle w:val="ListNumber"/>
      </w:pPr>
      <w:r>
        <w:rPr>
          <w:b/>
        </w:rPr>
        <w:t xml:space="preserve">Operationalize ‘innovation-to-scale’: a repeatable funnel plus selective open-source to build ecosystem gravity - </w:t>
      </w:r>
      <w:r>
        <w:t>TIM should industrialize innovation the same way it is trying to industrialize execution: with a funnel, metrics, and assets that compound. Define an experimentation scorecard (time-to-pilot, time-to-production, reuse rate, and value realized at 6 and 12 months) and review it quarterly alongside the AI Value Office so “innovation” is accountable for outcomes, not activity. Then choose 2–3 domains where TIM can credibly lead (e.g., network assurance automation, trustworthy AI controls for regulated industries, edge AI for verticals) and build a visible external narrative around shipped artifacts. A selective open-source program—focused on non-differentiating components like evaluation harnesses, compliance tooling, or reference architectures—can attract developers while keeping core IP protected. Tie the program to recruiting and partnerships: public repos with named maintainers and contribution guidelines create repeatable external engagement. This lever also mitigates vendor lock-in: open tooling and standards-aligned patterns reduce dependency on any single model or platform provider. Impact: Medium. Example_or_step: “Launch an Open Source Program Office and publish the first two repos within 12 months.” Impact: Medium Example: Stand up an Open Source Program Office and release two governed repositories within 9–12 months.</w:t>
      </w:r>
    </w:p>
    <w:p>
      <w:r>
        <w:br w:type="page"/>
      </w:r>
    </w:p>
    <w:p>
      <w:bookmarkStart w:id="1004" w:name="heading_1004"/>
      <w:pPr>
        <w:pStyle w:val="Heading1"/>
        <w:spacing w:after="240"/>
      </w:pPr>
      <w:r>
        <w:t>SWOT</w:t>
      </w:r>
      <w:bookmarkEnd w:id="1004"/>
    </w:p>
    <w:p>
      <w:pPr>
        <w:pStyle w:val="Heading2"/>
        <w:spacing w:after="240"/>
      </w:pPr>
      <w:r>
        <w:t>Strengths</w:t>
      </w:r>
    </w:p>
    <w:p>
      <w:pPr>
        <w:spacing w:after="240"/>
      </w:pPr>
      <w:r>
        <w:t>• Board-approved Responsible AI governance and ethics guidelines create a scalable control spine for AI adoption across the Group.</w:t>
      </w:r>
      <w:hyperlink w:anchor="source_42">
        <w:r>
          <w:rPr>
            <w:color w:val="0563C1"/>
            <w:u w:val="single"/>
          </w:rPr>
          <w:t>[42]</w:t>
        </w:r>
      </w:hyperlink>
      <w:hyperlink w:anchor="source_46">
        <w:r>
          <w:rPr>
            <w:color w:val="0563C1"/>
            <w:u w:val="single"/>
          </w:rPr>
          <w:t>[46]</w:t>
        </w:r>
      </w:hyperlink>
      <w:hyperlink w:anchor="source_55">
        <w:r>
          <w:rPr>
            <w:color w:val="0563C1"/>
            <w:u w:val="single"/>
          </w:rPr>
          <w:t>[55]</w:t>
        </w:r>
      </w:hyperlink>
      <w:r>
        <w:t xml:space="preserve"> TIM’s AI maturity is anchored in unusually explicit, Board-approved governance artifacts (AI Guidelines) and a multifunctional cross‑functional team that oversees regulatory, privacy, discrimination and cybersecurity risks.</w:t>
      </w:r>
      <w:hyperlink w:anchor="source_1">
        <w:r>
          <w:rPr>
            <w:color w:val="0563C1"/>
            <w:u w:val="single"/>
          </w:rPr>
          <w:t>[1]</w:t>
        </w:r>
      </w:hyperlink>
      <w:hyperlink w:anchor="source_42">
        <w:r>
          <w:rPr>
            <w:color w:val="0563C1"/>
            <w:u w:val="single"/>
          </w:rPr>
          <w:t>[42]</w:t>
        </w:r>
      </w:hyperlink>
      <w:hyperlink w:anchor="source_46">
        <w:r>
          <w:rPr>
            <w:color w:val="0563C1"/>
            <w:u w:val="single"/>
          </w:rPr>
          <w:t>[46]</w:t>
        </w:r>
      </w:hyperlink>
      <w:r>
        <w:t xml:space="preserve"> That matters because telco AI value is increasingly constrained by trust, not model quality: if governance is embedded early, the company can scale faster without repeated rework, stoppages, or market backlash. The same governance structure also reduces “shadow AI” behavior by giving functions a clear reference point for what is allowed, how it must be assessed, and who must sign off.</w:t>
      </w:r>
      <w:hyperlink w:anchor="source_64">
        <w:r>
          <w:rPr>
            <w:color w:val="0563C1"/>
            <w:u w:val="single"/>
          </w:rPr>
          <w:t>[64]</w:t>
        </w:r>
      </w:hyperlink>
      <w:hyperlink w:anchor="source_69">
        <w:r>
          <w:rPr>
            <w:color w:val="0563C1"/>
            <w:u w:val="single"/>
          </w:rPr>
          <w:t>[69]</w:t>
        </w:r>
      </w:hyperlink>
      <w:r>
        <w:t xml:space="preserve"> Strategically, this becomes a differentiator in enterprise and public-sector deals where auditability and data-handling discipline often decide vendor selection, especially in Italy’s sovereignty-sensitive context.</w:t>
      </w:r>
      <w:hyperlink w:anchor="source_69">
        <w:r>
          <w:rPr>
            <w:color w:val="0563C1"/>
            <w:u w:val="single"/>
          </w:rPr>
          <w:t>[69]</w:t>
        </w:r>
      </w:hyperlink>
      <w:r>
        <w:t xml:space="preserve"> The opportunity is to turn this control spine into a “value spine” by linking it to portfolio stage-gates, model inventories, and finance-grade KPI reporting—without losing the credibility already built through formal oversight.</w:t>
      </w:r>
      <w:hyperlink w:anchor="source_68">
        <w:r>
          <w:rPr>
            <w:color w:val="0563C1"/>
            <w:u w:val="single"/>
          </w:rPr>
          <w:t>[68]</w:t>
        </w:r>
      </w:hyperlink>
      <w:hyperlink w:anchor="source_70">
        <w:r>
          <w:rPr>
            <w:color w:val="0563C1"/>
            <w:u w:val="single"/>
          </w:rPr>
          <w:t>[70]</w:t>
        </w:r>
      </w:hyperlink>
      <w:r>
        <w:t xml:space="preserve"> (</w:t>
      </w:r>
      <w:hyperlink w:anchor="source_1">
        <w:r>
          <w:rPr>
            <w:color w:val="0563C1"/>
            <w:u w:val="single"/>
          </w:rPr>
          <w:t>[1]</w:t>
        </w:r>
      </w:hyperlink>
      <w:r>
        <w:t xml:space="preserve">, </w:t>
      </w:r>
      <w:hyperlink w:anchor="source_42">
        <w:r>
          <w:rPr>
            <w:color w:val="0563C1"/>
            <w:u w:val="single"/>
          </w:rPr>
          <w:t>[42]</w:t>
        </w:r>
      </w:hyperlink>
      <w:r>
        <w:t xml:space="preserve">, </w:t>
      </w:r>
      <w:hyperlink w:anchor="source_46">
        <w:r>
          <w:rPr>
            <w:color w:val="0563C1"/>
            <w:u w:val="single"/>
          </w:rPr>
          <w:t>[46]</w:t>
        </w:r>
      </w:hyperlink>
      <w:r>
        <w:t xml:space="preserve">, </w:t>
      </w:r>
      <w:hyperlink w:anchor="source_55">
        <w:r>
          <w:rPr>
            <w:color w:val="0563C1"/>
            <w:u w:val="single"/>
          </w:rPr>
          <w:t>[55]</w:t>
        </w:r>
      </w:hyperlink>
      <w:r>
        <w:t xml:space="preserve">, </w:t>
      </w:r>
      <w:hyperlink w:anchor="source_64">
        <w:r>
          <w:rPr>
            <w:color w:val="0563C1"/>
            <w:u w:val="single"/>
          </w:rPr>
          <w:t>[64]</w:t>
        </w:r>
      </w:hyperlink>
      <w:r>
        <w:t xml:space="preserve">, </w:t>
      </w:r>
      <w:hyperlink w:anchor="source_69">
        <w:r>
          <w:rPr>
            <w:color w:val="0563C1"/>
            <w:u w:val="single"/>
          </w:rPr>
          <w:t>[69]</w:t>
        </w:r>
      </w:hyperlink>
      <w:r>
        <w:t>)</w:t>
      </w:r>
    </w:p>
    <w:p>
      <w:pPr>
        <w:spacing w:after="240"/>
      </w:pPr>
      <w:r>
        <w:t>• Proven operational impact in network operations and customer care shows TIM has progressed beyond pilots into selective scaled execution.</w:t>
      </w:r>
      <w:hyperlink w:anchor="source_2">
        <w:r>
          <w:rPr>
            <w:color w:val="0563C1"/>
            <w:u w:val="single"/>
          </w:rPr>
          <w:t>[2]</w:t>
        </w:r>
      </w:hyperlink>
      <w:hyperlink w:anchor="source_12">
        <w:r>
          <w:rPr>
            <w:color w:val="0563C1"/>
            <w:u w:val="single"/>
          </w:rPr>
          <w:t>[12]</w:t>
        </w:r>
      </w:hyperlink>
      <w:hyperlink w:anchor="source_17">
        <w:r>
          <w:rPr>
            <w:color w:val="0563C1"/>
            <w:u w:val="single"/>
          </w:rPr>
          <w:t>[17]</w:t>
        </w:r>
      </w:hyperlink>
      <w:r>
        <w:t xml:space="preserve"> TIM can point to multiple production deployments with measured operational outcomes—most notably Sparkle’s AISNA automation improvements (e.g., faster alert handling and network update execution) and customer-care voice assistant impact in at least one market.</w:t>
      </w:r>
      <w:hyperlink w:anchor="source_2">
        <w:r>
          <w:rPr>
            <w:color w:val="0563C1"/>
            <w:u w:val="single"/>
          </w:rPr>
          <w:t>[2]</w:t>
        </w:r>
      </w:hyperlink>
      <w:hyperlink w:anchor="source_15">
        <w:r>
          <w:rPr>
            <w:color w:val="0563C1"/>
            <w:u w:val="single"/>
          </w:rPr>
          <w:t>[15]</w:t>
        </w:r>
      </w:hyperlink>
      <w:r>
        <w:t xml:space="preserve"> This matters because telecom AI programs fail most often at the “last mile” (embedding into OSS/service processes and sustaining benefits), not at experimentation; documented improvements signal that TIM can convert technical capability into operational change.</w:t>
      </w:r>
      <w:hyperlink w:anchor="source_12">
        <w:r>
          <w:rPr>
            <w:color w:val="0563C1"/>
            <w:u w:val="single"/>
          </w:rPr>
          <w:t>[12]</w:t>
        </w:r>
      </w:hyperlink>
      <w:hyperlink w:anchor="source_17">
        <w:r>
          <w:rPr>
            <w:color w:val="0563C1"/>
            <w:u w:val="single"/>
          </w:rPr>
          <w:t>[17]</w:t>
        </w:r>
      </w:hyperlink>
      <w:r>
        <w:t xml:space="preserve"> It also creates an internal proof base that can be replicated: once one NOC or contact-center workflow is improved with credible metrics, the marginal cost of rolling similar patterns across other operations typically drops—if the underlying data and MLOps are standardized.</w:t>
      </w:r>
      <w:hyperlink w:anchor="source_67">
        <w:r>
          <w:rPr>
            <w:color w:val="0563C1"/>
            <w:u w:val="single"/>
          </w:rPr>
          <w:t>[67]</w:t>
        </w:r>
      </w:hyperlink>
      <w:hyperlink w:anchor="source_68">
        <w:r>
          <w:rPr>
            <w:color w:val="0563C1"/>
            <w:u w:val="single"/>
          </w:rPr>
          <w:t>[68]</w:t>
        </w:r>
      </w:hyperlink>
      <w:r>
        <w:t xml:space="preserve"> Against peers, TIM’s differentiator is not that it has more use cases than leaders, but that it has at least a few high-confidence, KPI-backed wins that can serve as lighthouse templates for broader scale-up.</w:t>
      </w:r>
      <w:hyperlink w:anchor="source_2">
        <w:r>
          <w:rPr>
            <w:color w:val="0563C1"/>
            <w:u w:val="single"/>
          </w:rPr>
          <w:t>[2]</w:t>
        </w:r>
      </w:hyperlink>
      <w:hyperlink w:anchor="source_13">
        <w:r>
          <w:rPr>
            <w:color w:val="0563C1"/>
            <w:u w:val="single"/>
          </w:rPr>
          <w:t>[13]</w:t>
        </w:r>
      </w:hyperlink>
      <w:r>
        <w:t xml:space="preserve"> (</w:t>
      </w:r>
      <w:hyperlink w:anchor="source_2">
        <w:r>
          <w:rPr>
            <w:color w:val="0563C1"/>
            <w:u w:val="single"/>
          </w:rPr>
          <w:t>[2]</w:t>
        </w:r>
      </w:hyperlink>
      <w:r>
        <w:t xml:space="preserve">, </w:t>
      </w:r>
      <w:hyperlink w:anchor="source_12">
        <w:r>
          <w:rPr>
            <w:color w:val="0563C1"/>
            <w:u w:val="single"/>
          </w:rPr>
          <w:t>[12]</w:t>
        </w:r>
      </w:hyperlink>
      <w:r>
        <w:t xml:space="preserve">, </w:t>
      </w:r>
      <w:hyperlink w:anchor="source_13">
        <w:r>
          <w:rPr>
            <w:color w:val="0563C1"/>
            <w:u w:val="single"/>
          </w:rPr>
          <w:t>[13]</w:t>
        </w:r>
      </w:hyperlink>
      <w:r>
        <w:t xml:space="preserve">, </w:t>
      </w:r>
      <w:hyperlink w:anchor="source_15">
        <w:r>
          <w:rPr>
            <w:color w:val="0563C1"/>
            <w:u w:val="single"/>
          </w:rPr>
          <w:t>[15]</w:t>
        </w:r>
      </w:hyperlink>
      <w:r>
        <w:t xml:space="preserve">, </w:t>
      </w:r>
      <w:hyperlink w:anchor="source_17">
        <w:r>
          <w:rPr>
            <w:color w:val="0563C1"/>
            <w:u w:val="single"/>
          </w:rPr>
          <w:t>[17]</w:t>
        </w:r>
      </w:hyperlink>
      <w:r>
        <w:t xml:space="preserve">, </w:t>
      </w:r>
      <w:hyperlink w:anchor="source_67">
        <w:r>
          <w:rPr>
            <w:color w:val="0563C1"/>
            <w:u w:val="single"/>
          </w:rPr>
          <w:t>[67]</w:t>
        </w:r>
      </w:hyperlink>
      <w:r>
        <w:t xml:space="preserve">, </w:t>
      </w:r>
      <w:hyperlink w:anchor="source_68">
        <w:r>
          <w:rPr>
            <w:color w:val="0563C1"/>
            <w:u w:val="single"/>
          </w:rPr>
          <w:t>[68]</w:t>
        </w:r>
      </w:hyperlink>
      <w:r>
        <w:t>)</w:t>
      </w:r>
    </w:p>
    <w:p>
      <w:pPr>
        <w:spacing w:after="240"/>
      </w:pPr>
      <w:r>
        <w:t>• A very broad partner ecosystem and AI-ready infrastructure give TIM optionality and speed in adopting new model and cloud capabilities.</w:t>
      </w:r>
      <w:hyperlink w:anchor="source_11">
        <w:r>
          <w:rPr>
            <w:color w:val="0563C1"/>
            <w:u w:val="single"/>
          </w:rPr>
          <w:t>[11]</w:t>
        </w:r>
      </w:hyperlink>
      <w:hyperlink w:anchor="source_23">
        <w:r>
          <w:rPr>
            <w:color w:val="0563C1"/>
            <w:u w:val="single"/>
          </w:rPr>
          <w:t>[23]</w:t>
        </w:r>
      </w:hyperlink>
      <w:hyperlink w:anchor="source_32">
        <w:r>
          <w:rPr>
            <w:color w:val="0563C1"/>
            <w:u w:val="single"/>
          </w:rPr>
          <w:t>[32]</w:t>
        </w:r>
      </w:hyperlink>
      <w:r>
        <w:t xml:space="preserve"> TIM’s “build–buy–partner” posture is unusually expansive, including deep alliances with multiple hyperscalers and a large collaboration footprint, plus a dedicated AI technology hub in Turin and ongoing data-center/edge-cloud investments.</w:t>
      </w:r>
      <w:hyperlink w:anchor="source_11">
        <w:r>
          <w:rPr>
            <w:color w:val="0563C1"/>
            <w:u w:val="single"/>
          </w:rPr>
          <w:t>[11]</w:t>
        </w:r>
      </w:hyperlink>
      <w:hyperlink w:anchor="source_23">
        <w:r>
          <w:rPr>
            <w:color w:val="0563C1"/>
            <w:u w:val="single"/>
          </w:rPr>
          <w:t>[23]</w:t>
        </w:r>
      </w:hyperlink>
      <w:hyperlink w:anchor="source_32">
        <w:r>
          <w:rPr>
            <w:color w:val="0563C1"/>
            <w:u w:val="single"/>
          </w:rPr>
          <w:t>[32]</w:t>
        </w:r>
      </w:hyperlink>
      <w:r>
        <w:t xml:space="preserve"> This matters because telecom AI maturity is increasingly a platform race: the ability to swap or combine foundation models, orchestration tools, and domain systems determines speed-to-production and bargaining power. By not betting on a single vendor, TIM reduces single-supplier dependency and can select best-fit tooling per domain (network automation, customer care, cybersecurity, enterprise AI services). At the same time, partner breadth can become a liability without strong architectural guardrails; TIM’s governance strength partially offsets this by providing common rules for procurement and deployment.</w:t>
      </w:r>
      <w:hyperlink w:anchor="source_46">
        <w:r>
          <w:rPr>
            <w:color w:val="0563C1"/>
            <w:u w:val="single"/>
          </w:rPr>
          <w:t>[46]</w:t>
        </w:r>
      </w:hyperlink>
      <w:hyperlink w:anchor="source_74">
        <w:r>
          <w:rPr>
            <w:color w:val="0563C1"/>
            <w:u w:val="single"/>
          </w:rPr>
          <w:t>[74]</w:t>
        </w:r>
      </w:hyperlink>
      <w:r>
        <w:t xml:space="preserve"> Net-net, TIM has built the external and infrastructural “surface area” to scale quickly once internal MLOps and value tracking mature, positioning it to keep pace even as peers push into agentic and closed-loop automation.</w:t>
      </w:r>
      <w:hyperlink w:anchor="source_10">
        <w:r>
          <w:rPr>
            <w:color w:val="0563C1"/>
            <w:u w:val="single"/>
          </w:rPr>
          <w:t>[10]</w:t>
        </w:r>
      </w:hyperlink>
      <w:hyperlink w:anchor="source_12">
        <w:r>
          <w:rPr>
            <w:color w:val="0563C1"/>
            <w:u w:val="single"/>
          </w:rPr>
          <w:t>[12]</w:t>
        </w:r>
      </w:hyperlink>
      <w:r>
        <w:t xml:space="preserve"> (</w:t>
      </w:r>
      <w:hyperlink w:anchor="source_10">
        <w:r>
          <w:rPr>
            <w:color w:val="0563C1"/>
            <w:u w:val="single"/>
          </w:rPr>
          <w:t>[10]</w:t>
        </w:r>
      </w:hyperlink>
      <w:r>
        <w:t xml:space="preserve">, </w:t>
      </w:r>
      <w:hyperlink w:anchor="source_11">
        <w:r>
          <w:rPr>
            <w:color w:val="0563C1"/>
            <w:u w:val="single"/>
          </w:rPr>
          <w:t>[11]</w:t>
        </w:r>
      </w:hyperlink>
      <w:r>
        <w:t xml:space="preserve">, </w:t>
      </w:r>
      <w:hyperlink w:anchor="source_23">
        <w:r>
          <w:rPr>
            <w:color w:val="0563C1"/>
            <w:u w:val="single"/>
          </w:rPr>
          <w:t>[23]</w:t>
        </w:r>
      </w:hyperlink>
      <w:r>
        <w:t xml:space="preserve">, </w:t>
      </w:r>
      <w:hyperlink w:anchor="source_24">
        <w:r>
          <w:rPr>
            <w:color w:val="0563C1"/>
            <w:u w:val="single"/>
          </w:rPr>
          <w:t>[24]</w:t>
        </w:r>
      </w:hyperlink>
      <w:r>
        <w:t xml:space="preserve">, </w:t>
      </w:r>
      <w:hyperlink w:anchor="source_32">
        <w:r>
          <w:rPr>
            <w:color w:val="0563C1"/>
            <w:u w:val="single"/>
          </w:rPr>
          <w:t>[32]</w:t>
        </w:r>
      </w:hyperlink>
      <w:r>
        <w:t xml:space="preserve">, </w:t>
      </w:r>
      <w:hyperlink w:anchor="source_46">
        <w:r>
          <w:rPr>
            <w:color w:val="0563C1"/>
            <w:u w:val="single"/>
          </w:rPr>
          <w:t>[46]</w:t>
        </w:r>
      </w:hyperlink>
      <w:r>
        <w:t xml:space="preserve">, </w:t>
      </w:r>
      <w:hyperlink w:anchor="source_74">
        <w:r>
          <w:rPr>
            <w:color w:val="0563C1"/>
            <w:u w:val="single"/>
          </w:rPr>
          <w:t>[74]</w:t>
        </w:r>
      </w:hyperlink>
      <w:r>
        <w:t>)</w:t>
      </w:r>
    </w:p>
    <w:p>
      <w:pPr>
        <w:spacing w:after="240"/>
      </w:pPr>
      <w:r>
        <w:t>• Large-scale AI enablement and reskilling investments reduce dependence on scarce external talent and support adoption beyond specialist teams.</w:t>
      </w:r>
      <w:hyperlink w:anchor="source_9">
        <w:r>
          <w:rPr>
            <w:color w:val="0563C1"/>
            <w:u w:val="single"/>
          </w:rPr>
          <w:t>[9]</w:t>
        </w:r>
      </w:hyperlink>
      <w:hyperlink w:anchor="source_34">
        <w:r>
          <w:rPr>
            <w:color w:val="0563C1"/>
            <w:u w:val="single"/>
          </w:rPr>
          <w:t>[34]</w:t>
        </w:r>
      </w:hyperlink>
      <w:hyperlink w:anchor="source_52">
        <w:r>
          <w:rPr>
            <w:color w:val="0563C1"/>
            <w:u w:val="single"/>
          </w:rPr>
          <w:t>[52]</w:t>
        </w:r>
      </w:hyperlink>
      <w:r>
        <w:t xml:space="preserve"> TIM’s training effort is notable for scale and disclosure: substantial training hours delivered to a large share of employees, with dedicated spend and named academy constructs (including AI-focused curricula).</w:t>
      </w:r>
      <w:hyperlink w:anchor="source_9">
        <w:r>
          <w:rPr>
            <w:color w:val="0563C1"/>
            <w:u w:val="single"/>
          </w:rPr>
          <w:t>[9]</w:t>
        </w:r>
      </w:hyperlink>
      <w:hyperlink w:anchor="source_34">
        <w:r>
          <w:rPr>
            <w:color w:val="0563C1"/>
            <w:u w:val="single"/>
          </w:rPr>
          <w:t>[34]</w:t>
        </w:r>
      </w:hyperlink>
      <w:hyperlink w:anchor="source_52">
        <w:r>
          <w:rPr>
            <w:color w:val="0563C1"/>
            <w:u w:val="single"/>
          </w:rPr>
          <w:t>[52]</w:t>
        </w:r>
      </w:hyperlink>
      <w:r>
        <w:t xml:space="preserve"> This matters because telco AI value is disproportionately captured outside data science teams—by product owners, care operations, network engineers, and sales—once they can redesign workflows around AI. A visible enablement engine also makes it easier to introduce standardized ways of working (prompting norms, tool usage patterns, governance artifacts), reducing variability across business units.</w:t>
      </w:r>
      <w:hyperlink w:anchor="source_78">
        <w:r>
          <w:rPr>
            <w:color w:val="0563C1"/>
            <w:u w:val="single"/>
          </w:rPr>
          <w:t>[78]</w:t>
        </w:r>
      </w:hyperlink>
      <w:r>
        <w:t xml:space="preserve"> Compared with peers that often emphasize platform build first, TIM’s enablement emphasis can become a compounding advantage if paired with better MLOps and KPI discipline, because it increases “absorption capacity” for new capabilities introduced through partners.</w:t>
      </w:r>
      <w:hyperlink w:anchor="source_11">
        <w:r>
          <w:rPr>
            <w:color w:val="0563C1"/>
            <w:u w:val="single"/>
          </w:rPr>
          <w:t>[11]</w:t>
        </w:r>
      </w:hyperlink>
      <w:hyperlink w:anchor="source_25">
        <w:r>
          <w:rPr>
            <w:color w:val="0563C1"/>
            <w:u w:val="single"/>
          </w:rPr>
          <w:t>[25]</w:t>
        </w:r>
      </w:hyperlink>
      <w:r>
        <w:t xml:space="preserve"> By 2030, the winners will be operators that industrialize AI literacy into operating rhythm (planning, budgeting, delivery, performance reviews), and TIM’s current training posture is a strong foundation for that evolution.</w:t>
      </w:r>
      <w:hyperlink w:anchor="source_34">
        <w:r>
          <w:rPr>
            <w:color w:val="0563C1"/>
            <w:u w:val="single"/>
          </w:rPr>
          <w:t>[34]</w:t>
        </w:r>
      </w:hyperlink>
      <w:hyperlink w:anchor="source_50">
        <w:r>
          <w:rPr>
            <w:color w:val="0563C1"/>
            <w:u w:val="single"/>
          </w:rPr>
          <w:t>[50]</w:t>
        </w:r>
      </w:hyperlink>
      <w:r>
        <w:t xml:space="preserve"> (</w:t>
      </w:r>
      <w:hyperlink w:anchor="source_9">
        <w:r>
          <w:rPr>
            <w:color w:val="0563C1"/>
            <w:u w:val="single"/>
          </w:rPr>
          <w:t>[9]</w:t>
        </w:r>
      </w:hyperlink>
      <w:r>
        <w:t xml:space="preserve">, </w:t>
      </w:r>
      <w:hyperlink w:anchor="source_11">
        <w:r>
          <w:rPr>
            <w:color w:val="0563C1"/>
            <w:u w:val="single"/>
          </w:rPr>
          <w:t>[11]</w:t>
        </w:r>
      </w:hyperlink>
      <w:r>
        <w:t xml:space="preserve">, </w:t>
      </w:r>
      <w:hyperlink w:anchor="source_25">
        <w:r>
          <w:rPr>
            <w:color w:val="0563C1"/>
            <w:u w:val="single"/>
          </w:rPr>
          <w:t>[25]</w:t>
        </w:r>
      </w:hyperlink>
      <w:r>
        <w:t xml:space="preserve">, </w:t>
      </w:r>
      <w:hyperlink w:anchor="source_34">
        <w:r>
          <w:rPr>
            <w:color w:val="0563C1"/>
            <w:u w:val="single"/>
          </w:rPr>
          <w:t>[34]</w:t>
        </w:r>
      </w:hyperlink>
      <w:r>
        <w:t xml:space="preserve">, </w:t>
      </w:r>
      <w:hyperlink w:anchor="source_50">
        <w:r>
          <w:rPr>
            <w:color w:val="0563C1"/>
            <w:u w:val="single"/>
          </w:rPr>
          <w:t>[50]</w:t>
        </w:r>
      </w:hyperlink>
      <w:r>
        <w:t xml:space="preserve">, </w:t>
      </w:r>
      <w:hyperlink w:anchor="source_52">
        <w:r>
          <w:rPr>
            <w:color w:val="0563C1"/>
            <w:u w:val="single"/>
          </w:rPr>
          <w:t>[52]</w:t>
        </w:r>
      </w:hyperlink>
      <w:r>
        <w:t xml:space="preserve">, </w:t>
      </w:r>
      <w:hyperlink w:anchor="source_78">
        <w:r>
          <w:rPr>
            <w:color w:val="0563C1"/>
            <w:u w:val="single"/>
          </w:rPr>
          <w:t>[78]</w:t>
        </w:r>
      </w:hyperlink>
      <w:r>
        <w:t>)</w:t>
      </w:r>
    </w:p>
    <w:p>
      <w:pPr>
        <w:pStyle w:val="Heading2"/>
        <w:spacing w:after="240"/>
      </w:pPr>
      <w:r>
        <w:t>Weaknesses</w:t>
      </w:r>
    </w:p>
    <w:p>
      <w:pPr>
        <w:spacing w:after="240"/>
      </w:pPr>
      <w:r>
        <w:t>• AI accountability is diffused: no formal CAIO and limited board-level AI expertise reduce strategic challenge and prioritization discipline.</w:t>
      </w:r>
      <w:hyperlink w:anchor="source_4">
        <w:r>
          <w:rPr>
            <w:color w:val="0563C1"/>
            <w:u w:val="single"/>
          </w:rPr>
          <w:t>[4]</w:t>
        </w:r>
      </w:hyperlink>
      <w:hyperlink w:anchor="source_37">
        <w:r>
          <w:rPr>
            <w:color w:val="0563C1"/>
            <w:u w:val="single"/>
          </w:rPr>
          <w:t>[37]</w:t>
        </w:r>
      </w:hyperlink>
      <w:r>
        <w:t xml:space="preserve"> Without concentrated executive ownership and AI-literate board oversight, governance risks becoming compliance-heavy while value delivery remains uneven, slowing the shift from “approved” AI to “profitable” AI at scale.</w:t>
      </w:r>
      <w:hyperlink w:anchor="source_4">
        <w:r>
          <w:rPr>
            <w:color w:val="0563C1"/>
            <w:u w:val="single"/>
          </w:rPr>
          <w:t>[4]</w:t>
        </w:r>
      </w:hyperlink>
      <w:hyperlink w:anchor="source_37">
        <w:r>
          <w:rPr>
            <w:color w:val="0563C1"/>
            <w:u w:val="single"/>
          </w:rPr>
          <w:t>[37]</w:t>
        </w:r>
      </w:hyperlink>
      <w:r>
        <w:t xml:space="preserve"> (</w:t>
      </w:r>
      <w:hyperlink w:anchor="source_4">
        <w:r>
          <w:rPr>
            <w:color w:val="0563C1"/>
            <w:u w:val="single"/>
          </w:rPr>
          <w:t>[4]</w:t>
        </w:r>
      </w:hyperlink>
      <w:r>
        <w:t xml:space="preserve">, </w:t>
      </w:r>
      <w:hyperlink w:anchor="source_37">
        <w:r>
          <w:rPr>
            <w:color w:val="0563C1"/>
            <w:u w:val="single"/>
          </w:rPr>
          <w:t>[37]</w:t>
        </w:r>
      </w:hyperlink>
      <w:r>
        <w:t>)</w:t>
      </w:r>
    </w:p>
    <w:p>
      <w:pPr>
        <w:spacing w:after="240"/>
      </w:pPr>
      <w:r>
        <w:t>• Benefits realization is not yet finance-grade: few documented use cases and weak standardized ROI methodology limit repeatability and investment confidence.</w:t>
      </w:r>
      <w:hyperlink w:anchor="source_13">
        <w:r>
          <w:rPr>
            <w:color w:val="0563C1"/>
            <w:u w:val="single"/>
          </w:rPr>
          <w:t>[13]</w:t>
        </w:r>
      </w:hyperlink>
      <w:hyperlink w:anchor="source_14">
        <w:r>
          <w:rPr>
            <w:color w:val="0563C1"/>
            <w:u w:val="single"/>
          </w:rPr>
          <w:t>[14]</w:t>
        </w:r>
      </w:hyperlink>
      <w:hyperlink w:anchor="source_68">
        <w:r>
          <w:rPr>
            <w:color w:val="0563C1"/>
            <w:u w:val="single"/>
          </w:rPr>
          <w:t>[68]</w:t>
        </w:r>
      </w:hyperlink>
      <w:r>
        <w:t xml:space="preserve"> TIM reports pockets of impact, but the low count of clearly documented initiatives and the absence of an auditable ex‑ante/ex‑post ROI method make it harder to scale funding based on proven unit economics, especially versus peers that industrialize value dashboards.</w:t>
      </w:r>
      <w:hyperlink w:anchor="source_13">
        <w:r>
          <w:rPr>
            <w:color w:val="0563C1"/>
            <w:u w:val="single"/>
          </w:rPr>
          <w:t>[13]</w:t>
        </w:r>
      </w:hyperlink>
      <w:hyperlink w:anchor="source_14">
        <w:r>
          <w:rPr>
            <w:color w:val="0563C1"/>
            <w:u w:val="single"/>
          </w:rPr>
          <w:t>[14]</w:t>
        </w:r>
      </w:hyperlink>
      <w:hyperlink w:anchor="source_68">
        <w:r>
          <w:rPr>
            <w:color w:val="0563C1"/>
            <w:u w:val="single"/>
          </w:rPr>
          <w:t>[68]</w:t>
        </w:r>
      </w:hyperlink>
      <w:r>
        <w:t xml:space="preserve"> (</w:t>
      </w:r>
      <w:hyperlink w:anchor="source_13">
        <w:r>
          <w:rPr>
            <w:color w:val="0563C1"/>
            <w:u w:val="single"/>
          </w:rPr>
          <w:t>[13]</w:t>
        </w:r>
      </w:hyperlink>
      <w:r>
        <w:t xml:space="preserve">, </w:t>
      </w:r>
      <w:hyperlink w:anchor="source_14">
        <w:r>
          <w:rPr>
            <w:color w:val="0563C1"/>
            <w:u w:val="single"/>
          </w:rPr>
          <w:t>[14]</w:t>
        </w:r>
      </w:hyperlink>
      <w:r>
        <w:t xml:space="preserve">, </w:t>
      </w:r>
      <w:hyperlink w:anchor="source_68">
        <w:r>
          <w:rPr>
            <w:color w:val="0563C1"/>
            <w:u w:val="single"/>
          </w:rPr>
          <w:t>[68]</w:t>
        </w:r>
      </w:hyperlink>
      <w:r>
        <w:t>)</w:t>
      </w:r>
    </w:p>
    <w:p>
      <w:pPr>
        <w:spacing w:after="240"/>
      </w:pPr>
      <w:r>
        <w:t>• Production MLOps and business-visible model observability are immature, constraining safe scaling and making drift/incident response harder to operationalize.</w:t>
      </w:r>
      <w:hyperlink w:anchor="source_25">
        <w:r>
          <w:rPr>
            <w:color w:val="0563C1"/>
            <w:u w:val="single"/>
          </w:rPr>
          <w:t>[25]</w:t>
        </w:r>
      </w:hyperlink>
      <w:hyperlink w:anchor="source_67">
        <w:r>
          <w:rPr>
            <w:color w:val="0563C1"/>
            <w:u w:val="single"/>
          </w:rPr>
          <w:t>[67]</w:t>
        </w:r>
      </w:hyperlink>
      <w:hyperlink w:anchor="source_71">
        <w:r>
          <w:rPr>
            <w:color w:val="0563C1"/>
            <w:u w:val="single"/>
          </w:rPr>
          <w:t>[71]</w:t>
        </w:r>
      </w:hyperlink>
      <w:r>
        <w:t xml:space="preserve"> The evidence emphasizes policy and risk frameworks more than automated ML lifecycle tooling, leaving gaps in consistent CI/CD, drift monitoring, and role-based dashboards that business owners can act on.</w:t>
      </w:r>
      <w:hyperlink w:anchor="source_25">
        <w:r>
          <w:rPr>
            <w:color w:val="0563C1"/>
            <w:u w:val="single"/>
          </w:rPr>
          <w:t>[25]</w:t>
        </w:r>
      </w:hyperlink>
      <w:hyperlink w:anchor="source_67">
        <w:r>
          <w:rPr>
            <w:color w:val="0563C1"/>
            <w:u w:val="single"/>
          </w:rPr>
          <w:t>[67]</w:t>
        </w:r>
      </w:hyperlink>
      <w:hyperlink w:anchor="source_71">
        <w:r>
          <w:rPr>
            <w:color w:val="0563C1"/>
            <w:u w:val="single"/>
          </w:rPr>
          <w:t>[71]</w:t>
        </w:r>
      </w:hyperlink>
      <w:r>
        <w:t xml:space="preserve"> (</w:t>
      </w:r>
      <w:hyperlink w:anchor="source_25">
        <w:r>
          <w:rPr>
            <w:color w:val="0563C1"/>
            <w:u w:val="single"/>
          </w:rPr>
          <w:t>[25]</w:t>
        </w:r>
      </w:hyperlink>
      <w:r>
        <w:t xml:space="preserve">, </w:t>
      </w:r>
      <w:hyperlink w:anchor="source_67">
        <w:r>
          <w:rPr>
            <w:color w:val="0563C1"/>
            <w:u w:val="single"/>
          </w:rPr>
          <w:t>[67]</w:t>
        </w:r>
      </w:hyperlink>
      <w:r>
        <w:t xml:space="preserve">, </w:t>
      </w:r>
      <w:hyperlink w:anchor="source_71">
        <w:r>
          <w:rPr>
            <w:color w:val="0563C1"/>
            <w:u w:val="single"/>
          </w:rPr>
          <w:t>[71]</w:t>
        </w:r>
      </w:hyperlink>
      <w:r>
        <w:t>)</w:t>
      </w:r>
    </w:p>
    <w:p>
      <w:pPr>
        <w:spacing w:after="240"/>
      </w:pPr>
      <w:r>
        <w:t>• Core data-product foundations lag infrastructure: no enterprise CDO, weak metadata/canonical model evidence, and limited self-service slow reuse across domains.</w:t>
      </w:r>
      <w:hyperlink w:anchor="source_19">
        <w:r>
          <w:rPr>
            <w:color w:val="0563C1"/>
            <w:u w:val="single"/>
          </w:rPr>
          <w:t>[19]</w:t>
        </w:r>
      </w:hyperlink>
      <w:hyperlink w:anchor="source_72">
        <w:r>
          <w:rPr>
            <w:color w:val="0563C1"/>
            <w:u w:val="single"/>
          </w:rPr>
          <w:t>[72]</w:t>
        </w:r>
      </w:hyperlink>
      <w:hyperlink w:anchor="source_73">
        <w:r>
          <w:rPr>
            <w:color w:val="0563C1"/>
            <w:u w:val="single"/>
          </w:rPr>
          <w:t>[73]</w:t>
        </w:r>
      </w:hyperlink>
      <w:hyperlink w:anchor="source_75">
        <w:r>
          <w:rPr>
            <w:color w:val="0563C1"/>
            <w:u w:val="single"/>
          </w:rPr>
          <w:t>[75]</w:t>
        </w:r>
      </w:hyperlink>
      <w:r>
        <w:t xml:space="preserve"> This creates a recurring execution drag—teams can build point solutions on strong infrastructure, but cross-domain reuse and speed-to-value suffer because discovery, lineage, and domain semantics are not yet industrialized.</w:t>
      </w:r>
      <w:hyperlink w:anchor="source_19">
        <w:r>
          <w:rPr>
            <w:color w:val="0563C1"/>
            <w:u w:val="single"/>
          </w:rPr>
          <w:t>[19]</w:t>
        </w:r>
      </w:hyperlink>
      <w:hyperlink w:anchor="source_72">
        <w:r>
          <w:rPr>
            <w:color w:val="0563C1"/>
            <w:u w:val="single"/>
          </w:rPr>
          <w:t>[72]</w:t>
        </w:r>
      </w:hyperlink>
      <w:hyperlink w:anchor="source_73">
        <w:r>
          <w:rPr>
            <w:color w:val="0563C1"/>
            <w:u w:val="single"/>
          </w:rPr>
          <w:t>[73]</w:t>
        </w:r>
      </w:hyperlink>
      <w:hyperlink w:anchor="source_75">
        <w:r>
          <w:rPr>
            <w:color w:val="0563C1"/>
            <w:u w:val="single"/>
          </w:rPr>
          <w:t>[75]</w:t>
        </w:r>
      </w:hyperlink>
      <w:r>
        <w:t xml:space="preserve"> (</w:t>
      </w:r>
      <w:hyperlink w:anchor="source_19">
        <w:r>
          <w:rPr>
            <w:color w:val="0563C1"/>
            <w:u w:val="single"/>
          </w:rPr>
          <w:t>[19]</w:t>
        </w:r>
      </w:hyperlink>
      <w:r>
        <w:t xml:space="preserve">, </w:t>
      </w:r>
      <w:hyperlink w:anchor="source_72">
        <w:r>
          <w:rPr>
            <w:color w:val="0563C1"/>
            <w:u w:val="single"/>
          </w:rPr>
          <w:t>[72]</w:t>
        </w:r>
      </w:hyperlink>
      <w:r>
        <w:t xml:space="preserve">, </w:t>
      </w:r>
      <w:hyperlink w:anchor="source_73">
        <w:r>
          <w:rPr>
            <w:color w:val="0563C1"/>
            <w:u w:val="single"/>
          </w:rPr>
          <w:t>[73]</w:t>
        </w:r>
      </w:hyperlink>
      <w:r>
        <w:t xml:space="preserve">, </w:t>
      </w:r>
      <w:hyperlink w:anchor="source_75">
        <w:r>
          <w:rPr>
            <w:color w:val="0563C1"/>
            <w:u w:val="single"/>
          </w:rPr>
          <w:t>[75]</w:t>
        </w:r>
      </w:hyperlink>
      <w:r>
        <w:t>)</w:t>
      </w:r>
    </w:p>
    <w:p>
      <w:pPr>
        <w:pStyle w:val="Heading2"/>
        <w:spacing w:after="240"/>
      </w:pPr>
      <w:r>
        <w:t>Opportunities</w:t>
      </w:r>
    </w:p>
    <w:p>
      <w:pPr>
        <w:spacing w:after="240"/>
      </w:pPr>
      <w:r>
        <w:t>• Create a single-threaded AI operating model (CAIO or federated domain leads) tied to portfolio stage-gates and quarterly AI value reporting to scale what already works.</w:t>
      </w:r>
      <w:hyperlink w:anchor="source_37">
        <w:r>
          <w:rPr>
            <w:color w:val="0563C1"/>
            <w:u w:val="single"/>
          </w:rPr>
          <w:t>[37]</w:t>
        </w:r>
      </w:hyperlink>
      <w:hyperlink w:anchor="source_68">
        <w:r>
          <w:rPr>
            <w:color w:val="0563C1"/>
            <w:u w:val="single"/>
          </w:rPr>
          <w:t>[68]</w:t>
        </w:r>
      </w:hyperlink>
      <w:hyperlink w:anchor="source_70">
        <w:r>
          <w:rPr>
            <w:color w:val="0563C1"/>
            <w:u w:val="single"/>
          </w:rPr>
          <w:t>[70]</w:t>
        </w:r>
      </w:hyperlink>
      <w:r>
        <w:t xml:space="preserve"> TIM already has governance legitimacy and selective impact; the highest-leverage next step is to connect these into an operating cadence where investment decisions, risk approvals, and benefit realization share the same artifacts and rhythm. A CAIO (or equivalent federated leadership) can turn today’s cross-functional oversight into clearer outcome ownership by domain (network, care, enterprise, cyber) and reduce the current gap between broad ambition and uneven measurement. With standardized stage-gates and finance sign-off on ex‑ante/ex‑post ROI, TIM can systematically replicate proven wins (e.g., NOC automation, contact-center augmentation) and transparently stop low-return initiatives earlier, improving capital efficiency in a margin-constrained sector. The strategic payoff is credibility: a repeatable value system tends to unlock faster adoption, easier change management, and stronger partner economics because TIM can negotiate on outcomes, not tools.</w:t>
      </w:r>
      <w:hyperlink w:anchor="source_68">
        <w:r>
          <w:rPr>
            <w:color w:val="0563C1"/>
            <w:u w:val="single"/>
          </w:rPr>
          <w:t>[68]</w:t>
        </w:r>
      </w:hyperlink>
      <w:hyperlink w:anchor="source_70">
        <w:r>
          <w:rPr>
            <w:color w:val="0563C1"/>
            <w:u w:val="single"/>
          </w:rPr>
          <w:t>[70]</w:t>
        </w:r>
      </w:hyperlink>
      <w:r>
        <w:t xml:space="preserve"> (</w:t>
      </w:r>
      <w:hyperlink w:anchor="source_37">
        <w:r>
          <w:rPr>
            <w:color w:val="0563C1"/>
            <w:u w:val="single"/>
          </w:rPr>
          <w:t>[37]</w:t>
        </w:r>
      </w:hyperlink>
      <w:r>
        <w:t xml:space="preserve">, </w:t>
      </w:r>
      <w:hyperlink w:anchor="source_68">
        <w:r>
          <w:rPr>
            <w:color w:val="0563C1"/>
            <w:u w:val="single"/>
          </w:rPr>
          <w:t>[68]</w:t>
        </w:r>
      </w:hyperlink>
      <w:r>
        <w:t xml:space="preserve">, </w:t>
      </w:r>
      <w:hyperlink w:anchor="source_70">
        <w:r>
          <w:rPr>
            <w:color w:val="0563C1"/>
            <w:u w:val="single"/>
          </w:rPr>
          <w:t>[70]</w:t>
        </w:r>
      </w:hyperlink>
      <w:r>
        <w:t xml:space="preserve">, </w:t>
      </w:r>
      <w:hyperlink w:anchor="source_42">
        <w:r>
          <w:rPr>
            <w:color w:val="0563C1"/>
            <w:u w:val="single"/>
          </w:rPr>
          <w:t>[42]</w:t>
        </w:r>
      </w:hyperlink>
      <w:r>
        <w:t>) [Impact: Mid-term]</w:t>
      </w:r>
    </w:p>
    <w:p>
      <w:pPr>
        <w:spacing w:after="240"/>
      </w:pPr>
      <w:r>
        <w:t>• Industrialize MLOps and model observability (registry, CI/CD, drift, rollback, business dashboards) to safely expand from ‘selective scale’ to enterprise saturation.</w:t>
      </w:r>
      <w:hyperlink w:anchor="source_25">
        <w:r>
          <w:rPr>
            <w:color w:val="0563C1"/>
            <w:u w:val="single"/>
          </w:rPr>
          <w:t>[25]</w:t>
        </w:r>
      </w:hyperlink>
      <w:hyperlink w:anchor="source_67">
        <w:r>
          <w:rPr>
            <w:color w:val="0563C1"/>
            <w:u w:val="single"/>
          </w:rPr>
          <w:t>[67]</w:t>
        </w:r>
      </w:hyperlink>
      <w:hyperlink w:anchor="source_71">
        <w:r>
          <w:rPr>
            <w:color w:val="0563C1"/>
            <w:u w:val="single"/>
          </w:rPr>
          <w:t>[71]</w:t>
        </w:r>
      </w:hyperlink>
      <w:r>
        <w:t xml:space="preserve"> TIM’s biggest execution bottleneck is not access to models or compute; it is the ability to run models as reliable products across many processes with predictable SLAs. Establishing standardized MLOps and observability would directly reduce operational risk (silent model degradation, inconsistent behavior across channels) and shorten time-to-production by making the “golden path” repeatable. Critically, business-visible dashboards—shared by product and P&amp;L owners—would shift AI from an IT initiative to a managed business asset, enabling accountability for both value and risk. Done well, this also complements TIM’s strong compliance posture: AI Act-era artifacts become cheaper to produce when workflows are automated and inventories are current by design, not by audit scramble.</w:t>
      </w:r>
      <w:hyperlink w:anchor="source_69">
        <w:r>
          <w:rPr>
            <w:color w:val="0563C1"/>
            <w:u w:val="single"/>
          </w:rPr>
          <w:t>[69]</w:t>
        </w:r>
      </w:hyperlink>
      <w:hyperlink w:anchor="source_74">
        <w:r>
          <w:rPr>
            <w:color w:val="0563C1"/>
            <w:u w:val="single"/>
          </w:rPr>
          <w:t>[74]</w:t>
        </w:r>
      </w:hyperlink>
      <w:r>
        <w:t xml:space="preserve"> (</w:t>
      </w:r>
      <w:hyperlink w:anchor="source_25">
        <w:r>
          <w:rPr>
            <w:color w:val="0563C1"/>
            <w:u w:val="single"/>
          </w:rPr>
          <w:t>[25]</w:t>
        </w:r>
      </w:hyperlink>
      <w:r>
        <w:t xml:space="preserve">, </w:t>
      </w:r>
      <w:hyperlink w:anchor="source_67">
        <w:r>
          <w:rPr>
            <w:color w:val="0563C1"/>
            <w:u w:val="single"/>
          </w:rPr>
          <w:t>[67]</w:t>
        </w:r>
      </w:hyperlink>
      <w:r>
        <w:t xml:space="preserve">, </w:t>
      </w:r>
      <w:hyperlink w:anchor="source_69">
        <w:r>
          <w:rPr>
            <w:color w:val="0563C1"/>
            <w:u w:val="single"/>
          </w:rPr>
          <w:t>[69]</w:t>
        </w:r>
      </w:hyperlink>
      <w:r>
        <w:t xml:space="preserve">, </w:t>
      </w:r>
      <w:hyperlink w:anchor="source_71">
        <w:r>
          <w:rPr>
            <w:color w:val="0563C1"/>
            <w:u w:val="single"/>
          </w:rPr>
          <w:t>[71]</w:t>
        </w:r>
      </w:hyperlink>
      <w:r>
        <w:t xml:space="preserve">, </w:t>
      </w:r>
      <w:hyperlink w:anchor="source_74">
        <w:r>
          <w:rPr>
            <w:color w:val="0563C1"/>
            <w:u w:val="single"/>
          </w:rPr>
          <w:t>[74]</w:t>
        </w:r>
      </w:hyperlink>
      <w:r>
        <w:t>) [Impact: Mid-term]</w:t>
      </w:r>
    </w:p>
    <w:p>
      <w:pPr>
        <w:spacing w:after="240"/>
      </w:pPr>
      <w:r>
        <w:t>• Turn customer-facing GenAI experiments into durable monetization by productizing AI bundles and enterprise services with unit economics (e.g., Perplexity-led differentiation plus TIM Enterprise offerings).</w:t>
      </w:r>
      <w:hyperlink w:anchor="source_63">
        <w:r>
          <w:rPr>
            <w:color w:val="0563C1"/>
            <w:u w:val="single"/>
          </w:rPr>
          <w:t>[63]</w:t>
        </w:r>
      </w:hyperlink>
      <w:hyperlink w:anchor="source_18">
        <w:r>
          <w:rPr>
            <w:color w:val="0563C1"/>
            <w:u w:val="single"/>
          </w:rPr>
          <w:t>[18]</w:t>
        </w:r>
      </w:hyperlink>
      <w:r>
        <w:t xml:space="preserve"> TIM has already tested the commercial logic of making AI visible in the customer proposition (e.g., bundling access to a GenAI assistant) and has a B2B vehicle (TIM Enterprise) that can package AI-enabled cloud/cyber/IoT solutions. The opportunity is to move from promotion to product: define tiers, attach retention/ARPU hypotheses, instrument churn/NPS impact, and migrate customers into paid renewals or premium add-ons. In enterprise, TIM can use its governance and sovereignty posture as differentiation—especially for regulated Italian customers—while leveraging partners for model capability and focusing internal effort on domain integration. This is how AI stops being “cost-out only” and becomes measurable top-line leverage, reducing the strategic gap versus peers that are commercializing AI-native propositions more aggressively.</w:t>
      </w:r>
      <w:hyperlink w:anchor="source_63">
        <w:r>
          <w:rPr>
            <w:color w:val="0563C1"/>
            <w:u w:val="single"/>
          </w:rPr>
          <w:t>[63]</w:t>
        </w:r>
      </w:hyperlink>
      <w:hyperlink w:anchor="source_11">
        <w:r>
          <w:rPr>
            <w:color w:val="0563C1"/>
            <w:u w:val="single"/>
          </w:rPr>
          <w:t>[11]</w:t>
        </w:r>
      </w:hyperlink>
      <w:r>
        <w:t xml:space="preserve"> (</w:t>
      </w:r>
      <w:hyperlink w:anchor="source_11">
        <w:r>
          <w:rPr>
            <w:color w:val="0563C1"/>
            <w:u w:val="single"/>
          </w:rPr>
          <w:t>[11]</w:t>
        </w:r>
      </w:hyperlink>
      <w:r>
        <w:t xml:space="preserve">, </w:t>
      </w:r>
      <w:hyperlink w:anchor="source_18">
        <w:r>
          <w:rPr>
            <w:color w:val="0563C1"/>
            <w:u w:val="single"/>
          </w:rPr>
          <w:t>[18]</w:t>
        </w:r>
      </w:hyperlink>
      <w:r>
        <w:t xml:space="preserve">, </w:t>
      </w:r>
      <w:hyperlink w:anchor="source_63">
        <w:r>
          <w:rPr>
            <w:color w:val="0563C1"/>
            <w:u w:val="single"/>
          </w:rPr>
          <w:t>[63]</w:t>
        </w:r>
      </w:hyperlink>
      <w:r>
        <w:t xml:space="preserve">, </w:t>
      </w:r>
      <w:hyperlink w:anchor="source_32">
        <w:r>
          <w:rPr>
            <w:color w:val="0563C1"/>
            <w:u w:val="single"/>
          </w:rPr>
          <w:t>[32]</w:t>
        </w:r>
      </w:hyperlink>
      <w:r>
        <w:t>) [Impact: Mid-term]</w:t>
      </w:r>
    </w:p>
    <w:p>
      <w:pPr>
        <w:spacing w:after="240"/>
      </w:pPr>
      <w:r>
        <w:t>• Build true market localization (Italian + Brazil multilingual/data playbooks, fairness/performance parity KPIs) to de-risk scale and improve CX outcomes.</w:t>
      </w:r>
      <w:hyperlink w:anchor="source_65">
        <w:r>
          <w:rPr>
            <w:color w:val="0563C1"/>
            <w:u w:val="single"/>
          </w:rPr>
          <w:t>[65]</w:t>
        </w:r>
      </w:hyperlink>
      <w:hyperlink w:anchor="source_44">
        <w:r>
          <w:rPr>
            <w:color w:val="0563C1"/>
            <w:u w:val="single"/>
          </w:rPr>
          <w:t>[44]</w:t>
        </w:r>
      </w:hyperlink>
      <w:r>
        <w:t xml:space="preserve"> Current localization evidence is largely regulation-centric; extending it into language, cultural nuance, and dataset playbooks would improve model quality in real customer interactions and reduce bias/performance drift across segments. For TIM Brazil and multilingual customer care, localization is not optional: it directly determines containment rates, satisfaction, and cost-to-serve, which are the economic engines of AI in telco operations. By formalizing localization as part of the model lifecycle (data requirements, test suites, parity metrics, and incident playbooks), TIM can both increase value and reduce regulatory exposure under high-risk AI classifications. This would also strengthen TIM’s ability to export solutions across subsidiaries rather than re-building per market, raising reuse and lowering total cost of ownership over time.</w:t>
      </w:r>
      <w:hyperlink w:anchor="source_65">
        <w:r>
          <w:rPr>
            <w:color w:val="0563C1"/>
            <w:u w:val="single"/>
          </w:rPr>
          <w:t>[65]</w:t>
        </w:r>
      </w:hyperlink>
      <w:hyperlink w:anchor="source_67">
        <w:r>
          <w:rPr>
            <w:color w:val="0563C1"/>
            <w:u w:val="single"/>
          </w:rPr>
          <w:t>[67]</w:t>
        </w:r>
      </w:hyperlink>
      <w:r>
        <w:t xml:space="preserve"> (</w:t>
      </w:r>
      <w:hyperlink w:anchor="source_44">
        <w:r>
          <w:rPr>
            <w:color w:val="0563C1"/>
            <w:u w:val="single"/>
          </w:rPr>
          <w:t>[44]</w:t>
        </w:r>
      </w:hyperlink>
      <w:r>
        <w:t xml:space="preserve">, </w:t>
      </w:r>
      <w:hyperlink w:anchor="source_65">
        <w:r>
          <w:rPr>
            <w:color w:val="0563C1"/>
            <w:u w:val="single"/>
          </w:rPr>
          <w:t>[65]</w:t>
        </w:r>
      </w:hyperlink>
      <w:r>
        <w:t xml:space="preserve">, </w:t>
      </w:r>
      <w:hyperlink w:anchor="source_67">
        <w:r>
          <w:rPr>
            <w:color w:val="0563C1"/>
            <w:u w:val="single"/>
          </w:rPr>
          <w:t>[67]</w:t>
        </w:r>
      </w:hyperlink>
      <w:r>
        <w:t xml:space="preserve">, </w:t>
      </w:r>
      <w:hyperlink w:anchor="source_69">
        <w:r>
          <w:rPr>
            <w:color w:val="0563C1"/>
            <w:u w:val="single"/>
          </w:rPr>
          <w:t>[69]</w:t>
        </w:r>
      </w:hyperlink>
      <w:r>
        <w:t>) [Impact: Long-term]</w:t>
      </w:r>
    </w:p>
    <w:p>
      <w:pPr>
        <w:pStyle w:val="Heading2"/>
        <w:spacing w:after="240"/>
      </w:pPr>
      <w:r>
        <w:t>Threats</w:t>
      </w:r>
    </w:p>
    <w:p>
      <w:pPr>
        <w:spacing w:after="240"/>
      </w:pPr>
      <w:r>
        <w:t>• Scale leaders (Vodafone, Deutsche Telekom, Orange) could widen the maturity gap through faster platform industrialization and commercialization, compressing TIM’s cost and CX headroom.</w:t>
      </w:r>
      <w:hyperlink w:anchor="source_409">
        <w:r>
          <w:rPr>
            <w:color w:val="0563C1"/>
            <w:u w:val="single"/>
          </w:rPr>
          <w:t>[409]</w:t>
        </w:r>
      </w:hyperlink>
      <w:hyperlink w:anchor="source_410">
        <w:r>
          <w:rPr>
            <w:color w:val="0563C1"/>
            <w:u w:val="single"/>
          </w:rPr>
          <w:t>[410]</w:t>
        </w:r>
      </w:hyperlink>
      <w:hyperlink w:anchor="source_411">
        <w:r>
          <w:rPr>
            <w:color w:val="0563C1"/>
            <w:u w:val="single"/>
          </w:rPr>
          <w:t>[411]</w:t>
        </w:r>
      </w:hyperlink>
      <w:r>
        <w:t xml:space="preserve"> Peers are actively industrializing AI with high-visibility platform programs and partnerships, increasingly pushing into agentic patterns and large-scale CX automation.</w:t>
      </w:r>
      <w:hyperlink w:anchor="source_409">
        <w:r>
          <w:rPr>
            <w:color w:val="0563C1"/>
            <w:u w:val="single"/>
          </w:rPr>
          <w:t>[409]</w:t>
        </w:r>
      </w:hyperlink>
      <w:hyperlink w:anchor="source_410">
        <w:r>
          <w:rPr>
            <w:color w:val="0563C1"/>
            <w:u w:val="single"/>
          </w:rPr>
          <w:t>[410]</w:t>
        </w:r>
      </w:hyperlink>
      <w:r>
        <w:t xml:space="preserve"> The risk mechanism for TIM is a compound effect: if competitors reduce cost-to-serve faster and improve digital experience more consistently, TIM faces a margin squeeze (less room for price competition) and higher churn sensitivity in segments where network quality is already converging. This is especially acute in Europe where telco ARPU growth is structurally pressured; AI-driven efficiency and CX become the decisive “micro-advantages” that accumulate over years. If TIM cannot match the pace of turning pilots into repeatable, KPI-managed capabilities, it risks being perceived as a follower—strong on governance and partnerships, weaker on scaled outcomes—making it harder to defend premium positioning in enterprise and to attract scarce AI talent.</w:t>
      </w:r>
      <w:hyperlink w:anchor="source_13">
        <w:r>
          <w:rPr>
            <w:color w:val="0563C1"/>
            <w:u w:val="single"/>
          </w:rPr>
          <w:t>[13]</w:t>
        </w:r>
      </w:hyperlink>
      <w:hyperlink w:anchor="source_38">
        <w:r>
          <w:rPr>
            <w:color w:val="0563C1"/>
            <w:u w:val="single"/>
          </w:rPr>
          <w:t>[38]</w:t>
        </w:r>
      </w:hyperlink>
      <w:r>
        <w:t xml:space="preserve"> (</w:t>
      </w:r>
      <w:hyperlink w:anchor="source_13">
        <w:r>
          <w:rPr>
            <w:color w:val="0563C1"/>
            <w:u w:val="single"/>
          </w:rPr>
          <w:t>[13]</w:t>
        </w:r>
      </w:hyperlink>
      <w:r>
        <w:t xml:space="preserve">, </w:t>
      </w:r>
      <w:hyperlink w:anchor="source_38">
        <w:r>
          <w:rPr>
            <w:color w:val="0563C1"/>
            <w:u w:val="single"/>
          </w:rPr>
          <w:t>[38]</w:t>
        </w:r>
      </w:hyperlink>
      <w:r>
        <w:t xml:space="preserve">, </w:t>
      </w:r>
      <w:hyperlink w:anchor="source_412">
        <w:r>
          <w:rPr>
            <w:color w:val="0563C1"/>
            <w:u w:val="single"/>
          </w:rPr>
          <w:t>[412]</w:t>
        </w:r>
      </w:hyperlink>
      <w:r>
        <w:t xml:space="preserve">, </w:t>
      </w:r>
      <w:hyperlink w:anchor="source_2099">
        <w:r>
          <w:rPr>
            <w:color w:val="0563C1"/>
            <w:u w:val="single"/>
          </w:rPr>
          <w:t>[2099]</w:t>
        </w:r>
      </w:hyperlink>
      <w:r>
        <w:t xml:space="preserve">, </w:t>
      </w:r>
      <w:hyperlink w:anchor="source_2550">
        <w:r>
          <w:rPr>
            <w:color w:val="0563C1"/>
            <w:u w:val="single"/>
          </w:rPr>
          <w:t>[2550]</w:t>
        </w:r>
      </w:hyperlink>
      <w:r>
        <w:t>) [Risk: High]</w:t>
      </w:r>
    </w:p>
    <w:p>
      <w:pPr>
        <w:spacing w:after="240"/>
      </w:pPr>
      <w:r>
        <w:t>• EU AI Act-era compliance demands could shift from advantage to friction if model inventories, monitoring, and artifacts are not automated and consistently evidenced.</w:t>
      </w:r>
      <w:hyperlink w:anchor="source_46">
        <w:r>
          <w:rPr>
            <w:color w:val="0563C1"/>
            <w:u w:val="single"/>
          </w:rPr>
          <w:t>[46]</w:t>
        </w:r>
      </w:hyperlink>
      <w:hyperlink w:anchor="source_69">
        <w:r>
          <w:rPr>
            <w:color w:val="0563C1"/>
            <w:u w:val="single"/>
          </w:rPr>
          <w:t>[69]</w:t>
        </w:r>
      </w:hyperlink>
      <w:hyperlink w:anchor="source_74">
        <w:r>
          <w:rPr>
            <w:color w:val="0563C1"/>
            <w:u w:val="single"/>
          </w:rPr>
          <w:t>[74]</w:t>
        </w:r>
      </w:hyperlink>
      <w:r>
        <w:t xml:space="preserve"> TIM’s governance stance is strong, but the compliance burden will rise as requirements move from principles to operational evidence (traceability, monitoring, incident processes). The threat is not regulation per se; it is the cost and latency of compliance if it remains manual, which can slow releases, constrain experimentation, and expose the firm to sanctions or forced rollbacks if documentation lags deployments. Competitors that operationalize compliance via automated inventories and MLOps “policy-as-code” will scale faster with lower marginal governance cost, turning compliance from a fixed hurdle into an embedded capability.</w:t>
      </w:r>
      <w:hyperlink w:anchor="source_69">
        <w:r>
          <w:rPr>
            <w:color w:val="0563C1"/>
            <w:u w:val="single"/>
          </w:rPr>
          <w:t>[69]</w:t>
        </w:r>
      </w:hyperlink>
      <w:hyperlink w:anchor="source_25">
        <w:r>
          <w:rPr>
            <w:color w:val="0563C1"/>
            <w:u w:val="single"/>
          </w:rPr>
          <w:t>[25]</w:t>
        </w:r>
      </w:hyperlink>
      <w:r>
        <w:t xml:space="preserve"> (</w:t>
      </w:r>
      <w:hyperlink w:anchor="source_25">
        <w:r>
          <w:rPr>
            <w:color w:val="0563C1"/>
            <w:u w:val="single"/>
          </w:rPr>
          <w:t>[25]</w:t>
        </w:r>
      </w:hyperlink>
      <w:r>
        <w:t xml:space="preserve">, </w:t>
      </w:r>
      <w:hyperlink w:anchor="source_46">
        <w:r>
          <w:rPr>
            <w:color w:val="0563C1"/>
            <w:u w:val="single"/>
          </w:rPr>
          <w:t>[46]</w:t>
        </w:r>
      </w:hyperlink>
      <w:r>
        <w:t xml:space="preserve">, </w:t>
      </w:r>
      <w:hyperlink w:anchor="source_69">
        <w:r>
          <w:rPr>
            <w:color w:val="0563C1"/>
            <w:u w:val="single"/>
          </w:rPr>
          <w:t>[69]</w:t>
        </w:r>
      </w:hyperlink>
      <w:r>
        <w:t xml:space="preserve">, </w:t>
      </w:r>
      <w:hyperlink w:anchor="source_74">
        <w:r>
          <w:rPr>
            <w:color w:val="0563C1"/>
            <w:u w:val="single"/>
          </w:rPr>
          <w:t>[74]</w:t>
        </w:r>
      </w:hyperlink>
      <w:r>
        <w:t>) [Risk: Medium]</w:t>
      </w:r>
    </w:p>
    <w:p>
      <w:pPr>
        <w:spacing w:after="240"/>
      </w:pPr>
      <w:r>
        <w:t>• Heavy reliance on hyperscalers and external AI tooling creates lock-in, cost volatility, and sovereignty tension if architectural guardrails and exit options are not strengthened.</w:t>
      </w:r>
      <w:hyperlink w:anchor="source_11">
        <w:r>
          <w:rPr>
            <w:color w:val="0563C1"/>
            <w:u w:val="single"/>
          </w:rPr>
          <w:t>[11]</w:t>
        </w:r>
      </w:hyperlink>
      <w:hyperlink w:anchor="source_23">
        <w:r>
          <w:rPr>
            <w:color w:val="0563C1"/>
            <w:u w:val="single"/>
          </w:rPr>
          <w:t>[23]</w:t>
        </w:r>
      </w:hyperlink>
      <w:hyperlink w:anchor="source_32">
        <w:r>
          <w:rPr>
            <w:color w:val="0563C1"/>
            <w:u w:val="single"/>
          </w:rPr>
          <w:t>[32]</w:t>
        </w:r>
      </w:hyperlink>
      <w:r>
        <w:t xml:space="preserve"> TIM’s partner breadth enables speed, but it also increases exposure to pricing changes, platform roadmap shifts, and concentration risk in critical capabilities (LLMs, AI services, cloud). The risk mechanism is subtle: even without a single-vendor dependency, fragmented integrations can create a “switching cost web” that makes future consolidation expensive and slows innovation. In a sovereignty-sensitive market, perceived dependence on non-domestic platforms can also weaken positioning for public sector or regulated enterprise workloads, unless TIM clearly demonstrates data/control boundaries and portability patterns across environments.</w:t>
      </w:r>
      <w:hyperlink w:anchor="source_23">
        <w:r>
          <w:rPr>
            <w:color w:val="0563C1"/>
            <w:u w:val="single"/>
          </w:rPr>
          <w:t>[23]</w:t>
        </w:r>
      </w:hyperlink>
      <w:hyperlink w:anchor="source_72">
        <w:r>
          <w:rPr>
            <w:color w:val="0563C1"/>
            <w:u w:val="single"/>
          </w:rPr>
          <w:t>[72]</w:t>
        </w:r>
      </w:hyperlink>
      <w:r>
        <w:t xml:space="preserve"> (</w:t>
      </w:r>
      <w:hyperlink w:anchor="source_11">
        <w:r>
          <w:rPr>
            <w:color w:val="0563C1"/>
            <w:u w:val="single"/>
          </w:rPr>
          <w:t>[11]</w:t>
        </w:r>
      </w:hyperlink>
      <w:r>
        <w:t xml:space="preserve">, </w:t>
      </w:r>
      <w:hyperlink w:anchor="source_23">
        <w:r>
          <w:rPr>
            <w:color w:val="0563C1"/>
            <w:u w:val="single"/>
          </w:rPr>
          <w:t>[23]</w:t>
        </w:r>
      </w:hyperlink>
      <w:r>
        <w:t xml:space="preserve">, </w:t>
      </w:r>
      <w:hyperlink w:anchor="source_32">
        <w:r>
          <w:rPr>
            <w:color w:val="0563C1"/>
            <w:u w:val="single"/>
          </w:rPr>
          <w:t>[32]</w:t>
        </w:r>
      </w:hyperlink>
      <w:r>
        <w:t xml:space="preserve">, </w:t>
      </w:r>
      <w:hyperlink w:anchor="source_72">
        <w:r>
          <w:rPr>
            <w:color w:val="0563C1"/>
            <w:u w:val="single"/>
          </w:rPr>
          <w:t>[72]</w:t>
        </w:r>
      </w:hyperlink>
      <w:r>
        <w:t>) [Risk: Medium]</w:t>
      </w:r>
    </w:p>
    <w:p>
      <w:pPr>
        <w:spacing w:after="240"/>
      </w:pPr>
      <w:r>
        <w:t>• Cybersecurity and privacy incidents—combined with broader AI adoption—could quickly erode trust and trigger regulatory scrutiny, undermining the very areas where TIM is trying to differentiate.</w:t>
      </w:r>
      <w:hyperlink w:anchor="source_20">
        <w:r>
          <w:rPr>
            <w:color w:val="0563C1"/>
            <w:u w:val="single"/>
          </w:rPr>
          <w:t>[20]</w:t>
        </w:r>
      </w:hyperlink>
      <w:hyperlink w:anchor="source_26">
        <w:r>
          <w:rPr>
            <w:color w:val="0563C1"/>
            <w:u w:val="single"/>
          </w:rPr>
          <w:t>[26]</w:t>
        </w:r>
      </w:hyperlink>
      <w:r>
        <w:t xml:space="preserve"> TIM’s security posture is structured, but the record includes multiple data-related incidents in recent years, which matters more as AI increases data reuse and automation speed.</w:t>
      </w:r>
      <w:hyperlink w:anchor="source_20">
        <w:r>
          <w:rPr>
            <w:color w:val="0563C1"/>
            <w:u w:val="single"/>
          </w:rPr>
          <w:t>[20]</w:t>
        </w:r>
      </w:hyperlink>
      <w:r>
        <w:t xml:space="preserve"> The threat mechanism is amplification: a breach or misuse event in an AI-enabled workflow (e.g., customer care summarization, analytics, identity) can create disproportionate reputational damage and force conservative rollbacks that slow broader AI adoption. In telecom, trust is a commercial asset; once damaged, it raises churn risk and reduces enterprise willingness to adopt higher-margin managed services where TIM aims to grow. Sustained investment in monitoring, incident response, and privacy-by-design automation is therefore not only risk control, but a prerequisite for scaling AI without stalling.</w:t>
      </w:r>
      <w:hyperlink w:anchor="source_26">
        <w:r>
          <w:rPr>
            <w:color w:val="0563C1"/>
            <w:u w:val="single"/>
          </w:rPr>
          <w:t>[26]</w:t>
        </w:r>
      </w:hyperlink>
      <w:hyperlink w:anchor="source_67">
        <w:r>
          <w:rPr>
            <w:color w:val="0563C1"/>
            <w:u w:val="single"/>
          </w:rPr>
          <w:t>[67]</w:t>
        </w:r>
      </w:hyperlink>
      <w:r>
        <w:t xml:space="preserve"> (</w:t>
      </w:r>
      <w:hyperlink w:anchor="source_20">
        <w:r>
          <w:rPr>
            <w:color w:val="0563C1"/>
            <w:u w:val="single"/>
          </w:rPr>
          <w:t>[20]</w:t>
        </w:r>
      </w:hyperlink>
      <w:r>
        <w:t xml:space="preserve">, </w:t>
      </w:r>
      <w:hyperlink w:anchor="source_26">
        <w:r>
          <w:rPr>
            <w:color w:val="0563C1"/>
            <w:u w:val="single"/>
          </w:rPr>
          <w:t>[26]</w:t>
        </w:r>
      </w:hyperlink>
      <w:r>
        <w:t xml:space="preserve">, </w:t>
      </w:r>
      <w:hyperlink w:anchor="source_67">
        <w:r>
          <w:rPr>
            <w:color w:val="0563C1"/>
            <w:u w:val="single"/>
          </w:rPr>
          <w:t>[67]</w:t>
        </w:r>
      </w:hyperlink>
      <w:r>
        <w:t>) [Risk: High]</w:t>
      </w:r>
    </w:p>
    <w:p>
      <w:pPr>
        <w:pStyle w:val="Heading2"/>
        <w:spacing w:after="240"/>
      </w:pPr>
      <w:r>
        <w:t>Cross-Dependencies</w:t>
      </w:r>
    </w:p>
    <w:p>
      <w:pPr>
        <w:spacing w:after="240"/>
      </w:pPr>
      <w:r>
        <w:t>TIM’s AI maturity story is defined by a “strong spine, uneven limbs” pattern: governance, ethics and partner scale are sufficiently mature to support rapid expansion, but the value-and-operations layer (ROI discipline, MLOps, data-product foundations) is not yet industrialized.</w:t>
      </w:r>
      <w:hyperlink w:anchor="source_42">
        <w:r>
          <w:rPr>
            <w:color w:val="0563C1"/>
            <w:u w:val="single"/>
          </w:rPr>
          <w:t>[42]</w:t>
        </w:r>
      </w:hyperlink>
      <w:hyperlink w:anchor="source_46">
        <w:r>
          <w:rPr>
            <w:color w:val="0563C1"/>
            <w:u w:val="single"/>
          </w:rPr>
          <w:t>[46]</w:t>
        </w:r>
      </w:hyperlink>
      <w:hyperlink w:anchor="source_68">
        <w:r>
          <w:rPr>
            <w:color w:val="0563C1"/>
            <w:u w:val="single"/>
          </w:rPr>
          <w:t>[68]</w:t>
        </w:r>
      </w:hyperlink>
      <w:hyperlink w:anchor="source_25">
        <w:r>
          <w:rPr>
            <w:color w:val="0563C1"/>
            <w:u w:val="single"/>
          </w:rPr>
          <w:t>[25]</w:t>
        </w:r>
      </w:hyperlink>
      <w:r>
        <w:t xml:space="preserve"> This matters because the strengths can easily mask the bottlenecks—strong policies and partnerships create the appearance of scale-readiness, yet without standardized measurement and runtime controls, the organization risks scaling activity faster than outcomes.</w:t>
        <w:br/>
        <w:br/>
        <w:t>The interdependency to exploit is that TIM’s governance strength can become a force multiplier rather than a constraint if it is wired directly into delivery and value capture. In practice, the same Board-approved rules that currently manage AI risk can be extended into an auditable model inventory, stage-gated portfolio governance, and business-visible monitoring—turning compliance into acceleration rather than friction.</w:t>
      </w:r>
      <w:hyperlink w:anchor="source_46">
        <w:r>
          <w:rPr>
            <w:color w:val="0563C1"/>
            <w:u w:val="single"/>
          </w:rPr>
          <w:t>[46]</w:t>
        </w:r>
      </w:hyperlink>
      <w:hyperlink w:anchor="source_69">
        <w:r>
          <w:rPr>
            <w:color w:val="0563C1"/>
            <w:u w:val="single"/>
          </w:rPr>
          <w:t>[69]</w:t>
        </w:r>
      </w:hyperlink>
      <w:hyperlink w:anchor="source_67">
        <w:r>
          <w:rPr>
            <w:color w:val="0563C1"/>
            <w:u w:val="single"/>
          </w:rPr>
          <w:t>[67]</w:t>
        </w:r>
      </w:hyperlink>
      <w:r>
        <w:t xml:space="preserve"> Similarly, the breadth of partnerships and AI-ready infrastructure will only translate into durable advantage if TIM fixes the data and MLOps “last mile,” because that is what determines reuse and low marginal cost per additional use case.</w:t>
      </w:r>
      <w:hyperlink w:anchor="source_23">
        <w:r>
          <w:rPr>
            <w:color w:val="0563C1"/>
            <w:u w:val="single"/>
          </w:rPr>
          <w:t>[23]</w:t>
        </w:r>
      </w:hyperlink>
      <w:hyperlink w:anchor="source_25">
        <w:r>
          <w:rPr>
            <w:color w:val="0563C1"/>
            <w:u w:val="single"/>
          </w:rPr>
          <w:t>[25]</w:t>
        </w:r>
      </w:hyperlink>
      <w:hyperlink w:anchor="source_75">
        <w:r>
          <w:rPr>
            <w:color w:val="0563C1"/>
            <w:u w:val="single"/>
          </w:rPr>
          <w:t>[75]</w:t>
        </w:r>
      </w:hyperlink>
      <w:r>
        <w:br/>
        <w:br/>
        <w:t>Looking toward 2030, TIM’s path to higher AI maturity is less about finding new use cases and more about making existing success patterns repeatable: establish clear AI accountability, create finance-grade benefits realization, and industrialize MLOps and data products so that every additional deployment is faster, safer, and easier to measure than the last.</w:t>
      </w:r>
      <w:hyperlink w:anchor="source_37">
        <w:r>
          <w:rPr>
            <w:color w:val="0563C1"/>
            <w:u w:val="single"/>
          </w:rPr>
          <w:t>[37]</w:t>
        </w:r>
      </w:hyperlink>
      <w:hyperlink w:anchor="source_68">
        <w:r>
          <w:rPr>
            <w:color w:val="0563C1"/>
            <w:u w:val="single"/>
          </w:rPr>
          <w:t>[68]</w:t>
        </w:r>
      </w:hyperlink>
      <w:hyperlink w:anchor="source_71">
        <w:r>
          <w:rPr>
            <w:color w:val="0563C1"/>
            <w:u w:val="single"/>
          </w:rPr>
          <w:t>[71]</w:t>
        </w:r>
      </w:hyperlink>
      <w:r>
        <w:t xml:space="preserve"> If these dependencies are managed well, TIM’s current strengths can offset today’s weaknesses and help it defend against faster-scaling peers; if not, competitors’ industrialization will translate into structurally lower costs and better CX, widening the gap over time.</w:t>
      </w:r>
      <w:hyperlink w:anchor="source_13">
        <w:r>
          <w:rPr>
            <w:color w:val="0563C1"/>
            <w:u w:val="single"/>
          </w:rPr>
          <w:t>[13]</w:t>
        </w:r>
      </w:hyperlink>
      <w:hyperlink w:anchor="source_409">
        <w:r>
          <w:rPr>
            <w:color w:val="0563C1"/>
            <w:u w:val="single"/>
          </w:rPr>
          <w:t>[409]</w:t>
        </w:r>
      </w:hyperlink>
      <w:hyperlink w:anchor="source_410">
        <w:r>
          <w:rPr>
            <w:color w:val="0563C1"/>
            <w:u w:val="single"/>
          </w:rPr>
          <w:t>[410]</w:t>
        </w:r>
      </w:hyperlink>
    </w:p>
    <w:p>
      <w:r>
        <w:br w:type="page"/>
      </w:r>
    </w:p>
    <w:p>
      <w:bookmarkStart w:id="1005" w:name="heading_1005"/>
      <w:pPr>
        <w:pStyle w:val="Heading1"/>
        <w:spacing w:after="240"/>
      </w:pPr>
      <w:r>
        <w:t>Top 10 AI Maturity Pain Points</w:t>
      </w:r>
      <w:bookmarkEnd w:id="1005"/>
    </w:p>
    <w:p>
      <w:pPr>
        <w:pStyle w:val="Heading2"/>
        <w:spacing w:after="240"/>
      </w:pPr>
      <w:r>
        <w:t>1. Governance exists, but lifecycle ownership is not operationalized</w:t>
      </w:r>
    </w:p>
    <w:p>
      <w:pPr>
        <w:spacing w:after="240"/>
      </w:pPr>
      <w:r>
        <w:t>Telecom Italia shows strong intent and policy scaffolding for AI—formal guidelines, cross-functional oversight, and Board-reviewed ethical framing are visible—but the operating mechanics that translate policy into repeatable delivery remain weakly evidenced. The observable issue is that roles appear defined at a high level yet are not demonstrably expressed as end-to-end lifecycle ownership (idea → build → deploy → monitor → retire) with auditable decision rights, artifacts, and accountability. This gap persists because governance has been built primarily as a risk and compliance construct (ethics, privacy, regulatory alignment) rather than as a product and engineering operating system that forces consistent execution patterns across business units and subsidiaries. As a result, AI workstreams tend to depend on informal coordination and local interpretation of standards, which drives variability in delivery speed, documentation quality, and control coverage. The consequence is predictable scale friction: initiatives can reach production in pockets, but enterprise propagation is slow, hard to govern consistently, and difficult to defend under scrutiny when evidence of “who owns what” across the model lifecycle is incomplete.</w:t>
      </w:r>
    </w:p>
    <w:p>
      <w:pPr>
        <w:pStyle w:val="Heading2"/>
        <w:spacing w:after="240"/>
      </w:pPr>
      <w:r>
        <w:t>2. Thin AI leadership bench and limited board AI expertise</w:t>
      </w:r>
    </w:p>
    <w:p>
      <w:pPr>
        <w:spacing w:after="240"/>
      </w:pPr>
      <w:r>
        <w:t xml:space="preserve">AI accountability at Telecom Italia is structurally diluted: there is no formal Chief AI Officer role, and publicly evidenced AI leadership depth is low relative to the breadth of claimed AI activity. This creates an observable mismatch between an enterprise AI agenda and the leadership architecture required to prioritize, arbitrate tradeoffs, and enforce standards across domains. The condition persists because AI responsibilities are distributed across existing directorates and multifunctional committees, which supports oversight but does not concentrate decision authority for technical architecture, portfolio economics, and operating-model adoption. In parallel, board-level AI expertise is not clearly evidenced, limiting the organization’s ability to challenge assumptions on model risk, platform spend, and scaling thresholds with specialist rigor. The consequence is governance without sharp accountability: priorities drift toward what individual leaders can sponsor, architectural choices fragment across functions, and escalation paths become slower and more political when AI programs collide with cost, security, or customer experience constraints. </w:t>
      </w:r>
      <w:hyperlink w:anchor="source_1">
        <w:r>
          <w:rPr>
            <w:color w:val="0563C1"/>
            <w:u w:val="single"/>
          </w:rPr>
          <w:t>[1]</w:t>
        </w:r>
      </w:hyperlink>
    </w:p>
    <w:p>
      <w:pPr>
        <w:pStyle w:val="Heading2"/>
        <w:spacing w:after="240"/>
      </w:pPr>
      <w:r>
        <w:t>3. Benefits realization is under-instrumented and under-documented</w:t>
      </w:r>
    </w:p>
    <w:p>
      <w:pPr>
        <w:spacing w:after="240"/>
      </w:pPr>
      <w:r>
        <w:t xml:space="preserve">Telecom Italia’s AI narrative contains examples of impact, yet the measured, auditable value story is thin relative to the implied scope of adoption. The observable issue is that only a small number of implementations are clearly documented as discrete “use cases,” and only a subset of those carries quantified operational or financial outcomes, creating a weak evidentiary base for portfolio-level value management. This persists because measurement appears to be performed case-by-case, often anchored in operational KPIs, without a standardized ex-ante/ex-post methodology that consistently translates performance shifts into finance-grade benefits and then reconciles forecast-to-actual at portfolio level. Where compliance and risk processes are comparatively mature, value verification is not equally systematized, leaving business units with limited incentives or tooling to publish comparable results. The consequence is investment opacity: funding decisions rely on narrative and localized metrics, benefit leakage is hard to detect, and enterprise leaders lack a consolidated view of which AI initiatives genuinely outperform alternatives, slowing rational reprioritization and scaling. </w:t>
      </w:r>
      <w:hyperlink w:anchor="source_2">
        <w:r>
          <w:rPr>
            <w:color w:val="0563C1"/>
            <w:u w:val="single"/>
          </w:rPr>
          <w:t>[2]</w:t>
        </w:r>
      </w:hyperlink>
    </w:p>
    <w:p>
      <w:pPr>
        <w:pStyle w:val="Heading2"/>
        <w:spacing w:after="240"/>
      </w:pPr>
      <w:r>
        <w:t>4. MLOps maturity lags production ambition</w:t>
      </w:r>
    </w:p>
    <w:p>
      <w:pPr>
        <w:spacing w:after="240"/>
      </w:pPr>
      <w:r>
        <w:t>The company exhibits production deployments across network and customer operations, yet the underlying model engineering discipline is not evidenced as industrial-grade. The observable issue is weak proof of standardized, reproducible workflows for model development and release: limited visibility into versioned artifacts, automated testing, CI/CD for ML, controlled promotion between environments, and formal rollback mechanisms across a broad model estate. This persists because governance emphasis has concentrated on policies and risk controls, while the technical “last mile” of operationalizing models—repeatable pipelines, systematic monitoring, and disciplined retraining—appears to remain uneven across domains and partners. In a telecom context where models touch real-time operations, this gap becomes structural: the organization can deploy point solutions, but it cannot reliably scale a consistent operating rhythm across multiple teams and vendors. The consequence is elevated operational drag and risk: slower iteration cycles, inconsistent model quality, fragile production stability under drift or data shifts, and limited ability to prove control effectiveness when incidents or performance regressions occur.</w:t>
      </w:r>
    </w:p>
    <w:p>
      <w:pPr>
        <w:pStyle w:val="Heading2"/>
        <w:spacing w:after="240"/>
      </w:pPr>
      <w:r>
        <w:t>5. Data governance leadership and semantic foundations are incomplete</w:t>
      </w:r>
    </w:p>
    <w:p>
      <w:pPr>
        <w:spacing w:after="240"/>
      </w:pPr>
      <w:r>
        <w:t>Telecom Italia has invested in infrastructure and broad data/AI enablement, but its data operating model shows a critical structural gap: enterprise data leadership is not clearly anchored by a Chief Data Officer mandate focused on data strategy, quality, and reuse, with data governance largely centered on privacy roles. The observable issue is that foundational semantic assets—business-aligned metadata, lineage, master data practices, and an enterprise-wide canonical model—are weakly evidenced or only partially mature, even as AI use cases span customer, network, and enterprise domains. This persists because data governance has been optimized for compliance and reporting control, which strengthens confidentiality and audit trails but does not automatically produce reusable, productized data assets for analytics and ML. The consequence is predictable friction in AI scaling: teams spend disproportionate time reconciling definitions, sourcing and cleaning data, and re-building pipelines, which inflates delivery costs, slows time-to-production, and increases the risk of inconsistent metrics appearing across customer, finance, and operations for the same underlying business questions.</w:t>
      </w:r>
    </w:p>
    <w:p>
      <w:pPr>
        <w:pStyle w:val="Heading2"/>
        <w:spacing w:after="240"/>
      </w:pPr>
      <w:r>
        <w:t>6. Partner-heavy ecosystem increases dependency and integration complexity</w:t>
      </w:r>
    </w:p>
    <w:p>
      <w:pPr>
        <w:spacing w:after="240"/>
      </w:pPr>
      <w:r>
        <w:t xml:space="preserve">Telecom Italia’s AI posture is materially shaped by a broad partner ecosystem and multiple third-party platforms, with limited evidence of sustained capability acquisition through venture investments or repeated AI-focused M&amp;A within the evaluation window. This creates an observable reliance on external vendors for critical AI capabilities (foundation tooling, conversational AI, platform components), while internal ownership of reusable IP and reference architectures remains comparatively opaque. The condition persists because partnerships can accelerate point deployments and infrastructure build-out, but they also fragment decision-making across supplier roadmaps, procurement constraints, and heterogeneous tooling choices that vary by function or subsidiary. Without strong internal platform standardization and enforcement mechanisms, partner proliferation becomes a structural driver of architectural sprawl. The consequence is higher integration and governance burden: overlapping tools, duplicated data pipelines, inconsistent security postures across vendor stacks, and vendor lock-in risk that constrains the organization’s ability to pivot architectures, renegotiate economics, or standardize model operations at enterprise scale. </w:t>
      </w:r>
      <w:hyperlink w:anchor="source_1">
        <w:r>
          <w:rPr>
            <w:color w:val="0563C1"/>
            <w:u w:val="single"/>
          </w:rPr>
          <w:t>[1]</w:t>
        </w:r>
      </w:hyperlink>
    </w:p>
    <w:p>
      <w:pPr>
        <w:pStyle w:val="Heading2"/>
        <w:spacing w:after="240"/>
      </w:pPr>
      <w:r>
        <w:t>7. Localization is narrow and compliance-centric</w:t>
      </w:r>
    </w:p>
    <w:p>
      <w:pPr>
        <w:spacing w:after="240"/>
      </w:pPr>
      <w:r>
        <w:t>AI localization at Telecom Italia is observable primarily through regulatory and ethics alignment, rather than through systematic adaptation of models, datasets, and user experiences to differing languages, segments, and operating contexts. The issue is not the absence of compliance controls—those are comparatively well-articulated—but the lack of evidence for multilingual data pipelines, market-specific performance monitoring, and segment-level tuning as a repeatable capability. This persists because the organization’s localization posture has been shaped by EU-centric regulatory readiness and risk management, which prioritizes legal conformity over operational scaling across diverse customer cohorts and channels. In practice, this produces a narrow definition of “localization” that is satisfied when governance documents reference relevant laws, even if models are not demonstrably optimized for language variation, cultural nuance, or segment-specific behavior. The consequence is constrained scalability and inconsistent customer outcomes: AI-enabled experiences can perform credibly in selected contexts yet degrade when expanded across products, regions, or customer segments, creating reputational risk and limiting the business case for broader rollout.</w:t>
      </w:r>
    </w:p>
    <w:p>
      <w:pPr>
        <w:pStyle w:val="Heading2"/>
        <w:spacing w:after="240"/>
      </w:pPr>
      <w:r>
        <w:t>8. Portfolio discipline is weak; stage-gating is not evidenced</w:t>
      </w:r>
    </w:p>
    <w:p>
      <w:pPr>
        <w:spacing w:after="240"/>
      </w:pPr>
      <w:r>
        <w:t>Telecom Italia demonstrates multiple AI initiatives and a stated willingness to invest where returns are compelling, but the portfolio appears managed more as a set of initiatives than as a governed investment system. The observable issue is limited evidence of an actively balanced AI portfolio using explicit stage gates and multi-criteria prioritization across impact, feasibility, risk, and time-to-value, with clear exit decisions and tracked kill/scale rates. This persists because the current governance mechanisms skew toward risk screening and compliance readiness—important controls, but not substitutes for portfolio optimization. In the absence of a transparent, repeatable portfolio process, prioritization becomes episodic and dependent on local sponsorship, vendor momentum, or short-term operational pressures. The consequence is structural value dilution: resources spread across heterogeneous initiatives with uneven data readiness, limited reuse, and inconsistent measurement rigor; technical teams carry an accumulating backlog of partially productized work; and leadership lacks a single view of which initiatives are compounding capabilities versus consuming capacity without building an enterprise AI engine.</w:t>
      </w:r>
    </w:p>
    <w:p>
      <w:pPr>
        <w:pStyle w:val="Heading2"/>
        <w:spacing w:after="240"/>
      </w:pPr>
      <w:r>
        <w:t>9. Training scale is high, but specialist capacity is thin</w:t>
      </w:r>
    </w:p>
    <w:p>
      <w:pPr>
        <w:spacing w:after="240"/>
      </w:pPr>
      <w:r>
        <w:t xml:space="preserve">Telecom Italia reports large-scale reskilling activity, yet validated signals of dedicated AI specialist capacity remain modest. The observable issue is a gap between broad-based training hours and the confirmed density of AI-titled staff, which suggests the organization is improving awareness and general digital capability faster than it is building deep, deployable engineering and product capacity. This persists because training programs are easier to scale through centralized curricula and vendor content than specialist hiring, retention, and organizational design—especially when AI leadership roles and job families are not consistently visible or standardized. The result is a workforce profile where many employees are exposed to AI concepts, but comparatively few are positioned to build, operate, and continuously improve production models and AI products end-to-end. The consequence is execution bottlenecks and dependency: delivery throughput concentrates in a small set of teams, partner reliance increases for critical builds, internal reviewers become overloaded, and scaling stalls when multiple business units concurrently attempt to industrialize AI without enough experienced product owners, data engineers, and ML engineers to sustain production-grade operations. </w:t>
      </w:r>
      <w:hyperlink w:anchor="source_1">
        <w:r>
          <w:rPr>
            <w:color w:val="0563C1"/>
            <w:u w:val="single"/>
          </w:rPr>
          <w:t>[1]</w:t>
        </w:r>
      </w:hyperlink>
      <w:hyperlink w:anchor="source_2">
        <w:r>
          <w:rPr>
            <w:color w:val="0563C1"/>
            <w:u w:val="single"/>
          </w:rPr>
          <w:t>[2]</w:t>
        </w:r>
      </w:hyperlink>
    </w:p>
    <w:p>
      <w:pPr>
        <w:pStyle w:val="Heading2"/>
        <w:spacing w:after="240"/>
      </w:pPr>
      <w:r>
        <w:t>10. Model and data risk management is not business-visible</w:t>
      </w:r>
    </w:p>
    <w:p>
      <w:pPr>
        <w:spacing w:after="240"/>
      </w:pPr>
      <w:r>
        <w:t xml:space="preserve">Telecom Italia’s risk and control environment is strong at the policy and cybersecurity layers, but AI operational risk is not clearly translated into business-visible model governance. The observable issue is limited evidence that production models are monitored with dashboards that combine model health (performance, drift, data quality, incidents) and business KPIs, with clear visibility for product owners and P&amp;L leaders. Instead, monitoring appears concentrated in technical and security functions, supported by periodic control frameworks, which is necessary but insufficient for accountable AI operations. This persists because the organization’s control stack was historically designed for security, privacy, and reporting assurance rather than for continuous ML lifecycle management in fast-changing environments. The consequence is governance opacity during failure modes: when a model degrades, business leaders may see downstream KPI movement without a clear causal trace to model behavior; incident response becomes slower and more escalatory; and regulatory defensibility weakens because the organization cannot consistently evidence operational control effectiveness for AI systems beyond high-level policies. </w:t>
      </w:r>
      <w:hyperlink w:anchor="source_1">
        <w:r>
          <w:rPr>
            <w:color w:val="0563C1"/>
            <w:u w:val="single"/>
          </w:rPr>
          <w:t>[1]</w:t>
        </w:r>
      </w:hyperlink>
    </w:p>
    <w:p>
      <w:r>
        <w:br w:type="page"/>
      </w:r>
    </w:p>
    <w:p>
      <w:bookmarkStart w:id="1006" w:name="heading_1006"/>
      <w:pPr>
        <w:pStyle w:val="Heading1"/>
        <w:spacing w:after="240"/>
      </w:pPr>
      <w:r>
        <w:t>Sources</w:t>
      </w:r>
      <w:bookmarkEnd w:id="1006"/>
    </w:p>
    <w:p>
      <w:pPr>
        <w:spacing w:after="240"/>
      </w:pPr>
      <w:bookmarkStart w:id="281114" w:name="source_1"/>
      <w:r>
        <w:t xml:space="preserve">1. </w:t>
      </w:r>
      <w:bookmarkEnd w:id="281114"/>
      <w:hyperlink r:id="rId10">
        <w:r>
          <w:rPr>
            <w:color w:val="0563C1"/>
            <w:u w:val="single"/>
          </w:rPr>
          <w:t>https://businesschief.eu/technology/ey-financial-services-genai-research</w:t>
        </w:r>
      </w:hyperlink>
    </w:p>
    <w:p>
      <w:pPr>
        <w:spacing w:after="240"/>
      </w:pPr>
      <w:bookmarkStart w:id="604779" w:name="source_2"/>
      <w:r>
        <w:t xml:space="preserve">2. </w:t>
      </w:r>
      <w:bookmarkEnd w:id="604779"/>
      <w:hyperlink r:id="rId11">
        <w:r>
          <w:rPr>
            <w:color w:val="0563C1"/>
            <w:u w:val="single"/>
          </w:rPr>
          <w:t>https://www.gruppotim.it/content/dam/gt/investitori/doc---report-finanziari/2024/Annual%20report%202024.pdf</w:t>
        </w:r>
      </w:hyperlink>
    </w:p>
    <w:p>
      <w:pPr>
        <w:spacing w:after="240"/>
      </w:pPr>
      <w:bookmarkStart w:id="264910" w:name="source_3"/>
      <w:r>
        <w:t xml:space="preserve">3. </w:t>
      </w:r>
      <w:bookmarkEnd w:id="264910"/>
      <w:hyperlink r:id="rId12">
        <w:r>
          <w:rPr>
            <w:color w:val="0563C1"/>
            <w:u w:val="single"/>
          </w:rPr>
          <w:t>https://opentools.ai/news/tim-extends-free-perplexity-pro-access-a-leap-forward-in-ai-and-telecom</w:t>
        </w:r>
      </w:hyperlink>
    </w:p>
    <w:p>
      <w:pPr>
        <w:spacing w:after="240"/>
      </w:pPr>
      <w:bookmarkStart w:id="864159" w:name="source_4"/>
      <w:r>
        <w:t xml:space="preserve">4. </w:t>
      </w:r>
      <w:bookmarkEnd w:id="864159"/>
      <w:hyperlink r:id="rId13">
        <w:r>
          <w:rPr>
            <w:color w:val="0563C1"/>
            <w:u w:val="single"/>
          </w:rPr>
          <w:t>https://webthesis.biblio.polito.it/13518/1/tesi.pdf</w:t>
        </w:r>
      </w:hyperlink>
    </w:p>
    <w:p>
      <w:pPr>
        <w:spacing w:after="240"/>
      </w:pPr>
      <w:bookmarkStart w:id="136312" w:name="source_5"/>
      <w:r>
        <w:t xml:space="preserve">5. </w:t>
      </w:r>
      <w:bookmarkEnd w:id="136312"/>
      <w:hyperlink r:id="rId14">
        <w:r>
          <w:rPr>
            <w:color w:val="0563C1"/>
            <w:u w:val="single"/>
          </w:rPr>
          <w:t>https://www.tipranks.com/news/company-announcements/tim-enterprise-unveils-e1-billion-investment-plan-to-boost-italys-digital-transformation</w:t>
        </w:r>
      </w:hyperlink>
    </w:p>
    <w:p>
      <w:pPr>
        <w:spacing w:after="240"/>
      </w:pPr>
      <w:bookmarkStart w:id="63973" w:name="source_6"/>
      <w:r>
        <w:t xml:space="preserve">6. </w:t>
      </w:r>
      <w:bookmarkEnd w:id="63973"/>
      <w:hyperlink r:id="rId15">
        <w:r>
          <w:rPr>
            <w:color w:val="0563C1"/>
            <w:u w:val="single"/>
          </w:rPr>
          <w:t>https://telcomagazine.com/news/juniper-highlights-d2d-5g-advanced-ai-ran-for-2026</w:t>
        </w:r>
      </w:hyperlink>
    </w:p>
    <w:p>
      <w:pPr>
        <w:spacing w:after="240"/>
      </w:pPr>
      <w:bookmarkStart w:id="561235" w:name="source_7"/>
      <w:r>
        <w:t xml:space="preserve">7. </w:t>
      </w:r>
      <w:bookmarkEnd w:id="561235"/>
      <w:hyperlink r:id="rId16">
        <w:r>
          <w:rPr>
            <w:color w:val="0563C1"/>
            <w:u w:val="single"/>
          </w:rPr>
          <w:t>https://www.contextwindows.ai/use-cases/telecom-italia-tim-improving-customer-call-handling</w:t>
        </w:r>
      </w:hyperlink>
    </w:p>
    <w:p>
      <w:pPr>
        <w:spacing w:after="240"/>
      </w:pPr>
      <w:bookmarkStart w:id="271172" w:name="source_8"/>
      <w:r>
        <w:t xml:space="preserve">8. </w:t>
      </w:r>
      <w:bookmarkEnd w:id="271172"/>
      <w:hyperlink r:id="rId17">
        <w:r>
          <w:rPr>
            <w:color w:val="0563C1"/>
            <w:u w:val="single"/>
          </w:rPr>
          <w:t>https://www.mobileeurope.co.uk/tim-enterprise-and-google-cloud-boost-cloud-and-ai-ties/</w:t>
        </w:r>
      </w:hyperlink>
    </w:p>
    <w:p>
      <w:pPr>
        <w:spacing w:after="240"/>
      </w:pPr>
      <w:bookmarkStart w:id="250410" w:name="source_9"/>
      <w:r>
        <w:t xml:space="preserve">9. </w:t>
      </w:r>
      <w:bookmarkEnd w:id="250410"/>
      <w:hyperlink r:id="rId18">
        <w:r>
          <w:rPr>
            <w:color w:val="0563C1"/>
            <w:u w:val="single"/>
          </w:rPr>
          <w:t>https://www.gruppotim.it/en/innovation/innovation-news/ethics-ai.html</w:t>
        </w:r>
      </w:hyperlink>
    </w:p>
    <w:p>
      <w:pPr>
        <w:spacing w:after="240"/>
      </w:pPr>
      <w:bookmarkStart w:id="76841" w:name="source_10"/>
      <w:r>
        <w:t xml:space="preserve">10. </w:t>
      </w:r>
      <w:bookmarkEnd w:id="76841"/>
      <w:hyperlink r:id="rId19">
        <w:r>
          <w:rPr>
            <w:color w:val="0563C1"/>
            <w:u w:val="single"/>
          </w:rPr>
          <w:t>https://telcomagazine.com/news/gsma-report-telcos-us-500bn-enterprise-pivot</w:t>
        </w:r>
      </w:hyperlink>
    </w:p>
    <w:p>
      <w:pPr>
        <w:spacing w:after="240"/>
      </w:pPr>
      <w:bookmarkStart w:id="365129" w:name="source_11"/>
      <w:r>
        <w:t xml:space="preserve">11. </w:t>
      </w:r>
      <w:bookmarkEnd w:id="365129"/>
      <w:hyperlink r:id="rId20">
        <w:r>
          <w:rPr>
            <w:color w:val="0563C1"/>
            <w:u w:val="single"/>
          </w:rPr>
          <w:t>https://www.intesasanpaoloinnovationcenter.com/en/startup-development/acceleration/tim-ai-challenge/</w:t>
        </w:r>
      </w:hyperlink>
    </w:p>
    <w:p>
      <w:pPr>
        <w:spacing w:after="240"/>
      </w:pPr>
      <w:bookmarkStart w:id="928911" w:name="source_12"/>
      <w:r>
        <w:t xml:space="preserve">12. </w:t>
      </w:r>
      <w:bookmarkEnd w:id="928911"/>
      <w:hyperlink r:id="rId21">
        <w:r>
          <w:rPr>
            <w:color w:val="0563C1"/>
            <w:u w:val="single"/>
          </w:rPr>
          <w:t>https://www.gruppotim.it/content/dam/gt/investitori/doc---avvisi/anno-2024/eng/Annual-report-2023.pdf</w:t>
        </w:r>
      </w:hyperlink>
    </w:p>
    <w:p>
      <w:pPr>
        <w:spacing w:after="240"/>
      </w:pPr>
      <w:bookmarkStart w:id="184323" w:name="source_13"/>
      <w:r>
        <w:t xml:space="preserve">13. </w:t>
      </w:r>
      <w:bookmarkEnd w:id="184323"/>
      <w:hyperlink r:id="rId22">
        <w:r>
          <w:rPr>
            <w:color w:val="0563C1"/>
            <w:u w:val="single"/>
          </w:rPr>
          <w:t>https://www.gruppotim.it/en/innovation/technology/artificial-intelligence/ai-client.html</w:t>
        </w:r>
      </w:hyperlink>
    </w:p>
    <w:p>
      <w:pPr>
        <w:spacing w:after="240"/>
      </w:pPr>
      <w:bookmarkStart w:id="935105" w:name="source_14"/>
      <w:r>
        <w:t xml:space="preserve">14. </w:t>
      </w:r>
      <w:bookmarkEnd w:id="935105"/>
      <w:hyperlink r:id="rId23">
        <w:r>
          <w:rPr>
            <w:color w:val="0563C1"/>
            <w:u w:val="single"/>
          </w:rPr>
          <w:t>https://www.microsoft.com/en/customers/story/1671674660129582194-tim-telecommunications-azure-ai-services</w:t>
        </w:r>
      </w:hyperlink>
    </w:p>
    <w:p>
      <w:pPr>
        <w:spacing w:after="240"/>
      </w:pPr>
      <w:bookmarkStart w:id="105403" w:name="source_15"/>
      <w:r>
        <w:t xml:space="preserve">15. </w:t>
      </w:r>
      <w:bookmarkEnd w:id="105403"/>
      <w:hyperlink r:id="rId24">
        <w:r>
          <w:rPr>
            <w:color w:val="0563C1"/>
            <w:u w:val="single"/>
          </w:rPr>
          <w:t>https://www.tisparkle.com/media/press-release/sparkle-successfully-adopts-artificial-intelligence-network-management-and</w:t>
        </w:r>
      </w:hyperlink>
    </w:p>
    <w:p>
      <w:pPr>
        <w:spacing w:after="240"/>
      </w:pPr>
      <w:bookmarkStart w:id="75038" w:name="source_16"/>
      <w:r>
        <w:t xml:space="preserve">16. </w:t>
      </w:r>
      <w:bookmarkEnd w:id="75038"/>
      <w:hyperlink r:id="rId25">
        <w:r>
          <w:rPr>
            <w:color w:val="0563C1"/>
            <w:u w:val="single"/>
          </w:rPr>
          <w:t>https://www.gruppotim.it/content/dam/gt/sostenibilit%C3%A0/doc-bilanci/2023/TIM-Sustainability-Report-2023-ENG.pdf</w:t>
        </w:r>
      </w:hyperlink>
    </w:p>
    <w:p>
      <w:pPr>
        <w:spacing w:after="240"/>
      </w:pPr>
      <w:bookmarkStart w:id="382936" w:name="source_17"/>
      <w:r>
        <w:t xml:space="preserve">17. </w:t>
      </w:r>
      <w:bookmarkEnd w:id="382936"/>
      <w:hyperlink r:id="rId26">
        <w:r>
          <w:rPr>
            <w:color w:val="0563C1"/>
            <w:u w:val="single"/>
          </w:rPr>
          <w:t>https://finance.yahoo.com/quote/TQIR.F/earnings/TQIR.F-Q2-2025-earnings_call-313811.html</w:t>
        </w:r>
      </w:hyperlink>
    </w:p>
    <w:p>
      <w:pPr>
        <w:spacing w:after="240"/>
      </w:pPr>
      <w:bookmarkStart w:id="250561" w:name="source_18"/>
      <w:r>
        <w:t xml:space="preserve">18. </w:t>
      </w:r>
      <w:bookmarkEnd w:id="250561"/>
      <w:hyperlink r:id="rId27">
        <w:r>
          <w:rPr>
            <w:color w:val="0563C1"/>
            <w:u w:val="single"/>
          </w:rPr>
          <w:t>https://www.gruppotim.it/content/dam/gt/investitori/doc---report-finanziari/2021/Annual-report-2021.pdf</w:t>
        </w:r>
      </w:hyperlink>
    </w:p>
    <w:p>
      <w:pPr>
        <w:spacing w:after="240"/>
      </w:pPr>
      <w:bookmarkStart w:id="905751" w:name="source_19"/>
      <w:r>
        <w:t xml:space="preserve">19. </w:t>
      </w:r>
      <w:bookmarkEnd w:id="905751"/>
      <w:hyperlink r:id="rId28">
        <w:r>
          <w:rPr>
            <w:color w:val="0563C1"/>
            <w:u w:val="single"/>
          </w:rPr>
          <w:t>https://www.gruppotim.it/content/dam/gt/investitori/doc---report-finanziari/2022/Annual-report-2022.pdf</w:t>
        </w:r>
      </w:hyperlink>
    </w:p>
    <w:p>
      <w:pPr>
        <w:spacing w:after="240"/>
      </w:pPr>
      <w:bookmarkStart w:id="659671" w:name="source_20"/>
      <w:r>
        <w:t xml:space="preserve">20. </w:t>
      </w:r>
      <w:bookmarkEnd w:id="659671"/>
      <w:hyperlink r:id="rId29">
        <w:r>
          <w:rPr>
            <w:color w:val="0563C1"/>
            <w:u w:val="single"/>
          </w:rPr>
          <w:t>https://voip.review/2025/07/24/tim-offers-free-perplexity-ai-revolutionizing-consumer-telecom/</w:t>
        </w:r>
      </w:hyperlink>
    </w:p>
    <w:p>
      <w:pPr>
        <w:spacing w:after="240"/>
      </w:pPr>
      <w:bookmarkStart w:id="112597" w:name="source_23"/>
      <w:r>
        <w:t xml:space="preserve">23. </w:t>
      </w:r>
      <w:bookmarkEnd w:id="112597"/>
      <w:hyperlink r:id="rId30">
        <w:r>
          <w:rPr>
            <w:color w:val="0563C1"/>
            <w:u w:val="single"/>
          </w:rPr>
          <w:t>https://www.worldbenchmarkingalliance.org/publication/digital-inclusion/companies/telecom-italia-3/</w:t>
        </w:r>
      </w:hyperlink>
    </w:p>
    <w:p>
      <w:pPr>
        <w:spacing w:after="240"/>
      </w:pPr>
      <w:bookmarkStart w:id="157196" w:name="source_24"/>
      <w:r>
        <w:t xml:space="preserve">24. </w:t>
      </w:r>
      <w:bookmarkEnd w:id="157196"/>
      <w:hyperlink r:id="rId31">
        <w:r>
          <w:rPr>
            <w:color w:val="0563C1"/>
            <w:u w:val="single"/>
          </w:rPr>
          <w:t>https://www.gruppotim.it/it/gruppo/cosa-facciamo/innovazione/open-ran.html</w:t>
        </w:r>
      </w:hyperlink>
    </w:p>
    <w:p>
      <w:pPr>
        <w:spacing w:after="240"/>
      </w:pPr>
      <w:bookmarkStart w:id="6202" w:name="source_25"/>
      <w:r>
        <w:t xml:space="preserve">25. </w:t>
      </w:r>
      <w:bookmarkEnd w:id="6202"/>
      <w:hyperlink r:id="rId10">
        <w:r>
          <w:rPr>
            <w:color w:val="0563C1"/>
            <w:u w:val="single"/>
          </w:rPr>
          <w:t>https://businesschief.eu/technology/ey-financial-services-genai-research</w:t>
        </w:r>
      </w:hyperlink>
    </w:p>
    <w:p>
      <w:pPr>
        <w:spacing w:after="240"/>
      </w:pPr>
      <w:bookmarkStart w:id="287407" w:name="source_26"/>
      <w:r>
        <w:t xml:space="preserve">26. </w:t>
      </w:r>
      <w:bookmarkEnd w:id="287407"/>
      <w:hyperlink r:id="rId11">
        <w:r>
          <w:rPr>
            <w:color w:val="0563C1"/>
            <w:u w:val="single"/>
          </w:rPr>
          <w:t>https://www.gruppotim.it/content/dam/gt/investitori/doc---report-finanziari/2024/Annual%20report%202024.pdf</w:t>
        </w:r>
      </w:hyperlink>
    </w:p>
    <w:p>
      <w:pPr>
        <w:spacing w:after="240"/>
      </w:pPr>
      <w:bookmarkStart w:id="708728" w:name="source_32"/>
      <w:r>
        <w:t xml:space="preserve">32. </w:t>
      </w:r>
      <w:bookmarkEnd w:id="708728"/>
      <w:hyperlink r:id="rId16">
        <w:r>
          <w:rPr>
            <w:color w:val="0563C1"/>
            <w:u w:val="single"/>
          </w:rPr>
          <w:t>https://www.contextwindows.ai/use-cases/telecom-italia-tim-improving-customer-call-handling</w:t>
        </w:r>
      </w:hyperlink>
    </w:p>
    <w:p>
      <w:pPr>
        <w:spacing w:after="240"/>
      </w:pPr>
      <w:bookmarkStart w:id="471962" w:name="source_34"/>
      <w:r>
        <w:t xml:space="preserve">34. </w:t>
      </w:r>
      <w:bookmarkEnd w:id="471962"/>
      <w:hyperlink r:id="rId20">
        <w:r>
          <w:rPr>
            <w:color w:val="0563C1"/>
            <w:u w:val="single"/>
          </w:rPr>
          <w:t>https://www.intesasanpaoloinnovationcenter.com/en/startup-development/acceleration/tim-ai-challenge/</w:t>
        </w:r>
      </w:hyperlink>
    </w:p>
    <w:p>
      <w:pPr>
        <w:spacing w:after="240"/>
      </w:pPr>
      <w:bookmarkStart w:id="348810" w:name="source_37"/>
      <w:r>
        <w:t xml:space="preserve">37. </w:t>
      </w:r>
      <w:bookmarkEnd w:id="348810"/>
      <w:hyperlink r:id="rId12">
        <w:r>
          <w:rPr>
            <w:color w:val="0563C1"/>
            <w:u w:val="single"/>
          </w:rPr>
          <w:t>https://opentools.ai/news/tim-extends-free-perplexity-pro-access-a-leap-forward-in-ai-and-telecom</w:t>
        </w:r>
      </w:hyperlink>
    </w:p>
    <w:p>
      <w:pPr>
        <w:spacing w:after="240"/>
      </w:pPr>
      <w:bookmarkStart w:id="286939" w:name="source_38"/>
      <w:r>
        <w:t xml:space="preserve">38. </w:t>
      </w:r>
      <w:bookmarkEnd w:id="286939"/>
      <w:hyperlink r:id="rId32">
        <w:r>
          <w:rPr>
            <w:color w:val="0563C1"/>
            <w:u w:val="single"/>
          </w:rPr>
          <w:t>https://www.gruppotim.it/en/innovation/technology/artificial-intelligence/ai-edge.html</w:t>
        </w:r>
      </w:hyperlink>
    </w:p>
    <w:p>
      <w:pPr>
        <w:spacing w:after="240"/>
      </w:pPr>
      <w:bookmarkStart w:id="334593" w:name="source_42"/>
      <w:r>
        <w:t xml:space="preserve">42. </w:t>
      </w:r>
      <w:bookmarkEnd w:id="334593"/>
      <w:hyperlink r:id="rId33">
        <w:r>
          <w:rPr>
            <w:color w:val="0563C1"/>
            <w:u w:val="single"/>
          </w:rPr>
          <w:t>https://www.lightreading.com/ai-machine-learning/telecom-italia-s-ai-tie-up-with-microsoft-may-bring-job-cuts</w:t>
        </w:r>
      </w:hyperlink>
    </w:p>
    <w:p>
      <w:pPr>
        <w:spacing w:after="240"/>
      </w:pPr>
      <w:bookmarkStart w:id="893589" w:name="source_44"/>
      <w:r>
        <w:t xml:space="preserve">44. </w:t>
      </w:r>
      <w:bookmarkEnd w:id="893589"/>
      <w:hyperlink r:id="rId19">
        <w:r>
          <w:rPr>
            <w:color w:val="0563C1"/>
            <w:u w:val="single"/>
          </w:rPr>
          <w:t>https://telcomagazine.com/news/gsma-report-telcos-us-500bn-enterprise-pivot</w:t>
        </w:r>
      </w:hyperlink>
    </w:p>
    <w:p>
      <w:pPr>
        <w:spacing w:after="240"/>
      </w:pPr>
      <w:bookmarkStart w:id="964252" w:name="source_46"/>
      <w:r>
        <w:t xml:space="preserve">46. </w:t>
      </w:r>
      <w:bookmarkEnd w:id="964252"/>
      <w:hyperlink r:id="rId34">
        <w:r>
          <w:rPr>
            <w:color w:val="0563C1"/>
            <w:u w:val="single"/>
          </w:rPr>
          <w:t>https://cordis.europa.eu/project/id/101015922</w:t>
        </w:r>
      </w:hyperlink>
    </w:p>
    <w:p>
      <w:pPr>
        <w:spacing w:after="240"/>
      </w:pPr>
      <w:bookmarkStart w:id="830221" w:name="source_50"/>
      <w:r>
        <w:t xml:space="preserve">50. </w:t>
      </w:r>
      <w:bookmarkEnd w:id="830221"/>
      <w:hyperlink r:id="rId23">
        <w:r>
          <w:rPr>
            <w:color w:val="0563C1"/>
            <w:u w:val="single"/>
          </w:rPr>
          <w:t>https://www.microsoft.com/en/customers/story/1671674660129582194-tim-telecommunications-azure-ai-services</w:t>
        </w:r>
      </w:hyperlink>
    </w:p>
    <w:p>
      <w:pPr>
        <w:spacing w:after="240"/>
      </w:pPr>
      <w:bookmarkStart w:id="274641" w:name="source_52"/>
      <w:r>
        <w:t xml:space="preserve">52. </w:t>
      </w:r>
      <w:bookmarkEnd w:id="274641"/>
      <w:hyperlink r:id="rId27">
        <w:r>
          <w:rPr>
            <w:color w:val="0563C1"/>
            <w:u w:val="single"/>
          </w:rPr>
          <w:t>https://www.gruppotim.it/content/dam/gt/investitori/doc---report-finanziari/2021/Annual-report-2021.pdf</w:t>
        </w:r>
      </w:hyperlink>
    </w:p>
    <w:p>
      <w:pPr>
        <w:spacing w:after="240"/>
      </w:pPr>
      <w:bookmarkStart w:id="602449" w:name="source_55"/>
      <w:r>
        <w:t xml:space="preserve">55. </w:t>
      </w:r>
      <w:bookmarkEnd w:id="602449"/>
      <w:hyperlink r:id="rId35">
        <w:r>
          <w:rPr>
            <w:color w:val="0563C1"/>
            <w:u w:val="single"/>
          </w:rPr>
          <w:t>https://www.mobileworldlive.com/ai-cloud/tim-latest-to-bring-perplexity-to-europe</w:t>
        </w:r>
      </w:hyperlink>
    </w:p>
    <w:p>
      <w:pPr>
        <w:spacing w:after="240"/>
      </w:pPr>
      <w:bookmarkStart w:id="345126" w:name="source_63"/>
      <w:r>
        <w:t xml:space="preserve">63. </w:t>
      </w:r>
      <w:bookmarkEnd w:id="345126"/>
      <w:hyperlink r:id="rId19">
        <w:r>
          <w:rPr>
            <w:color w:val="0563C1"/>
            <w:u w:val="single"/>
          </w:rPr>
          <w:t>https://telcomagazine.com/news/gsma-report-telcos-us-500bn-enterprise-pivot</w:t>
        </w:r>
      </w:hyperlink>
    </w:p>
    <w:p>
      <w:pPr>
        <w:spacing w:after="240"/>
      </w:pPr>
      <w:bookmarkStart w:id="447646" w:name="source_64"/>
      <w:r>
        <w:t xml:space="preserve">64. </w:t>
      </w:r>
      <w:bookmarkEnd w:id="447646"/>
      <w:hyperlink r:id="rId13">
        <w:r>
          <w:rPr>
            <w:color w:val="0563C1"/>
            <w:u w:val="single"/>
          </w:rPr>
          <w:t>https://webthesis.biblio.polito.it/13518/1/tesi.pdf</w:t>
        </w:r>
      </w:hyperlink>
    </w:p>
    <w:p>
      <w:pPr>
        <w:spacing w:after="240"/>
      </w:pPr>
      <w:bookmarkStart w:id="657581" w:name="source_65"/>
      <w:r>
        <w:t xml:space="preserve">65. </w:t>
      </w:r>
      <w:bookmarkEnd w:id="657581"/>
      <w:hyperlink r:id="rId26">
        <w:r>
          <w:rPr>
            <w:color w:val="0563C1"/>
            <w:u w:val="single"/>
          </w:rPr>
          <w:t>https://finance.yahoo.com/quote/TQIR.F/earnings/TQIR.F-Q2-2025-earnings_call-313811.html</w:t>
        </w:r>
      </w:hyperlink>
    </w:p>
    <w:p>
      <w:pPr>
        <w:spacing w:after="240"/>
      </w:pPr>
      <w:bookmarkStart w:id="441143" w:name="source_67"/>
      <w:r>
        <w:t xml:space="preserve">67. </w:t>
      </w:r>
      <w:bookmarkEnd w:id="441143"/>
      <w:hyperlink r:id="rId34">
        <w:r>
          <w:rPr>
            <w:color w:val="0563C1"/>
            <w:u w:val="single"/>
          </w:rPr>
          <w:t>https://cordis.europa.eu/project/id/101015922</w:t>
        </w:r>
      </w:hyperlink>
    </w:p>
    <w:p>
      <w:pPr>
        <w:spacing w:after="240"/>
      </w:pPr>
      <w:bookmarkStart w:id="521037" w:name="source_68"/>
      <w:r>
        <w:t xml:space="preserve">68. </w:t>
      </w:r>
      <w:bookmarkEnd w:id="521037"/>
      <w:hyperlink r:id="rId36">
        <w:r>
          <w:rPr>
            <w:color w:val="0563C1"/>
            <w:u w:val="single"/>
          </w:rPr>
          <w:t>http://businesschief.com/</w:t>
        </w:r>
      </w:hyperlink>
    </w:p>
    <w:p>
      <w:pPr>
        <w:spacing w:after="240"/>
      </w:pPr>
      <w:bookmarkStart w:id="700674" w:name="source_69"/>
      <w:r>
        <w:t xml:space="preserve">69. </w:t>
      </w:r>
      <w:bookmarkEnd w:id="700674"/>
      <w:hyperlink r:id="rId11">
        <w:r>
          <w:rPr>
            <w:color w:val="0563C1"/>
            <w:u w:val="single"/>
          </w:rPr>
          <w:t>https://www.gruppotim.it/content/dam/gt/investitori/doc---report-finanziari/2024/Annual%20report%202024.pdf</w:t>
        </w:r>
      </w:hyperlink>
    </w:p>
    <w:p>
      <w:pPr>
        <w:spacing w:after="240"/>
      </w:pPr>
      <w:bookmarkStart w:id="247793" w:name="source_70"/>
      <w:r>
        <w:t xml:space="preserve">70. </w:t>
      </w:r>
      <w:bookmarkEnd w:id="247793"/>
      <w:hyperlink r:id="rId27">
        <w:r>
          <w:rPr>
            <w:color w:val="0563C1"/>
            <w:u w:val="single"/>
          </w:rPr>
          <w:t>https://www.gruppotim.it/content/dam/gt/investitori/doc---report-finanziari/2021/Annual-report-2021.pdf</w:t>
        </w:r>
      </w:hyperlink>
    </w:p>
    <w:p>
      <w:pPr>
        <w:spacing w:after="240"/>
      </w:pPr>
      <w:bookmarkStart w:id="890119" w:name="source_71"/>
      <w:r>
        <w:t xml:space="preserve">71. </w:t>
      </w:r>
      <w:bookmarkEnd w:id="890119"/>
      <w:hyperlink r:id="rId25">
        <w:r>
          <w:rPr>
            <w:color w:val="0563C1"/>
            <w:u w:val="single"/>
          </w:rPr>
          <w:t>https://www.gruppotim.it/content/dam/gt/sostenibilit%C3%A0/doc-bilanci/2023/TIM-Sustainability-Report-2023-ENG.pdf</w:t>
        </w:r>
      </w:hyperlink>
    </w:p>
    <w:p>
      <w:pPr>
        <w:spacing w:after="240"/>
      </w:pPr>
      <w:bookmarkStart w:id="375076" w:name="source_72"/>
      <w:r>
        <w:t xml:space="preserve">72. </w:t>
      </w:r>
      <w:bookmarkEnd w:id="375076"/>
      <w:hyperlink r:id="rId28">
        <w:r>
          <w:rPr>
            <w:color w:val="0563C1"/>
            <w:u w:val="single"/>
          </w:rPr>
          <w:t>https://www.gruppotim.it/content/dam/gt/investitori/doc---report-finanziari/2022/Annual-report-2022.pdf</w:t>
        </w:r>
      </w:hyperlink>
    </w:p>
    <w:p>
      <w:pPr>
        <w:spacing w:after="240"/>
      </w:pPr>
      <w:bookmarkStart w:id="127097" w:name="source_73"/>
      <w:r>
        <w:t xml:space="preserve">73. </w:t>
      </w:r>
      <w:bookmarkEnd w:id="127097"/>
      <w:hyperlink r:id="rId21">
        <w:r>
          <w:rPr>
            <w:color w:val="0563C1"/>
            <w:u w:val="single"/>
          </w:rPr>
          <w:t>https://www.gruppotim.it/content/dam/gt/investitori/doc---avvisi/anno-2024/eng/Annual-report-2023.pdf</w:t>
        </w:r>
      </w:hyperlink>
    </w:p>
    <w:p>
      <w:pPr>
        <w:spacing w:after="240"/>
      </w:pPr>
      <w:bookmarkStart w:id="361237" w:name="source_74"/>
      <w:r>
        <w:t xml:space="preserve">74. </w:t>
      </w:r>
      <w:bookmarkEnd w:id="361237"/>
      <w:hyperlink r:id="rId12">
        <w:r>
          <w:rPr>
            <w:color w:val="0563C1"/>
            <w:u w:val="single"/>
          </w:rPr>
          <w:t>https://opentools.ai/news/tim-extends-free-perplexity-pro-access-a-leap-forward-in-ai-and-telecom</w:t>
        </w:r>
      </w:hyperlink>
    </w:p>
    <w:p>
      <w:pPr>
        <w:spacing w:after="240"/>
      </w:pPr>
      <w:bookmarkStart w:id="821284" w:name="source_75"/>
      <w:r>
        <w:t xml:space="preserve">75. </w:t>
      </w:r>
      <w:bookmarkEnd w:id="821284"/>
      <w:hyperlink r:id="rId10">
        <w:r>
          <w:rPr>
            <w:color w:val="0563C1"/>
            <w:u w:val="single"/>
          </w:rPr>
          <w:t>https://businesschief.eu/technology/ey-financial-services-genai-research</w:t>
        </w:r>
      </w:hyperlink>
    </w:p>
    <w:p>
      <w:pPr>
        <w:spacing w:after="240"/>
      </w:pPr>
      <w:bookmarkStart w:id="953641" w:name="source_78"/>
      <w:r>
        <w:t xml:space="preserve">78. </w:t>
      </w:r>
      <w:bookmarkEnd w:id="953641"/>
      <w:hyperlink r:id="rId14">
        <w:r>
          <w:rPr>
            <w:color w:val="0563C1"/>
            <w:u w:val="single"/>
          </w:rPr>
          <w:t>https://www.tipranks.com/news/company-announcements/tim-enterprise-unveils-e1-billion-investment-plan-to-boost-italys-digital-transformation</w:t>
        </w:r>
      </w:hyperlink>
    </w:p>
    <w:p>
      <w:pPr>
        <w:spacing w:after="240"/>
      </w:pPr>
      <w:bookmarkStart w:id="834" w:name="source_409"/>
      <w:r>
        <w:t xml:space="preserve">409. </w:t>
      </w:r>
      <w:bookmarkEnd w:id="834"/>
      <w:hyperlink r:id="rId37">
        <w:r>
          <w:rPr>
            <w:color w:val="0563C1"/>
            <w:u w:val="single"/>
          </w:rPr>
          <w:t>https://datatonic.com/case-studies/ai-booster-vodafone-supercharging-ai-ml-at-scale/</w:t>
        </w:r>
      </w:hyperlink>
    </w:p>
    <w:p>
      <w:pPr>
        <w:spacing w:after="240"/>
      </w:pPr>
      <w:bookmarkStart w:id="436186" w:name="source_410"/>
      <w:r>
        <w:t xml:space="preserve">410. </w:t>
      </w:r>
      <w:bookmarkEnd w:id="436186"/>
      <w:hyperlink r:id="rId38">
        <w:r>
          <w:rPr>
            <w:color w:val="0563C1"/>
            <w:u w:val="single"/>
          </w:rPr>
          <w:t>https://www.telekom.com/en/media/media-information/archive/agentic-ai-deutsche-telekom-partners-with-startup-n8n-1095912</w:t>
        </w:r>
      </w:hyperlink>
    </w:p>
    <w:p>
      <w:pPr>
        <w:spacing w:after="240"/>
      </w:pPr>
      <w:bookmarkStart w:id="522145" w:name="source_411"/>
      <w:r>
        <w:t xml:space="preserve">411. </w:t>
      </w:r>
      <w:bookmarkEnd w:id="522145"/>
      <w:hyperlink r:id="rId39">
        <w:r>
          <w:rPr>
            <w:color w:val="0563C1"/>
            <w:u w:val="single"/>
          </w:rPr>
          <w:t>https://newsroom.orange.com/orange-and-mistral-ai-join-forces-to-accelerate-artificial-intelligence-development-in-europe</w:t>
        </w:r>
      </w:hyperlink>
    </w:p>
    <w:p>
      <w:r>
        <w:br w:type="page"/>
      </w:r>
    </w:p>
    <w:p>
      <w:bookmarkStart w:id="1007" w:name="heading_1007"/>
      <w:pPr>
        <w:pStyle w:val="Heading1"/>
        <w:spacing w:after="240"/>
      </w:pPr>
      <w:r>
        <w:t>DISCLAIMER</w:t>
      </w:r>
      <w:bookmarkEnd w:id="1007"/>
    </w:p>
    <w:p>
      <w:pPr>
        <w:spacing w:after="240"/>
      </w:pPr>
      <w:r>
        <w:rPr>
          <w:sz w:val="18"/>
        </w:rPr>
        <w:t>Vitelis analyses, including blind spot assessments, efficiency scores, efficiency mining, efficiency reports, know your company, and statements in the content of this document (the "Content"), are opinions regarding the relative performance, potential risks, or efficiency of various entities as of the date such opinions are expressed. They are not statements of current or historical fact regarding the financial solidity, operational reliability, compliance posture, or definitive safety of transacting with any entity.</w:t>
      </w:r>
    </w:p>
    <w:p>
      <w:pPr>
        <w:spacing w:after="240"/>
      </w:pPr>
      <w:r>
        <w:rPr>
          <w:sz w:val="18"/>
        </w:rPr>
        <w:t>The Content is created, in part, by AI-based or algorithmic methods (the "AI Content"), using publicly available information, proprietary frameworks, and other data sources (the "Input Data") deemed reliable. Vitelis does not guarantee the authenticity, completeness, or accuracy of any Input Data. References, risk assessments, "Top Blind Spots," efficiency scores, or other summaries in the Content do not endorse, recommend, or solicit business with any entity, nor do they replace professional due diligence or independent financial, operational, or compliance audits.</w:t>
      </w:r>
    </w:p>
    <w:p>
      <w:pPr>
        <w:spacing w:after="120"/>
      </w:pPr>
      <w:r>
        <w:rPr>
          <w:b/>
          <w:sz w:val="18"/>
        </w:rPr>
        <w:t>Vitelis disclaims any and all express or implied warranties, including but not limited to:</w:t>
      </w:r>
    </w:p>
    <w:p>
      <w:pPr>
        <w:pStyle w:val="ListBullet"/>
        <w:spacing w:after="120"/>
      </w:pPr>
      <w:r>
        <w:rPr>
          <w:sz w:val="18"/>
        </w:rPr>
        <w:t>Merchantability or Fitness for a particular purpose or use.</w:t>
      </w:r>
    </w:p>
    <w:p>
      <w:pPr>
        <w:pStyle w:val="ListBullet"/>
        <w:spacing w:after="120"/>
      </w:pPr>
      <w:r>
        <w:rPr>
          <w:sz w:val="18"/>
        </w:rPr>
        <w:t>Accuracy, Completeness, or Timeliness of the Content, or results derived from it.</w:t>
      </w:r>
    </w:p>
    <w:p>
      <w:pPr>
        <w:pStyle w:val="ListBullet"/>
        <w:spacing w:after="120"/>
      </w:pPr>
      <w:r>
        <w:rPr>
          <w:sz w:val="18"/>
        </w:rPr>
        <w:t>Freedom from Errors in the AI Content, Input Data, or the software tools used to generate the analyses.</w:t>
      </w:r>
    </w:p>
    <w:p>
      <w:pPr>
        <w:pStyle w:val="ListBullet"/>
        <w:spacing w:after="120"/>
      </w:pPr>
      <w:r>
        <w:rPr>
          <w:sz w:val="18"/>
        </w:rPr>
        <w:t>Uninterrupted Functioning or compatibility of the Content with any external systems or software.</w:t>
      </w:r>
    </w:p>
    <w:p>
      <w:pPr>
        <w:pStyle w:val="ListBullet"/>
        <w:spacing w:after="120"/>
      </w:pPr>
      <w:r>
        <w:rPr>
          <w:sz w:val="18"/>
        </w:rPr>
        <w:t>Guarantee of future financial, operational, or compliance outcomes for any entity.</w:t>
      </w:r>
    </w:p>
    <w:p>
      <w:pPr>
        <w:spacing w:after="120"/>
      </w:pPr>
      <w:r>
        <w:rPr>
          <w:b/>
          <w:sz w:val="18"/>
        </w:rPr>
        <w:t>Data Privacy:</w:t>
      </w:r>
    </w:p>
    <w:p>
      <w:pPr>
        <w:pStyle w:val="ListBullet"/>
        <w:spacing w:after="120"/>
      </w:pPr>
      <w:r>
        <w:rPr>
          <w:sz w:val="18"/>
        </w:rPr>
        <w:t>Vitelis may process publicly available or user-provided information to generate AI-based insights. No personal data is intentionally collected or used, except if explicitly provided by the user for analysis, and in such cases, the user represents they have appropriate rights or consents to share it.</w:t>
      </w:r>
    </w:p>
    <w:p>
      <w:pPr>
        <w:pStyle w:val="ListBullet"/>
        <w:spacing w:after="120"/>
      </w:pPr>
      <w:r>
        <w:rPr>
          <w:sz w:val="18"/>
        </w:rPr>
        <w:t>Vitelis does not store or process sensitive personal data beyond what is necessary to perform the requested analyses. De-identified or aggregated data may be used to improve Vitelis's AI models or frameworks.</w:t>
      </w:r>
    </w:p>
    <w:p>
      <w:pPr>
        <w:pStyle w:val="ListBullet"/>
        <w:spacing w:after="120"/>
      </w:pPr>
      <w:r>
        <w:rPr>
          <w:sz w:val="18"/>
        </w:rPr>
        <w:t>Users should ensure no confidential data is provided to Vitelis without proper consent or anonymization. Vitelis is not responsible for unauthorized data disclosures if the user provides such data contrary to established guidelines.</w:t>
      </w:r>
    </w:p>
    <w:p>
      <w:pPr>
        <w:spacing w:after="120"/>
      </w:pPr>
      <w:r>
        <w:rPr>
          <w:b/>
          <w:sz w:val="18"/>
        </w:rPr>
        <w:t>AI-Generated Content:</w:t>
      </w:r>
    </w:p>
    <w:p>
      <w:pPr>
        <w:pStyle w:val="ListBullet"/>
        <w:spacing w:after="120"/>
      </w:pPr>
      <w:r>
        <w:rPr>
          <w:sz w:val="18"/>
        </w:rPr>
        <w:t>Part of the Content may be automatically generated or assisted by AI. Such AI output can include predictive statements, risk estimations, or efficiency approximations based on patterns in the Input Data.</w:t>
      </w:r>
    </w:p>
    <w:p>
      <w:pPr>
        <w:pStyle w:val="ListBullet"/>
        <w:spacing w:after="120"/>
      </w:pPr>
      <w:r>
        <w:rPr>
          <w:sz w:val="18"/>
        </w:rPr>
        <w:t>While Vitelis strives to validate AI outputs for reasonableness, AI-generated Content may contain inaccuracies, omissions, or speculative elements. Users are encouraged to independently verify critical insights.</w:t>
      </w:r>
    </w:p>
    <w:p>
      <w:pPr>
        <w:spacing w:after="120"/>
      </w:pPr>
      <w:r>
        <w:rPr>
          <w:b/>
          <w:sz w:val="18"/>
        </w:rPr>
        <w:t>Limitation of Liability:</w:t>
      </w:r>
    </w:p>
    <w:p>
      <w:pPr>
        <w:pStyle w:val="ListBullet"/>
        <w:spacing w:after="120"/>
      </w:pPr>
      <w:r>
        <w:rPr>
          <w:sz w:val="18"/>
        </w:rPr>
        <w:t>Under no circumstances shall Vitelis or its representatives be liable for any direct, indirect, special, incidental, or consequential damages (including, but not limited to, financial losses, business interruptions, reputational harm) arising from any party's use of or reliance on the Content.</w:t>
      </w:r>
    </w:p>
    <w:p>
      <w:pPr>
        <w:pStyle w:val="ListBullet"/>
        <w:spacing w:after="120"/>
      </w:pPr>
      <w:r>
        <w:rPr>
          <w:sz w:val="18"/>
        </w:rPr>
        <w:t>The user agrees that any decisions (e.g., financial, operational, compliance) made based on the Content are done at their own discretion and risk. Entities must corroborate these findings with internal governance, official audits, expert counsel, and relevant regulatory reviews.</w:t>
      </w:r>
    </w:p>
    <w:p>
      <w:pPr>
        <w:spacing w:after="120"/>
      </w:pPr>
      <w:r>
        <w:rPr>
          <w:b/>
          <w:sz w:val="18"/>
        </w:rPr>
        <w:t>No Guarantee or Endorsement:</w:t>
      </w:r>
    </w:p>
    <w:p>
      <w:pPr>
        <w:pStyle w:val="ListBullet"/>
        <w:spacing w:after="120"/>
      </w:pPr>
      <w:r>
        <w:rPr>
          <w:sz w:val="18"/>
        </w:rPr>
        <w:t>The Content is not a guarantee of an entity's future performance, stability, or compliance posture, nor is it an endorsement of any entity's services or products.</w:t>
      </w:r>
    </w:p>
    <w:p>
      <w:pPr>
        <w:pStyle w:val="ListBullet"/>
        <w:spacing w:after="120"/>
      </w:pPr>
      <w:r>
        <w:rPr>
          <w:sz w:val="18"/>
        </w:rPr>
        <w:t>Mention of third-party data sources, software, or entities does not imply a partnership, endorsement, or affiliation with those parties unless explicitly stated.</w:t>
      </w:r>
    </w:p>
    <w:p>
      <w:pPr>
        <w:spacing w:after="120"/>
      </w:pPr>
      <w:r>
        <w:rPr>
          <w:b/>
          <w:sz w:val="18"/>
        </w:rPr>
        <w:t>AI &amp; Model Transparency:</w:t>
      </w:r>
    </w:p>
    <w:p>
      <w:pPr>
        <w:pStyle w:val="ListBullet"/>
        <w:spacing w:after="120"/>
      </w:pPr>
      <w:r>
        <w:rPr>
          <w:sz w:val="18"/>
        </w:rPr>
        <w:t>Vitelis uses proprietary methods and AI models to generate the Content. The internal workings of these models may not be fully disclosed, and certain assumptions or heuristics may exist. No representation is made that AI results will mirror any official audit or regulatory findings.</w:t>
      </w:r>
    </w:p>
    <w:p>
      <w:pPr>
        <w:pStyle w:val="ListBullet"/>
        <w:spacing w:after="120"/>
      </w:pPr>
      <w:r>
        <w:rPr>
          <w:sz w:val="18"/>
        </w:rPr>
        <w:t>Vitelis reserves the right to revise or update its AI or frameworks without notice, which may lead to changed or revised Content outputs over time.</w:t>
      </w:r>
    </w:p>
    <w:p>
      <w:pPr>
        <w:spacing w:after="120"/>
      </w:pPr>
      <w:r>
        <w:rPr>
          <w:b/>
          <w:sz w:val="18"/>
        </w:rPr>
        <w:t>Future Changes &amp; Timeliness:</w:t>
      </w:r>
    </w:p>
    <w:p>
      <w:pPr>
        <w:pStyle w:val="ListBullet"/>
        <w:spacing w:after="120"/>
      </w:pPr>
      <w:r>
        <w:rPr>
          <w:sz w:val="18"/>
        </w:rPr>
        <w:t>The Content reflects Vitelis's opinion at a particular point in time and does not account for undisclosed or future changes in an entity's performance, strategy, or risk environment.</w:t>
      </w:r>
    </w:p>
    <w:p>
      <w:pPr>
        <w:pStyle w:val="ListBullet"/>
        <w:spacing w:after="120"/>
      </w:pPr>
      <w:r>
        <w:rPr>
          <w:sz w:val="18"/>
        </w:rPr>
        <w:t>Vitelis assumes no duty to update the Content if new data emerges or if the entity's circumstances shift.</w:t>
      </w:r>
    </w:p>
    <w:p>
      <w:pPr>
        <w:spacing w:after="120"/>
      </w:pPr>
      <w:r>
        <w:rPr>
          <w:b/>
          <w:sz w:val="18"/>
        </w:rPr>
        <w:t>Governing Law:</w:t>
      </w:r>
    </w:p>
    <w:p>
      <w:pPr>
        <w:pStyle w:val="ListBullet"/>
        <w:spacing w:after="120"/>
      </w:pPr>
      <w:r>
        <w:rPr>
          <w:sz w:val="18"/>
        </w:rPr>
        <w:t>The disclaimers, liability limitations, and warranties stated herein shall be governed by the laws of the jurisdiction in which Vitelis primarily operates or as stated in any service agreement with the user.</w:t>
      </w:r>
    </w:p>
    <w:p>
      <w:pPr>
        <w:pStyle w:val="ListBullet"/>
        <w:spacing w:after="120"/>
      </w:pPr>
      <w:r>
        <w:rPr>
          <w:sz w:val="18"/>
        </w:rPr>
        <w:t>Any legal disputes arising from or relating to the Content shall be handled in accordance with the applicable governing law and dispute resolution methods set forth in Vitelis's service agreements.</w:t>
      </w:r>
    </w:p>
    <w:p>
      <w:pPr>
        <w:spacing w:after="120"/>
      </w:pPr>
      <w:r>
        <w:rPr>
          <w:b/>
          <w:sz w:val="18"/>
        </w:rPr>
        <w:t>Consent to Terms:</w:t>
      </w:r>
    </w:p>
    <w:p>
      <w:pPr>
        <w:pStyle w:val="ListBullet"/>
        <w:spacing w:after="120"/>
      </w:pPr>
      <w:r>
        <w:rPr>
          <w:sz w:val="18"/>
        </w:rPr>
        <w:t>By accessing or using the Content, the user acknowledges they have read this Disclaimer thoroughly, agree to its terms, and accept that it forms part of any agreement or arrangement with Vitelis for receiving analyses or AI-based content.</w:t>
      </w:r>
    </w:p>
    <w:sectPr w:rsidR="00FC693F" w:rsidRPr="0006063C" w:rsidSect="00034616">
      <w:footerReference w:type="default" r:id="rId40"/>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0070C0"/>
        <w:sz w:val="18"/>
      </w:rPr>
      <w:t>Contact us: info@vitelis.com | www.vitelis.com</w:t>
      <w:br/>
    </w:r>
    <w:r>
      <w:rPr>
        <w:rFonts w:ascii="Aptos" w:hAnsi="Aptos"/>
        <w:color w:val="0070C0"/>
        <w:sz w:val="18"/>
      </w:rPr>
      <w:t>Please carefully read the disclaimer at the end of the document.</w:t>
      <w:br/>
    </w:r>
    <w:r>
      <w:rPr>
        <w:rFonts w:ascii="Aptos" w:hAnsi="Aptos"/>
        <w:color w:val="0070C0"/>
        <w:sz w:val="18"/>
      </w:rPr>
      <w:t>© 2026 Vitelis Inc.,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lay" w:hAnsi="Play" w:eastAsia="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businesschief.eu/technology/ey-financial-services-genai-research" TargetMode="External"/><Relationship Id="rId11" Type="http://schemas.openxmlformats.org/officeDocument/2006/relationships/hyperlink" Target="https://www.gruppotim.it/content/dam/gt/investitori/doc---report-finanziari/2024/Annual%20report%202024.pdf" TargetMode="External"/><Relationship Id="rId12" Type="http://schemas.openxmlformats.org/officeDocument/2006/relationships/hyperlink" Target="https://opentools.ai/news/tim-extends-free-perplexity-pro-access-a-leap-forward-in-ai-and-telecom" TargetMode="External"/><Relationship Id="rId13" Type="http://schemas.openxmlformats.org/officeDocument/2006/relationships/hyperlink" Target="https://webthesis.biblio.polito.it/13518/1/tesi.pdf" TargetMode="External"/><Relationship Id="rId14" Type="http://schemas.openxmlformats.org/officeDocument/2006/relationships/hyperlink" Target="https://www.tipranks.com/news/company-announcements/tim-enterprise-unveils-e1-billion-investment-plan-to-boost-italys-digital-transformation" TargetMode="External"/><Relationship Id="rId15" Type="http://schemas.openxmlformats.org/officeDocument/2006/relationships/hyperlink" Target="https://telcomagazine.com/news/juniper-highlights-d2d-5g-advanced-ai-ran-for-2026" TargetMode="External"/><Relationship Id="rId16" Type="http://schemas.openxmlformats.org/officeDocument/2006/relationships/hyperlink" Target="https://www.contextwindows.ai/use-cases/telecom-italia-tim-improving-customer-call-handling" TargetMode="External"/><Relationship Id="rId17" Type="http://schemas.openxmlformats.org/officeDocument/2006/relationships/hyperlink" Target="https://www.mobileeurope.co.uk/tim-enterprise-and-google-cloud-boost-cloud-and-ai-ties/" TargetMode="External"/><Relationship Id="rId18" Type="http://schemas.openxmlformats.org/officeDocument/2006/relationships/hyperlink" Target="https://www.gruppotim.it/en/innovation/innovation-news/ethics-ai.html" TargetMode="External"/><Relationship Id="rId19" Type="http://schemas.openxmlformats.org/officeDocument/2006/relationships/hyperlink" Target="https://telcomagazine.com/news/gsma-report-telcos-us-500bn-enterprise-pivot" TargetMode="External"/><Relationship Id="rId20" Type="http://schemas.openxmlformats.org/officeDocument/2006/relationships/hyperlink" Target="https://www.intesasanpaoloinnovationcenter.com/en/startup-development/acceleration/tim-ai-challenge/" TargetMode="External"/><Relationship Id="rId21" Type="http://schemas.openxmlformats.org/officeDocument/2006/relationships/hyperlink" Target="https://www.gruppotim.it/content/dam/gt/investitori/doc---avvisi/anno-2024/eng/Annual-report-2023.pdf" TargetMode="External"/><Relationship Id="rId22" Type="http://schemas.openxmlformats.org/officeDocument/2006/relationships/hyperlink" Target="https://www.gruppotim.it/en/innovation/technology/artificial-intelligence/ai-client.html" TargetMode="External"/><Relationship Id="rId23" Type="http://schemas.openxmlformats.org/officeDocument/2006/relationships/hyperlink" Target="https://www.microsoft.com/en/customers/story/1671674660129582194-tim-telecommunications-azure-ai-services" TargetMode="External"/><Relationship Id="rId24" Type="http://schemas.openxmlformats.org/officeDocument/2006/relationships/hyperlink" Target="https://www.tisparkle.com/media/press-release/sparkle-successfully-adopts-artificial-intelligence-network-management-and" TargetMode="External"/><Relationship Id="rId25" Type="http://schemas.openxmlformats.org/officeDocument/2006/relationships/hyperlink" Target="https://www.gruppotim.it/content/dam/gt/sostenibilit%C3%A0/doc-bilanci/2023/TIM-Sustainability-Report-2023-ENG.pdf" TargetMode="External"/><Relationship Id="rId26" Type="http://schemas.openxmlformats.org/officeDocument/2006/relationships/hyperlink" Target="https://finance.yahoo.com/quote/TQIR.F/earnings/TQIR.F-Q2-2025-earnings_call-313811.html" TargetMode="External"/><Relationship Id="rId27" Type="http://schemas.openxmlformats.org/officeDocument/2006/relationships/hyperlink" Target="https://www.gruppotim.it/content/dam/gt/investitori/doc---report-finanziari/2021/Annual-report-2021.pdf" TargetMode="External"/><Relationship Id="rId28" Type="http://schemas.openxmlformats.org/officeDocument/2006/relationships/hyperlink" Target="https://www.gruppotim.it/content/dam/gt/investitori/doc---report-finanziari/2022/Annual-report-2022.pdf" TargetMode="External"/><Relationship Id="rId29" Type="http://schemas.openxmlformats.org/officeDocument/2006/relationships/hyperlink" Target="https://voip.review/2025/07/24/tim-offers-free-perplexity-ai-revolutionizing-consumer-telecom/" TargetMode="External"/><Relationship Id="rId30" Type="http://schemas.openxmlformats.org/officeDocument/2006/relationships/hyperlink" Target="https://www.worldbenchmarkingalliance.org/publication/digital-inclusion/companies/telecom-italia-3/" TargetMode="External"/><Relationship Id="rId31" Type="http://schemas.openxmlformats.org/officeDocument/2006/relationships/hyperlink" Target="https://www.gruppotim.it/it/gruppo/cosa-facciamo/innovazione/open-ran.html" TargetMode="External"/><Relationship Id="rId32" Type="http://schemas.openxmlformats.org/officeDocument/2006/relationships/hyperlink" Target="https://www.gruppotim.it/en/innovation/technology/artificial-intelligence/ai-edge.html" TargetMode="External"/><Relationship Id="rId33" Type="http://schemas.openxmlformats.org/officeDocument/2006/relationships/hyperlink" Target="https://www.lightreading.com/ai-machine-learning/telecom-italia-s-ai-tie-up-with-microsoft-may-bring-job-cuts" TargetMode="External"/><Relationship Id="rId34" Type="http://schemas.openxmlformats.org/officeDocument/2006/relationships/hyperlink" Target="https://cordis.europa.eu/project/id/101015922" TargetMode="External"/><Relationship Id="rId35" Type="http://schemas.openxmlformats.org/officeDocument/2006/relationships/hyperlink" Target="https://www.mobileworldlive.com/ai-cloud/tim-latest-to-bring-perplexity-to-europe" TargetMode="External"/><Relationship Id="rId36" Type="http://schemas.openxmlformats.org/officeDocument/2006/relationships/hyperlink" Target="http://businesschief.com/" TargetMode="External"/><Relationship Id="rId37" Type="http://schemas.openxmlformats.org/officeDocument/2006/relationships/hyperlink" Target="https://datatonic.com/case-studies/ai-booster-vodafone-supercharging-ai-ml-at-scale/" TargetMode="External"/><Relationship Id="rId38" Type="http://schemas.openxmlformats.org/officeDocument/2006/relationships/hyperlink" Target="https://www.telekom.com/en/media/media-information/archive/agentic-ai-deutsche-telekom-partners-with-startup-n8n-1095912" TargetMode="External"/><Relationship Id="rId39" Type="http://schemas.openxmlformats.org/officeDocument/2006/relationships/hyperlink" Target="https://newsroom.orange.com/orange-and-mistral-ai-join-forces-to-accelerate-artificial-intelligence-development-in-europe"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