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Lease Abstract — Northgate Business Park</w:t>
      </w:r>
    </w:p>
    <w:p>
      <w:r>
        <w:t xml:space="preserve">This abstract summarizes the principal lease terms governing the anchor tenancy at Northgate Business Park. It is provided for underwriting reference and does not modify or supersede the executed lease agreement.</w:t>
      </w:r>
    </w:p>
    <w:p>
      <w:pPr>
        <w:pStyle w:val="Heading2"/>
      </w:pPr>
      <w:r>
        <w:t xml:space="preserve">Premises</w:t>
      </w:r>
    </w:p>
    <w:p>
      <w:r>
        <w:t xml:space="preserve">The premises consist of approximately 92,000 rentable square feet across Building A, Suites 100–450, together with 220 surface parking spaces and non-exclusive use of the shared loading area on the east side of the property.</w:t>
      </w:r>
    </w:p>
    <w:p>
      <w:pPr>
        <w:pStyle w:val="Heading2"/>
      </w:pPr>
      <w:r>
        <w:t xml:space="preserve">Term</w:t>
      </w:r>
    </w:p>
    <w:p>
      <w:r>
        <w:t xml:space="preserve">The initial lease term is ten years, commencing April 1, 2025 and expiring March 31, 2035, with no early termination right in favor of either party during the initial term.</w:t>
      </w:r>
    </w:p>
    <w:p>
      <w:pPr>
        <w:pStyle w:val="Heading2"/>
      </w:pPr>
      <w:r>
        <w:t xml:space="preserve">Rent Schedule</w:t>
      </w:r>
    </w:p>
    <w:p>
      <w:r>
        <w:t xml:space="preserve">Base rent commences at $34.50 per square foot in year one, escalating 3% annually on each anniversary of the commencement date. Rent is payable in equal monthly installments in advance.</w:t>
      </w:r>
    </w:p>
    <w:p>
      <w:pPr>
        <w:pStyle w:val="Heading2"/>
      </w:pPr>
      <w:r>
        <w:t xml:space="preserve">Operating Expenses &amp; Reimbursements</w:t>
      </w:r>
    </w:p>
    <w:p>
      <w:r>
        <w:t xml:space="preserve">Tenant reimburses its pro rata share of operating expenses and real estate taxes on a triple-net basis, subject to a controllable-expense cap of 5% per annum on a cumulative, compounding basis.</w:t>
      </w:r>
    </w:p>
    <w:p>
      <w:pPr>
        <w:pStyle w:val="Heading2"/>
      </w:pPr>
      <w:r>
        <w:t xml:space="preserve">Renewal Options</w:t>
      </w:r>
    </w:p>
    <w:p>
      <w:r>
        <w:t xml:space="preserve">Tenant holds two successive five-year renewal options, exercisable at 95% of then-prevailing fair market rent, conditioned on twelve months' prior written notice and tenant not being in monetary default at the time of exercise.</w:t>
      </w:r>
    </w:p>
    <w:p>
      <w:pPr>
        <w:pStyle w:val="Heading2"/>
      </w:pPr>
      <w:r>
        <w:t xml:space="preserve">Tenant Covenants</w:t>
      </w:r>
    </w:p>
    <w:p>
      <w:r>
        <w:t xml:space="preserve">The anchor tenant, Vantage Fulfillment Co., leases 62% of the net rentable area and is subject to a continuous-operation covenant requiring the premises to remain open for business during the entire initial term.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Lease Abstract — Northgate Business Park</dc:title>
  <dc:creator>Evidence Ops Fixture Generator</dc:creator>
  <dc:description>Synthetic evidence-ops fixture</dc:description>
  <cp:lastModifiedBy>Evidence Ops Fixture Generator</cp:lastModifiedBy>
  <cp:revision>1</cp:revision>
  <dcterms:created xsi:type="dcterms:W3CDTF">2026-01-01T00:00:00.000Z</dcterms:created>
  <dcterms:modified xsi:type="dcterms:W3CDTF">2026-01-01T00:00:00.000Z</dcterms:modified>
</cp:coreProperties>
</file>

<file path=docProps/custom.xml><?xml version="1.0" encoding="utf-8"?>
<Properties xmlns="http://schemas.openxmlformats.org/officeDocument/2006/custom-properties" xmlns:vt="http://schemas.openxmlformats.org/officeDocument/2006/docPropsVTypes"/>
</file>