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FE2" w14:textId="3E495B62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64E1" w:rsidRPr="001A64E1">
            <w:t xml:space="preserve">Packet Tracer </w:t>
          </w:r>
          <w:r w:rsidR="00721E03">
            <w:t>-</w:t>
          </w:r>
          <w:r w:rsidR="001A64E1" w:rsidRPr="001A64E1">
            <w:t xml:space="preserve"> Troubleshooting Challenge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624C2248" w14:textId="77777777" w:rsidR="00D778DF" w:rsidRPr="009A1CF4" w:rsidRDefault="00D778DF" w:rsidP="006530EC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335"/>
        <w:gridCol w:w="2160"/>
        <w:gridCol w:w="3060"/>
        <w:gridCol w:w="2515"/>
      </w:tblGrid>
      <w:tr w:rsidR="00F41571" w14:paraId="3B569C23" w14:textId="77777777" w:rsidTr="00C1505E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291419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291419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291419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291419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291419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291419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291419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291419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291419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A69EC" w14:textId="5408ECE4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2E42E0" w14:textId="72097852" w:rsidR="00E4203F" w:rsidRPr="00083FED" w:rsidRDefault="00E4203F" w:rsidP="00291419">
            <w:pPr>
              <w:pStyle w:val="ConfigWindow"/>
            </w:pPr>
            <w:r w:rsidRPr="00083FED"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516CEC" w14:textId="77777777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5F4D2793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011409" w14:textId="02AA4539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6A49A1" w14:textId="548E5F05" w:rsidR="00E4203F" w:rsidRPr="00083FED" w:rsidRDefault="00E4203F" w:rsidP="00291419">
            <w:pPr>
              <w:pStyle w:val="ConfigWindow"/>
            </w:pPr>
            <w:r w:rsidRPr="00083FED"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7714411" w14:textId="1C28A4CA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2C028B06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29F82F" w14:textId="39D2CC79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9C39C5" w14:textId="66FB12A0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613D8B" w14:textId="78C4CF8C" w:rsidR="00E4203F" w:rsidRPr="00083FED" w:rsidRDefault="00E4203F" w:rsidP="00291419">
            <w:pPr>
              <w:pStyle w:val="ConfigWindow"/>
            </w:pPr>
            <w:r w:rsidRPr="00083FED"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63E0F4" w14:textId="77777777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1DF385F8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01553B" w14:textId="71CCC033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02F92E0" w14:textId="56B25612" w:rsidR="00E4203F" w:rsidRPr="00083FED" w:rsidRDefault="00E4203F" w:rsidP="00291419">
            <w:pPr>
              <w:pStyle w:val="ConfigWindow"/>
            </w:pPr>
            <w:r w:rsidRPr="00083FED"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auto"/>
            <w:vAlign w:val="center"/>
          </w:tcPr>
          <w:p w14:paraId="737656F9" w14:textId="471EE77C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08CFB6DE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D8C42" w14:textId="4D3E7498" w:rsidR="00E4203F" w:rsidRPr="00083FED" w:rsidRDefault="00E4203F" w:rsidP="00291419">
            <w:pPr>
              <w:pStyle w:val="ConfigWindow"/>
            </w:pPr>
            <w:r w:rsidRPr="00083FED"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5A989D" w14:textId="4C10A19A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::2/64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DD583C" w14:textId="35143A1F" w:rsidR="00E4203F" w:rsidRPr="00083FED" w:rsidRDefault="00E4203F" w:rsidP="00291419">
            <w:pPr>
              <w:pStyle w:val="ConfigWindow"/>
            </w:pPr>
            <w:r w:rsidRPr="00083FED"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28EC824" w14:textId="64067F0B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52B84D82" w14:textId="2864F2C8" w:rsidR="00E4203F" w:rsidRPr="001B0585" w:rsidRDefault="00E4203F" w:rsidP="00291419">
            <w:pPr>
              <w:pStyle w:val="ConfigWindow"/>
            </w:pPr>
            <w:r w:rsidRPr="00083FED">
              <w:t>fe80::1</w:t>
            </w:r>
          </w:p>
        </w:tc>
      </w:tr>
      <w:tr w:rsidR="00F41571" w14:paraId="5393805D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C1505E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B05F47" w14:textId="7E125095" w:rsidR="00E4203F" w:rsidRPr="009C342E" w:rsidRDefault="00E4203F" w:rsidP="00291419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440B6B" w14:textId="6027E0FF" w:rsidR="00E4203F" w:rsidRDefault="00E4203F" w:rsidP="00291419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:1::2/64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C1505E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439B" w14:textId="704542A7" w:rsidR="00E4203F" w:rsidRPr="009C342E" w:rsidRDefault="00E4203F" w:rsidP="00291419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7E67" w14:textId="4DC21010" w:rsidR="00E4203F" w:rsidRPr="005C357F" w:rsidRDefault="00E4203F" w:rsidP="00291419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FCB879B" w14:textId="438545CF" w:rsidR="00E4203F" w:rsidRPr="001B0585" w:rsidRDefault="00E4203F" w:rsidP="00291419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7638D" w14:textId="30AC46B0" w:rsidR="00E4203F" w:rsidRPr="00083FED" w:rsidRDefault="00E4203F" w:rsidP="00291419">
            <w:pPr>
              <w:pStyle w:val="ConfigWindow"/>
            </w:pPr>
            <w:r w:rsidRPr="00083FED"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82F129" w14:textId="74EF7D23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04A9C9" w14:textId="1F6A1164" w:rsidR="00E4203F" w:rsidRPr="00083FED" w:rsidRDefault="00E4203F" w:rsidP="00291419">
            <w:pPr>
              <w:pStyle w:val="ConfigWindow"/>
            </w:pPr>
            <w:r w:rsidRPr="00083FED">
              <w:lastRenderedPageBreak/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9F28473" w14:textId="29848F6A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auto"/>
            <w:vAlign w:val="center"/>
          </w:tcPr>
          <w:p w14:paraId="0CA31D1B" w14:textId="0822EF8C" w:rsidR="00E4203F" w:rsidRPr="001B0585" w:rsidRDefault="00E4203F" w:rsidP="00291419">
            <w:pPr>
              <w:pStyle w:val="ConfigWindow"/>
            </w:pPr>
            <w:r w:rsidRPr="00083FED">
              <w:t>fe80::1</w:t>
            </w:r>
          </w:p>
        </w:tc>
      </w:tr>
      <w:tr w:rsidR="00F41571" w14:paraId="260419D9" w14:textId="77777777" w:rsidTr="00C1505E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291419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291419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acad</w:t>
            </w:r>
            <w:r w:rsidRPr="001B0585">
              <w:t>::3/64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C1505E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291419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291419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291419">
            <w:pPr>
              <w:pStyle w:val="ConfigWindow"/>
            </w:pPr>
            <w:r>
              <w:t>fe0::1</w:t>
            </w:r>
          </w:p>
        </w:tc>
      </w:tr>
    </w:tbl>
    <w:p w14:paraId="68B4B93C" w14:textId="77777777" w:rsidR="00C1505E" w:rsidRDefault="00C1505E" w:rsidP="00C1505E">
      <w:pPr>
        <w:pStyle w:val="ConfigWindow"/>
      </w:pPr>
      <w:r>
        <w:t>Blank Line, No additional information</w:t>
      </w:r>
    </w:p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243C8D73" w:rsidR="007904B4" w:rsidRPr="007904B4" w:rsidRDefault="007904B4" w:rsidP="007904B4">
      <w:pPr>
        <w:pStyle w:val="Bulletlevel1"/>
      </w:pPr>
      <w:r w:rsidRPr="007904B4">
        <w:t xml:space="preserve">Admin username and </w:t>
      </w:r>
      <w:r w:rsidR="00DC7C7C">
        <w:t>secret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37BD9412" w14:textId="025B4EB1" w:rsidR="00A81353" w:rsidRDefault="00A81353" w:rsidP="001D6A56">
      <w:pPr>
        <w:pStyle w:val="BodyTextL25"/>
      </w:pPr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7EE6558B" w14:textId="04942E5A" w:rsidR="006513FB" w:rsidRPr="004A76A6" w:rsidRDefault="006513FB" w:rsidP="004A76A6">
      <w:pPr>
        <w:pStyle w:val="Heading1"/>
        <w:rPr>
          <w:rStyle w:val="Heading1Gray"/>
        </w:rPr>
      </w:pPr>
      <w:r w:rsidRPr="004A76A6">
        <w:rPr>
          <w:rStyle w:val="Heading1Gray"/>
        </w:rPr>
        <w:t>Configs</w:t>
      </w:r>
    </w:p>
    <w:p w14:paraId="656CC1FC" w14:textId="77777777" w:rsidR="001A64E1" w:rsidRPr="004A76A6" w:rsidRDefault="001A64E1" w:rsidP="004A76A6">
      <w:pPr>
        <w:pStyle w:val="Heading2"/>
        <w:numPr>
          <w:ilvl w:val="0"/>
          <w:numId w:val="0"/>
        </w:numPr>
        <w:rPr>
          <w:rStyle w:val="Heading2Gray"/>
        </w:rPr>
      </w:pPr>
      <w:r w:rsidRPr="004A76A6">
        <w:rPr>
          <w:rStyle w:val="Heading2Gray"/>
        </w:rPr>
        <w:t>R1 Configuration</w:t>
      </w:r>
    </w:p>
    <w:p w14:paraId="185AD091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interface GigabitEthernet0/1</w:t>
      </w:r>
    </w:p>
    <w:p w14:paraId="6F00135B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 xml:space="preserve"> ip address 172.16.1.126 255.255.255.192</w:t>
      </w:r>
    </w:p>
    <w:p w14:paraId="70F36B3D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username Admin1 secret Admin1pa55</w:t>
      </w:r>
    </w:p>
    <w:p w14:paraId="4565F3A1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line vty 0 4</w:t>
      </w:r>
    </w:p>
    <w:p w14:paraId="734033B0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 xml:space="preserve"> transport input ssh</w:t>
      </w:r>
    </w:p>
    <w:p w14:paraId="010BDCBB" w14:textId="77777777" w:rsidR="001A64E1" w:rsidRPr="004A76A6" w:rsidRDefault="001A64E1" w:rsidP="004A76A6">
      <w:pPr>
        <w:pStyle w:val="Heading2"/>
        <w:numPr>
          <w:ilvl w:val="0"/>
          <w:numId w:val="0"/>
        </w:numPr>
        <w:rPr>
          <w:rStyle w:val="Heading2Gray"/>
        </w:rPr>
      </w:pPr>
      <w:r w:rsidRPr="004A76A6">
        <w:rPr>
          <w:rStyle w:val="Heading2Gray"/>
        </w:rPr>
        <w:t>S1 Configuration</w:t>
      </w:r>
    </w:p>
    <w:p w14:paraId="3F1F93BA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No Change</w:t>
      </w:r>
    </w:p>
    <w:p w14:paraId="39731D57" w14:textId="77777777" w:rsidR="001A64E1" w:rsidRPr="00312CEE" w:rsidRDefault="001A64E1" w:rsidP="00312CEE">
      <w:pPr>
        <w:pStyle w:val="Heading2"/>
        <w:numPr>
          <w:ilvl w:val="0"/>
          <w:numId w:val="0"/>
        </w:numPr>
        <w:rPr>
          <w:rStyle w:val="Heading2Gray"/>
        </w:rPr>
      </w:pPr>
      <w:r w:rsidRPr="00312CEE">
        <w:rPr>
          <w:rStyle w:val="Heading2Gray"/>
        </w:rPr>
        <w:t>S2 Configuration</w:t>
      </w:r>
    </w:p>
    <w:p w14:paraId="10395E96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interface Vlan1</w:t>
      </w:r>
    </w:p>
    <w:p w14:paraId="03EE5B04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 xml:space="preserve"> ip address 172.16.1.125 255.255.255.192</w:t>
      </w:r>
    </w:p>
    <w:p w14:paraId="6A26569B" w14:textId="77777777" w:rsidR="001A64E1" w:rsidRPr="004A76A6" w:rsidRDefault="001A64E1" w:rsidP="004A76A6">
      <w:pPr>
        <w:pStyle w:val="Heading2"/>
        <w:numPr>
          <w:ilvl w:val="0"/>
          <w:numId w:val="0"/>
        </w:numPr>
        <w:rPr>
          <w:rStyle w:val="Heading2Gray"/>
        </w:rPr>
      </w:pPr>
      <w:r w:rsidRPr="004A76A6">
        <w:rPr>
          <w:rStyle w:val="Heading2Gray"/>
        </w:rPr>
        <w:lastRenderedPageBreak/>
        <w:t>S3 Configuration</w:t>
      </w:r>
    </w:p>
    <w:p w14:paraId="5BD57450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No Change</w:t>
      </w:r>
    </w:p>
    <w:p w14:paraId="26DC1281" w14:textId="77777777" w:rsidR="001A64E1" w:rsidRPr="004A76A6" w:rsidRDefault="001A64E1" w:rsidP="004A76A6">
      <w:pPr>
        <w:pStyle w:val="Heading2"/>
        <w:numPr>
          <w:ilvl w:val="0"/>
          <w:numId w:val="0"/>
        </w:numPr>
        <w:rPr>
          <w:rStyle w:val="Heading2Gray"/>
        </w:rPr>
      </w:pPr>
      <w:r w:rsidRPr="004A76A6">
        <w:rPr>
          <w:rStyle w:val="Heading2Gray"/>
        </w:rPr>
        <w:t>IT PC Configuration</w:t>
      </w:r>
    </w:p>
    <w:p w14:paraId="63BEB8DA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Incorrect IPv4 address</w:t>
      </w:r>
    </w:p>
    <w:p w14:paraId="26C662CE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Incorrect default gateway</w:t>
      </w:r>
    </w:p>
    <w:p w14:paraId="23C949FC" w14:textId="77777777" w:rsidR="001A64E1" w:rsidRPr="004A76A6" w:rsidRDefault="001A64E1" w:rsidP="004A76A6">
      <w:pPr>
        <w:pStyle w:val="Heading2"/>
        <w:numPr>
          <w:ilvl w:val="0"/>
          <w:numId w:val="0"/>
        </w:numPr>
        <w:rPr>
          <w:rStyle w:val="Heading2Gray"/>
        </w:rPr>
      </w:pPr>
      <w:r w:rsidRPr="004A76A6">
        <w:rPr>
          <w:rStyle w:val="Heading2Gray"/>
        </w:rPr>
        <w:t>Marketing PC Configuration</w:t>
      </w:r>
    </w:p>
    <w:p w14:paraId="7C281785" w14:textId="77777777" w:rsidR="001A64E1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No Change</w:t>
      </w:r>
    </w:p>
    <w:p w14:paraId="291B3464" w14:textId="77777777" w:rsidR="001A64E1" w:rsidRPr="004A76A6" w:rsidRDefault="001A64E1" w:rsidP="004A76A6">
      <w:pPr>
        <w:pStyle w:val="Heading2"/>
        <w:numPr>
          <w:ilvl w:val="0"/>
          <w:numId w:val="0"/>
        </w:numPr>
        <w:rPr>
          <w:rStyle w:val="Heading2Gray"/>
        </w:rPr>
      </w:pPr>
      <w:r w:rsidRPr="004A76A6">
        <w:rPr>
          <w:rStyle w:val="Heading2Gray"/>
        </w:rPr>
        <w:t>R&amp;D PC Configuration</w:t>
      </w:r>
    </w:p>
    <w:p w14:paraId="15FAA3E9" w14:textId="2E31FECD" w:rsidR="00ED2EA2" w:rsidRPr="004A76A6" w:rsidRDefault="001A64E1" w:rsidP="004A76A6">
      <w:pPr>
        <w:pStyle w:val="DevConfigs"/>
        <w:rPr>
          <w:rStyle w:val="DevConfigGray"/>
        </w:rPr>
      </w:pPr>
      <w:r w:rsidRPr="004A76A6">
        <w:rPr>
          <w:rStyle w:val="DevConfigGray"/>
        </w:rPr>
        <w:t>Incorrect IPv6 address</w:t>
      </w:r>
    </w:p>
    <w:p w14:paraId="4A63048E" w14:textId="77777777" w:rsidR="004A76A6" w:rsidRDefault="004A76A6" w:rsidP="004A76A6">
      <w:pPr>
        <w:pStyle w:val="ConfigWindow"/>
      </w:pPr>
      <w:r>
        <w:t>End of document</w:t>
      </w:r>
    </w:p>
    <w:sectPr w:rsidR="004A76A6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E6B8" w14:textId="77777777" w:rsidR="00FF4C4F" w:rsidRDefault="00FF4C4F" w:rsidP="00710659">
      <w:pPr>
        <w:spacing w:after="0" w:line="240" w:lineRule="auto"/>
      </w:pPr>
      <w:r>
        <w:separator/>
      </w:r>
    </w:p>
    <w:p w14:paraId="7B7EE925" w14:textId="77777777" w:rsidR="00FF4C4F" w:rsidRDefault="00FF4C4F"/>
  </w:endnote>
  <w:endnote w:type="continuationSeparator" w:id="0">
    <w:p w14:paraId="32CEC8DD" w14:textId="77777777" w:rsidR="00FF4C4F" w:rsidRDefault="00FF4C4F" w:rsidP="00710659">
      <w:pPr>
        <w:spacing w:after="0" w:line="240" w:lineRule="auto"/>
      </w:pPr>
      <w:r>
        <w:continuationSeparator/>
      </w:r>
    </w:p>
    <w:p w14:paraId="41FC8992" w14:textId="77777777" w:rsidR="00FF4C4F" w:rsidRDefault="00FF4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AE01" w14:textId="3235EA6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C7C7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35DF" w14:textId="10ACEED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C7C7C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8754" w14:textId="77777777" w:rsidR="00FF4C4F" w:rsidRDefault="00FF4C4F" w:rsidP="00710659">
      <w:pPr>
        <w:spacing w:after="0" w:line="240" w:lineRule="auto"/>
      </w:pPr>
      <w:r>
        <w:separator/>
      </w:r>
    </w:p>
    <w:p w14:paraId="484A8851" w14:textId="77777777" w:rsidR="00FF4C4F" w:rsidRDefault="00FF4C4F"/>
  </w:footnote>
  <w:footnote w:type="continuationSeparator" w:id="0">
    <w:p w14:paraId="6ADC2568" w14:textId="77777777" w:rsidR="00FF4C4F" w:rsidRDefault="00FF4C4F" w:rsidP="00710659">
      <w:pPr>
        <w:spacing w:after="0" w:line="240" w:lineRule="auto"/>
      </w:pPr>
      <w:r>
        <w:continuationSeparator/>
      </w:r>
    </w:p>
    <w:p w14:paraId="1A93EF9C" w14:textId="77777777" w:rsidR="00FF4C4F" w:rsidRDefault="00FF4C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84EC0F1" w14:textId="7E0B466D" w:rsidR="00926CB2" w:rsidRDefault="00721E03" w:rsidP="008402F2">
        <w:pPr>
          <w:pStyle w:val="PageHead"/>
        </w:pPr>
        <w:r>
          <w:t>Packet Tracer -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0148D9"/>
    <w:multiLevelType w:val="multilevel"/>
    <w:tmpl w:val="A240E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87994720">
    <w:abstractNumId w:val="9"/>
    <w:lvlOverride w:ilvl="0">
      <w:lvl w:ilvl="0">
        <w:start w:val="1"/>
        <w:numFmt w:val="bullet"/>
        <w:pStyle w:val="Bulletlevel1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1386484146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74500715">
    <w:abstractNumId w:val="4"/>
  </w:num>
  <w:num w:numId="4" w16cid:durableId="1740665460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70628440">
    <w:abstractNumId w:val="6"/>
  </w:num>
  <w:num w:numId="6" w16cid:durableId="1035153288">
    <w:abstractNumId w:val="0"/>
  </w:num>
  <w:num w:numId="7" w16cid:durableId="188301708">
    <w:abstractNumId w:val="1"/>
  </w:num>
  <w:num w:numId="8" w16cid:durableId="1818305487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48127777">
    <w:abstractNumId w:val="6"/>
  </w:num>
  <w:num w:numId="10" w16cid:durableId="1989940719">
    <w:abstractNumId w:val="3"/>
  </w:num>
  <w:num w:numId="11" w16cid:durableId="548028809">
    <w:abstractNumId w:val="5"/>
  </w:num>
  <w:num w:numId="12" w16cid:durableId="556017455">
    <w:abstractNumId w:val="9"/>
  </w:num>
  <w:num w:numId="13" w16cid:durableId="2102681515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 w16cid:durableId="687491978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96781447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52627604">
    <w:abstractNumId w:val="2"/>
  </w:num>
  <w:num w:numId="17" w16cid:durableId="895581954">
    <w:abstractNumId w:val="10"/>
  </w:num>
  <w:num w:numId="18" w16cid:durableId="12121167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704298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141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2CEE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A76A6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362E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1E03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E10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049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05E"/>
    <w:rsid w:val="00C162C0"/>
    <w:rsid w:val="00C1712C"/>
    <w:rsid w:val="00C20634"/>
    <w:rsid w:val="00C212E0"/>
    <w:rsid w:val="00C236DB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248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C7C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4C4F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9141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9141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9141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9141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9141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141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141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141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9141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141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141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9141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9141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914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9141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91419"/>
    <w:pPr>
      <w:ind w:left="720"/>
    </w:pPr>
  </w:style>
  <w:style w:type="paragraph" w:styleId="Header">
    <w:name w:val="header"/>
    <w:basedOn w:val="Normal"/>
    <w:link w:val="HeaderChar"/>
    <w:unhideWhenUsed/>
    <w:rsid w:val="00291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141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9141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9141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1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41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9141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91419"/>
  </w:style>
  <w:style w:type="table" w:styleId="TableGrid">
    <w:name w:val="Table Grid"/>
    <w:basedOn w:val="TableNormal"/>
    <w:uiPriority w:val="59"/>
    <w:rsid w:val="0029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9141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91419"/>
    <w:pPr>
      <w:numPr>
        <w:numId w:val="12"/>
      </w:numPr>
    </w:pPr>
  </w:style>
  <w:style w:type="paragraph" w:customStyle="1" w:styleId="Bulletlevel2">
    <w:name w:val="Bullet level 2"/>
    <w:basedOn w:val="BodyTextL25"/>
    <w:qFormat/>
    <w:rsid w:val="0029141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9141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76A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9141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9141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9141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9141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9141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9141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9141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141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141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9141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9141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9141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9141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9141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9141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91419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29141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9141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91419"/>
    <w:rPr>
      <w:color w:val="EE0000"/>
    </w:rPr>
  </w:style>
  <w:style w:type="paragraph" w:customStyle="1" w:styleId="BodyTextL25Bold">
    <w:name w:val="Body Text L25 Bold"/>
    <w:basedOn w:val="BodyTextL25"/>
    <w:qFormat/>
    <w:rsid w:val="0029141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9141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914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91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914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4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1419"/>
    <w:rPr>
      <w:b/>
      <w:bCs/>
    </w:rPr>
  </w:style>
  <w:style w:type="paragraph" w:customStyle="1" w:styleId="ReflectionQ">
    <w:name w:val="Reflection Q"/>
    <w:basedOn w:val="BodyTextL25"/>
    <w:qFormat/>
    <w:rsid w:val="0029141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9141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9141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914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914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9141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9141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9141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9141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9141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9141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9141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141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9141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9141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9141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9141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9141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9141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9141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9141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9141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9141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914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9141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9141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9141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9141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9141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9141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9141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9141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9141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9141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9141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9141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9141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9141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9141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9141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91419"/>
    <w:rPr>
      <w:b/>
    </w:rPr>
  </w:style>
  <w:style w:type="character" w:customStyle="1" w:styleId="CMDChar">
    <w:name w:val="CMD Char"/>
    <w:basedOn w:val="DefaultParagraphFont"/>
    <w:link w:val="CMD"/>
    <w:rsid w:val="0029141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9141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9141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9141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91419"/>
    <w:rPr>
      <w:color w:val="808080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29141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291419"/>
    <w:rPr>
      <w:color w:val="EE0000"/>
    </w:rPr>
  </w:style>
  <w:style w:type="character" w:customStyle="1" w:styleId="CMDRedChar">
    <w:name w:val="CMD Red Char"/>
    <w:basedOn w:val="CMDChar"/>
    <w:link w:val="CMDRed"/>
    <w:rsid w:val="0029141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9141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91419"/>
    <w:rPr>
      <w:szCs w:val="22"/>
    </w:rPr>
  </w:style>
  <w:style w:type="character" w:customStyle="1" w:styleId="CMDOutputChar">
    <w:name w:val="CMD Output Char"/>
    <w:basedOn w:val="BodyTextL25Char"/>
    <w:link w:val="CMDOutput"/>
    <w:rsid w:val="0029141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9141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91419"/>
  </w:style>
  <w:style w:type="paragraph" w:customStyle="1" w:styleId="TableAnswer">
    <w:name w:val="Table Answer"/>
    <w:basedOn w:val="TableText"/>
    <w:qFormat/>
    <w:rsid w:val="00291419"/>
  </w:style>
  <w:style w:type="character" w:customStyle="1" w:styleId="Heading2Gray">
    <w:name w:val="Heading 2 Gray"/>
    <w:basedOn w:val="Heading2Char"/>
    <w:uiPriority w:val="1"/>
    <w:qFormat/>
    <w:rsid w:val="0029141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9141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9141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9141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9141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9141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9141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9141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1953AB"/>
    <w:rsid w:val="002A2E4B"/>
    <w:rsid w:val="0036167B"/>
    <w:rsid w:val="0054154E"/>
    <w:rsid w:val="00597D18"/>
    <w:rsid w:val="0074177A"/>
    <w:rsid w:val="008C6C43"/>
    <w:rsid w:val="008D66F6"/>
    <w:rsid w:val="00A96077"/>
    <w:rsid w:val="00AD7939"/>
    <w:rsid w:val="00BB3DFE"/>
    <w:rsid w:val="00C45A74"/>
    <w:rsid w:val="00D40B4F"/>
    <w:rsid w:val="00D47ABC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9" ma:contentTypeDescription="Create a new document." ma:contentTypeScope="" ma:versionID="0375978224eca4aeb78b7ba86ac1033c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457d9a46ed9cd6c2ce95cb3d449ba463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D64E2-BBAB-4F40-8EFB-452156C666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174DE-6F5B-492E-B66A-66FEF758E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67116-49DE-4794-BC68-442BC8D6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Troubleshooting Challenge</dc:title>
  <dc:creator>Martin Benson</dc:creator>
  <dc:description>2019</dc:description>
  <cp:lastModifiedBy>Suk-Yi Pennock -X (spennock - UNICON INC at Cisco)</cp:lastModifiedBy>
  <cp:revision>5</cp:revision>
  <dcterms:created xsi:type="dcterms:W3CDTF">2020-12-18T15:24:00Z</dcterms:created>
  <dcterms:modified xsi:type="dcterms:W3CDTF">2023-08-24T21:19:00Z</dcterms:modified>
</cp:coreProperties>
</file>