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2858" w:rsidRPr="007226FD" w:rsidRDefault="00CF2858" w:rsidP="00CF2858">
      <w:pPr>
        <w:shd w:val="clear" w:color="auto" w:fill="B3B3B3"/>
        <w:jc w:val="center"/>
        <w:rPr>
          <w:rFonts w:ascii="汉仪中黑简" w:eastAsia="汉仪中黑简" w:hAnsi="华文中宋" w:cs="汉仪中黑简"/>
          <w:kern w:val="0"/>
          <w:sz w:val="32"/>
          <w:szCs w:val="32"/>
        </w:rPr>
      </w:pPr>
    </w:p>
    <w:p w:rsidR="00CF2858" w:rsidRPr="00CF2858" w:rsidRDefault="00CF2858" w:rsidP="00CF2858">
      <w:pPr>
        <w:shd w:val="clear" w:color="auto" w:fill="B3B3B3"/>
        <w:jc w:val="center"/>
        <w:rPr>
          <w:rFonts w:ascii="汉仪中黑简" w:eastAsia="汉仪中黑简"/>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CF2858">
        <w:rPr>
          <w:rFonts w:ascii="汉仪中黑简" w:eastAsia="汉仪中黑简" w:hint="eastAsia"/>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t>主要统计指标解释</w:t>
      </w:r>
    </w:p>
    <w:p w:rsidR="00CF2858" w:rsidRPr="00E602DD"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Lines="50" w:before="156" w:afterLines="50" w:after="156"/>
        <w:jc w:val="center"/>
        <w:rPr>
          <w:rFonts w:ascii="汉仪中黑简" w:eastAsia="汉仪中黑简" w:hAnsi="华文中宋" w:cs="汉仪中黑简"/>
          <w:kern w:val="0"/>
          <w:szCs w:val="21"/>
        </w:rPr>
      </w:pP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BC57EB">
        <w:rPr>
          <w:rFonts w:ascii="汉仪中黑简" w:eastAsia="汉仪中黑简" w:hAnsi="宋体" w:cs="汉仪中黑简" w:hint="eastAsia"/>
          <w:b/>
          <w:kern w:val="0"/>
          <w:sz w:val="18"/>
          <w:szCs w:val="18"/>
        </w:rPr>
        <w:t>平均增长速度</w:t>
      </w:r>
      <w:r w:rsidRPr="00C65E40">
        <w:rPr>
          <w:rFonts w:ascii="汉仪书宋一简" w:eastAsia="汉仪书宋一简" w:hAnsi="宋体" w:cs="汉仪书宋一简" w:hint="eastAsia"/>
          <w:kern w:val="0"/>
          <w:sz w:val="18"/>
          <w:szCs w:val="18"/>
        </w:rPr>
        <w:t xml:space="preserve">  计算平均增长速度有两种方法：一种是习惯上经常使用的“水平法”，又称几何平均法，是以间隔期最后一年的水平同基期水平对比来计算平均每年增长(或下降)速度；另一种是“累计法”，又称代数平均法或方程法，是以间隔期内各年水平的总和同基期水平对比来计算平均每年增长(或下降)速度。在一般正常情况下，两种方法计算的平均每年增长速度比较接近；但在经济发展不平衡、出现大起大落时，两种方法计算的结果差别较大。</w:t>
      </w:r>
    </w:p>
    <w:p w:rsidR="006B75AD" w:rsidRPr="00C65E40" w:rsidRDefault="006B75AD"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6B75AD">
        <w:rPr>
          <w:rFonts w:ascii="汉仪中黑简" w:eastAsia="汉仪中黑简" w:hAnsi="宋体" w:cs="汉仪中黑简" w:hint="eastAsia"/>
          <w:b/>
          <w:kern w:val="0"/>
          <w:sz w:val="18"/>
          <w:szCs w:val="18"/>
        </w:rPr>
        <w:t>国民经济行业分类</w:t>
      </w:r>
      <w:r>
        <w:rPr>
          <w:rFonts w:ascii="汉仪书宋一简" w:eastAsia="汉仪书宋一简" w:hAnsi="宋体" w:cs="汉仪书宋一简" w:hint="eastAsia"/>
          <w:kern w:val="0"/>
          <w:sz w:val="18"/>
          <w:szCs w:val="18"/>
        </w:rPr>
        <w:t xml:space="preserve">  </w:t>
      </w:r>
      <w:r w:rsidRPr="006B75AD">
        <w:rPr>
          <w:rFonts w:ascii="汉仪书宋一简" w:eastAsia="汉仪书宋一简" w:hAnsi="宋体" w:cs="汉仪书宋一简" w:hint="eastAsia"/>
          <w:kern w:val="0"/>
          <w:sz w:val="18"/>
          <w:szCs w:val="18"/>
        </w:rPr>
        <w:t>自</w:t>
      </w:r>
      <w:r w:rsidRPr="006B75AD">
        <w:rPr>
          <w:rFonts w:ascii="汉仪书宋一简" w:eastAsia="汉仪书宋一简" w:hAnsi="宋体" w:cs="汉仪书宋一简"/>
          <w:kern w:val="0"/>
          <w:sz w:val="18"/>
          <w:szCs w:val="18"/>
        </w:rPr>
        <w:t>2012</w:t>
      </w:r>
      <w:r w:rsidRPr="006B75AD">
        <w:rPr>
          <w:rFonts w:ascii="汉仪书宋一简" w:eastAsia="汉仪书宋一简" w:hAnsi="宋体" w:cs="汉仪书宋一简" w:hint="eastAsia"/>
          <w:kern w:val="0"/>
          <w:sz w:val="18"/>
          <w:szCs w:val="18"/>
        </w:rPr>
        <w:t>年定期报表开始使用新的《国民经济行业分类》（</w:t>
      </w:r>
      <w:r w:rsidRPr="006B75AD">
        <w:rPr>
          <w:rFonts w:ascii="汉仪书宋一简" w:eastAsia="汉仪书宋一简" w:hAnsi="宋体" w:cs="汉仪书宋一简"/>
          <w:kern w:val="0"/>
          <w:sz w:val="18"/>
          <w:szCs w:val="18"/>
        </w:rPr>
        <w:t>GB/T4754-2011</w:t>
      </w:r>
      <w:r w:rsidRPr="006B75AD">
        <w:rPr>
          <w:rFonts w:ascii="汉仪书宋一简" w:eastAsia="汉仪书宋一简" w:hAnsi="宋体" w:cs="汉仪书宋一简" w:hint="eastAsia"/>
          <w:kern w:val="0"/>
          <w:sz w:val="18"/>
          <w:szCs w:val="18"/>
        </w:rPr>
        <w:t>）。该分类是由国家统计局组织修订，国家质量监督检验检疫总局和中国国家标准化管理委员会于</w:t>
      </w:r>
      <w:r w:rsidRPr="006B75AD">
        <w:rPr>
          <w:rFonts w:ascii="汉仪书宋一简" w:eastAsia="汉仪书宋一简" w:hAnsi="宋体" w:cs="汉仪书宋一简"/>
          <w:kern w:val="0"/>
          <w:sz w:val="18"/>
          <w:szCs w:val="18"/>
        </w:rPr>
        <w:t>2011</w:t>
      </w:r>
      <w:r w:rsidRPr="006B75AD">
        <w:rPr>
          <w:rFonts w:ascii="汉仪书宋一简" w:eastAsia="汉仪书宋一简" w:hAnsi="宋体" w:cs="汉仪书宋一简" w:hint="eastAsia"/>
          <w:kern w:val="0"/>
          <w:sz w:val="18"/>
          <w:szCs w:val="18"/>
        </w:rPr>
        <w:t>年</w:t>
      </w:r>
      <w:r w:rsidRPr="006B75AD">
        <w:rPr>
          <w:rFonts w:ascii="汉仪书宋一简" w:eastAsia="汉仪书宋一简" w:hAnsi="宋体" w:cs="汉仪书宋一简"/>
          <w:kern w:val="0"/>
          <w:sz w:val="18"/>
          <w:szCs w:val="18"/>
        </w:rPr>
        <w:t>4</w:t>
      </w:r>
      <w:r w:rsidRPr="006B75AD">
        <w:rPr>
          <w:rFonts w:ascii="汉仪书宋一简" w:eastAsia="汉仪书宋一简" w:hAnsi="宋体" w:cs="汉仪书宋一简" w:hint="eastAsia"/>
          <w:kern w:val="0"/>
          <w:sz w:val="18"/>
          <w:szCs w:val="18"/>
        </w:rPr>
        <w:t>月</w:t>
      </w:r>
      <w:r w:rsidRPr="006B75AD">
        <w:rPr>
          <w:rFonts w:ascii="汉仪书宋一简" w:eastAsia="汉仪书宋一简" w:hAnsi="宋体" w:cs="汉仪书宋一简"/>
          <w:kern w:val="0"/>
          <w:sz w:val="18"/>
          <w:szCs w:val="18"/>
        </w:rPr>
        <w:t>29</w:t>
      </w:r>
      <w:r w:rsidRPr="006B75AD">
        <w:rPr>
          <w:rFonts w:ascii="汉仪书宋一简" w:eastAsia="汉仪书宋一简" w:hAnsi="宋体" w:cs="汉仪书宋一简" w:hint="eastAsia"/>
          <w:kern w:val="0"/>
          <w:sz w:val="18"/>
          <w:szCs w:val="18"/>
        </w:rPr>
        <w:t>日发布。这次修订是在</w:t>
      </w:r>
      <w:r w:rsidRPr="006B75AD">
        <w:rPr>
          <w:rFonts w:ascii="汉仪书宋一简" w:eastAsia="汉仪书宋一简" w:hAnsi="宋体" w:cs="汉仪书宋一简"/>
          <w:kern w:val="0"/>
          <w:sz w:val="18"/>
          <w:szCs w:val="18"/>
        </w:rPr>
        <w:t>2002</w:t>
      </w:r>
      <w:r w:rsidRPr="006B75AD">
        <w:rPr>
          <w:rFonts w:ascii="汉仪书宋一简" w:eastAsia="汉仪书宋一简" w:hAnsi="宋体" w:cs="汉仪书宋一简" w:hint="eastAsia"/>
          <w:kern w:val="0"/>
          <w:sz w:val="18"/>
          <w:szCs w:val="18"/>
        </w:rPr>
        <w:t>年分类标准的基础上，参照联合国《全部经济活动的国际标准产业分类》（</w:t>
      </w:r>
      <w:r w:rsidRPr="006B75AD">
        <w:rPr>
          <w:rFonts w:ascii="汉仪书宋一简" w:eastAsia="汉仪书宋一简" w:hAnsi="宋体" w:cs="汉仪书宋一简"/>
          <w:kern w:val="0"/>
          <w:sz w:val="18"/>
          <w:szCs w:val="18"/>
        </w:rPr>
        <w:t>ISIC/Rev.4</w:t>
      </w:r>
      <w:r w:rsidRPr="006B75AD">
        <w:rPr>
          <w:rFonts w:ascii="汉仪书宋一简" w:eastAsia="汉仪书宋一简" w:hAnsi="宋体" w:cs="汉仪书宋一简" w:hint="eastAsia"/>
          <w:kern w:val="0"/>
          <w:sz w:val="18"/>
          <w:szCs w:val="18"/>
        </w:rPr>
        <w:t>）进行的。修订后的《国民经济行业分类》（</w:t>
      </w:r>
      <w:r w:rsidRPr="006B75AD">
        <w:rPr>
          <w:rFonts w:ascii="汉仪书宋一简" w:eastAsia="汉仪书宋一简" w:hAnsi="宋体" w:cs="汉仪书宋一简"/>
          <w:kern w:val="0"/>
          <w:sz w:val="18"/>
          <w:szCs w:val="18"/>
        </w:rPr>
        <w:t>GB/T4754-2012</w:t>
      </w:r>
      <w:r w:rsidRPr="006B75AD">
        <w:rPr>
          <w:rFonts w:ascii="汉仪书宋一简" w:eastAsia="汉仪书宋一简" w:hAnsi="宋体" w:cs="汉仪书宋一简" w:hint="eastAsia"/>
          <w:kern w:val="0"/>
          <w:sz w:val="18"/>
          <w:szCs w:val="18"/>
        </w:rPr>
        <w:t>）共有门类</w:t>
      </w:r>
      <w:r w:rsidRPr="006B75AD">
        <w:rPr>
          <w:rFonts w:ascii="汉仪书宋一简" w:eastAsia="汉仪书宋一简" w:hAnsi="宋体" w:cs="汉仪书宋一简"/>
          <w:kern w:val="0"/>
          <w:sz w:val="18"/>
          <w:szCs w:val="18"/>
        </w:rPr>
        <w:t>20</w:t>
      </w:r>
      <w:r w:rsidRPr="006B75AD">
        <w:rPr>
          <w:rFonts w:ascii="汉仪书宋一简" w:eastAsia="汉仪书宋一简" w:hAnsi="宋体" w:cs="汉仪书宋一简" w:hint="eastAsia"/>
          <w:kern w:val="0"/>
          <w:sz w:val="18"/>
          <w:szCs w:val="18"/>
        </w:rPr>
        <w:t>个，大类</w:t>
      </w:r>
      <w:r w:rsidRPr="006B75AD">
        <w:rPr>
          <w:rFonts w:ascii="汉仪书宋一简" w:eastAsia="汉仪书宋一简" w:hAnsi="宋体" w:cs="汉仪书宋一简"/>
          <w:kern w:val="0"/>
          <w:sz w:val="18"/>
          <w:szCs w:val="18"/>
        </w:rPr>
        <w:t>96</w:t>
      </w:r>
      <w:r w:rsidRPr="006B75AD">
        <w:rPr>
          <w:rFonts w:ascii="汉仪书宋一简" w:eastAsia="汉仪书宋一简" w:hAnsi="宋体" w:cs="汉仪书宋一简" w:hint="eastAsia"/>
          <w:kern w:val="0"/>
          <w:sz w:val="18"/>
          <w:szCs w:val="18"/>
        </w:rPr>
        <w:t>个，中类</w:t>
      </w:r>
      <w:r w:rsidRPr="006B75AD">
        <w:rPr>
          <w:rFonts w:ascii="汉仪书宋一简" w:eastAsia="汉仪书宋一简" w:hAnsi="宋体" w:cs="汉仪书宋一简"/>
          <w:kern w:val="0"/>
          <w:sz w:val="18"/>
          <w:szCs w:val="18"/>
        </w:rPr>
        <w:t>432</w:t>
      </w:r>
      <w:r w:rsidRPr="006B75AD">
        <w:rPr>
          <w:rFonts w:ascii="汉仪书宋一简" w:eastAsia="汉仪书宋一简" w:hAnsi="宋体" w:cs="汉仪书宋一简" w:hint="eastAsia"/>
          <w:kern w:val="0"/>
          <w:sz w:val="18"/>
          <w:szCs w:val="18"/>
        </w:rPr>
        <w:t>个，小类</w:t>
      </w:r>
      <w:r w:rsidRPr="006B75AD">
        <w:rPr>
          <w:rFonts w:ascii="汉仪书宋一简" w:eastAsia="汉仪书宋一简" w:hAnsi="宋体" w:cs="汉仪书宋一简"/>
          <w:kern w:val="0"/>
          <w:sz w:val="18"/>
          <w:szCs w:val="18"/>
        </w:rPr>
        <w:t>1094</w:t>
      </w:r>
      <w:r w:rsidRPr="006B75AD">
        <w:rPr>
          <w:rFonts w:ascii="汉仪书宋一简" w:eastAsia="汉仪书宋一简" w:hAnsi="宋体" w:cs="汉仪书宋一简" w:hint="eastAsia"/>
          <w:kern w:val="0"/>
          <w:sz w:val="18"/>
          <w:szCs w:val="18"/>
        </w:rPr>
        <w:t>个</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企业(单位)登记注册类型</w:t>
      </w:r>
      <w:r w:rsidRPr="00C65E40">
        <w:rPr>
          <w:rFonts w:ascii="汉仪书宋一简" w:eastAsia="汉仪书宋一简" w:hAnsi="宋体" w:cs="汉仪书宋一简" w:hint="eastAsia"/>
          <w:kern w:val="0"/>
          <w:sz w:val="18"/>
          <w:szCs w:val="18"/>
        </w:rPr>
        <w:t xml:space="preserve">  是以在工商行政管理机关登记注册的各类企业为划分对象，以工商行政管理部门对企业登记注册的类型为依据，将企业登记注册类型分为内资企业、港澳台商投资企业和外商投资企业三大类。内资企业包括国有企业、集体企业、股份合作企业、联营企业、有限责任公司、股份有限公司、私营公司和其他企业；港澳台商投资企业和外商投资企业分别包括合资经营企业、合作经营企业、独资经营企业和股份有限公司。对不在工商行政管理部门进行登记注册的行政机关、事业单位和社会团体，主要按其经费来源和管理方式进行划分。</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国有企业</w:t>
      </w:r>
      <w:r w:rsidRPr="00C65E40">
        <w:rPr>
          <w:rFonts w:ascii="汉仪书宋一简" w:eastAsia="汉仪书宋一简" w:hAnsi="宋体" w:cs="汉仪书宋一简" w:hint="eastAsia"/>
          <w:kern w:val="0"/>
          <w:sz w:val="18"/>
          <w:szCs w:val="18"/>
        </w:rPr>
        <w:t xml:space="preserve">  指企业全部资产归国家所有，并按《中华人民共和国企业法人登记管理条例》规定登记注册的非公司制的经济组织。不包括有限责任公司中的国有独资公司。</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集体企业</w:t>
      </w:r>
      <w:r w:rsidRPr="00C65E40">
        <w:rPr>
          <w:rFonts w:ascii="汉仪书宋一简" w:eastAsia="汉仪书宋一简" w:hAnsi="宋体" w:cs="汉仪书宋一简" w:hint="eastAsia"/>
          <w:kern w:val="0"/>
          <w:sz w:val="18"/>
          <w:szCs w:val="18"/>
        </w:rPr>
        <w:t xml:space="preserve">  指企业资产归集体所有，并按《中华人民共和国企业法人登记管理条例》规定登记注册的经济组织。</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书宋一简" w:eastAsia="汉仪书宋一简" w:hAnsi="宋体" w:cs="汉仪中黑简" w:hint="eastAsia"/>
          <w:b/>
          <w:kern w:val="0"/>
          <w:sz w:val="18"/>
          <w:szCs w:val="18"/>
        </w:rPr>
        <w:t>股份合作企业</w:t>
      </w:r>
      <w:r w:rsidRPr="00C65E40">
        <w:rPr>
          <w:rFonts w:ascii="汉仪书宋一简" w:eastAsia="汉仪书宋一简" w:hAnsi="宋体" w:cs="汉仪书宋一简" w:hint="eastAsia"/>
          <w:kern w:val="0"/>
          <w:sz w:val="18"/>
          <w:szCs w:val="18"/>
        </w:rPr>
        <w:t xml:space="preserve">  指以合作制为基础，由企业职工共同出资入股，吸收一定比例的社会资产投资组建，实行自主经营，自负盈亏，共同劳动，民主管理，按劳分配与按股分红相结合的一种集体经济组织。</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联营企业</w:t>
      </w:r>
      <w:r w:rsidRPr="00C65E40">
        <w:rPr>
          <w:rFonts w:ascii="汉仪书宋一简" w:eastAsia="汉仪书宋一简" w:hAnsi="宋体" w:cs="汉仪书宋一简" w:hint="eastAsia"/>
          <w:kern w:val="0"/>
          <w:sz w:val="18"/>
          <w:szCs w:val="18"/>
        </w:rPr>
        <w:t xml:space="preserve">  指两个及两个以上相同或不同所有制性质的企业法人或事业单位法人，按自愿、平等、互利的原则，共同投资组成的经济组织。联营企业包括国有联营企业、集体联营企业、国有与集体联营企业和其他联营企业。</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有限责任公司</w:t>
      </w:r>
      <w:r w:rsidRPr="00C65E40">
        <w:rPr>
          <w:rFonts w:ascii="汉仪书宋一简" w:eastAsia="汉仪书宋一简" w:hAnsi="宋体" w:cs="汉仪书宋一简" w:hint="eastAsia"/>
          <w:kern w:val="0"/>
          <w:sz w:val="18"/>
          <w:szCs w:val="18"/>
        </w:rPr>
        <w:t xml:space="preserve">  指根据《中华人民共和国公司登记管理条例》规定登记注册，由两个以上、五十个以下的股东共同出资，每个股东以其所认缴的出资额对公司承担有限责任，公司以其全部资产对其债务承担责任的经济组织。有限责任公司包括国有独资公司以及其他有限责任公司。</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股份有限公司</w:t>
      </w:r>
      <w:r w:rsidRPr="00C65E40">
        <w:rPr>
          <w:rFonts w:ascii="汉仪书宋一简" w:eastAsia="汉仪书宋一简" w:hAnsi="宋体" w:cs="汉仪书宋一简" w:hint="eastAsia"/>
          <w:kern w:val="0"/>
          <w:sz w:val="18"/>
          <w:szCs w:val="18"/>
        </w:rPr>
        <w:t xml:space="preserve">  指根据《中华人民共和国公司登记管理条例》规定登记注册，其全部注册资本由等额股份构成并通过发行股票筹集资本，股东以其认购的股份对公司承担有限责任，公司以其全部资产对其债务承担责任的经济组织。</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私营企业</w:t>
      </w:r>
      <w:r w:rsidRPr="00C65E40">
        <w:rPr>
          <w:rFonts w:ascii="汉仪书宋一简" w:eastAsia="汉仪书宋一简" w:hAnsi="宋体" w:cs="汉仪书宋一简" w:hint="eastAsia"/>
          <w:kern w:val="0"/>
          <w:sz w:val="18"/>
          <w:szCs w:val="18"/>
        </w:rPr>
        <w:t xml:space="preserve">  指由自然人投资设立或由自然人控股，以雇佣劳动为基础的营利性经济组织。包括按照《公司法》、《合伙企业法》、《私营企业暂行条例》规定登记注册的私营有限责任公司、私营股份有限公司、私营合伙企业和私营独资企业。</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其他企业</w:t>
      </w:r>
      <w:r w:rsidRPr="00C65E40">
        <w:rPr>
          <w:rFonts w:ascii="汉仪书宋一简" w:eastAsia="汉仪书宋一简" w:hAnsi="宋体" w:cs="汉仪书宋一简" w:hint="eastAsia"/>
          <w:kern w:val="0"/>
          <w:sz w:val="18"/>
          <w:szCs w:val="18"/>
        </w:rPr>
        <w:t xml:space="preserve">  指上述企业之外的其他内资经济组织。</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书宋一简" w:eastAsia="汉仪书宋一简" w:hAnsi="宋体" w:cs="汉仪中黑简" w:hint="eastAsia"/>
          <w:b/>
          <w:kern w:val="0"/>
          <w:sz w:val="18"/>
          <w:szCs w:val="18"/>
        </w:rPr>
        <w:t>与港澳台商合资经营企业</w:t>
      </w:r>
      <w:r w:rsidRPr="00C65E40">
        <w:rPr>
          <w:rFonts w:ascii="汉仪书宋一简" w:eastAsia="汉仪书宋一简" w:hAnsi="宋体" w:cs="汉仪书宋一简" w:hint="eastAsia"/>
          <w:kern w:val="0"/>
          <w:sz w:val="18"/>
          <w:szCs w:val="18"/>
        </w:rPr>
        <w:t xml:space="preserve">  指港澳台地区投资者与内地企业依照《中华人民共和国中外合资经营企业法》及有关法律的规定，按合同规定的比例投资设立、分享利润和分担风险的企业。</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与港澳台商合作经营企业</w:t>
      </w:r>
      <w:r w:rsidRPr="00C65E40">
        <w:rPr>
          <w:rFonts w:ascii="汉仪书宋一简" w:eastAsia="汉仪书宋一简" w:hAnsi="宋体" w:cs="汉仪书宋一简" w:hint="eastAsia"/>
          <w:kern w:val="0"/>
          <w:sz w:val="18"/>
          <w:szCs w:val="18"/>
        </w:rPr>
        <w:t xml:space="preserve">  指港澳台地区投资者与内地企业依照《中华人民共和国中外合作经营企业法》及有关法律的规定，依照合作合同的约定进行投资或提供条件设立、分配利润和分担风险的企业。</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港澳台商独资经营企业</w:t>
      </w:r>
      <w:r w:rsidRPr="00C65E40">
        <w:rPr>
          <w:rFonts w:ascii="汉仪书宋一简" w:eastAsia="汉仪书宋一简" w:hAnsi="宋体" w:cs="汉仪书宋一简" w:hint="eastAsia"/>
          <w:kern w:val="0"/>
          <w:sz w:val="18"/>
          <w:szCs w:val="18"/>
        </w:rPr>
        <w:t xml:space="preserve">  指依照《中华人民共和国外资企业法》及有关法律的规定，在内地由港澳台地区投资者全额投资设立的企业。</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港澳台商投资股份有限公司</w:t>
      </w:r>
      <w:r w:rsidRPr="00C65E40">
        <w:rPr>
          <w:rFonts w:ascii="汉仪书宋一简" w:eastAsia="汉仪书宋一简" w:hAnsi="宋体" w:cs="汉仪书宋一简" w:hint="eastAsia"/>
          <w:kern w:val="0"/>
          <w:sz w:val="18"/>
          <w:szCs w:val="18"/>
        </w:rPr>
        <w:t xml:space="preserve">  指根据国家有关规定，经原外经贸部依法批准设立，其中港、澳、台商的股本占公司注册</w:t>
      </w:r>
      <w:r w:rsidRPr="00C65E40">
        <w:rPr>
          <w:rFonts w:ascii="汉仪书宋一简" w:eastAsia="汉仪书宋一简" w:hAnsi="宋体" w:cs="汉仪书宋一简" w:hint="eastAsia"/>
          <w:kern w:val="0"/>
          <w:sz w:val="18"/>
          <w:szCs w:val="18"/>
        </w:rPr>
        <w:lastRenderedPageBreak/>
        <w:t>资本的比例达25% 以上的股份有限公司。凡其中港、澳、台商的股本占公司注册资本的比例小于25%的，属于内资企业中的股份有限公司。</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中外合资经营企业</w:t>
      </w:r>
      <w:r w:rsidRPr="00C65E40">
        <w:rPr>
          <w:rFonts w:ascii="汉仪书宋一简" w:eastAsia="汉仪书宋一简" w:hAnsi="宋体" w:cs="汉仪书宋一简" w:hint="eastAsia"/>
          <w:kern w:val="0"/>
          <w:sz w:val="18"/>
          <w:szCs w:val="18"/>
        </w:rPr>
        <w:t xml:space="preserve">  指外国企业或外国人与中国内地企业依照《中华人民共和国中外合资经营企业法》及有关法律的规定，按合同规定的比例投资设立、分享利润和分担风险的企业。</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中外合作经营企业</w:t>
      </w:r>
      <w:r w:rsidRPr="00C65E40">
        <w:rPr>
          <w:rFonts w:ascii="汉仪书宋一简" w:eastAsia="汉仪书宋一简" w:hAnsi="宋体" w:cs="汉仪书宋一简" w:hint="eastAsia"/>
          <w:kern w:val="0"/>
          <w:sz w:val="18"/>
          <w:szCs w:val="18"/>
        </w:rPr>
        <w:t xml:space="preserve">  指外国企业或外国人与中国内地企业依照《中华人民共和国中外合作经营企业法》及有关法律的规定，依照合作合同的约定进行投资或提供条件设立、分配利润和分担风险的企业。</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外资企业</w:t>
      </w:r>
      <w:r w:rsidRPr="00C65E40">
        <w:rPr>
          <w:rFonts w:ascii="汉仪书宋一简" w:eastAsia="汉仪书宋一简" w:hAnsi="宋体" w:cs="汉仪书宋一简" w:hint="eastAsia"/>
          <w:kern w:val="0"/>
          <w:sz w:val="18"/>
          <w:szCs w:val="18"/>
        </w:rPr>
        <w:t xml:space="preserve">  指依照《中华人民共和国外资企业法》及有关法律的规定，在中国内地由外国投资者全额投资设立的企业。</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中黑简" w:eastAsia="汉仪中黑简" w:hAnsi="宋体" w:cs="汉仪中黑简" w:hint="eastAsia"/>
          <w:kern w:val="0"/>
          <w:sz w:val="18"/>
          <w:szCs w:val="18"/>
        </w:rPr>
        <w:t>外商投资股份有限公司</w:t>
      </w:r>
      <w:r w:rsidRPr="00C65E40">
        <w:rPr>
          <w:rFonts w:ascii="汉仪书宋一简" w:eastAsia="汉仪书宋一简" w:hAnsi="宋体" w:cs="汉仪书宋一简" w:hint="eastAsia"/>
          <w:kern w:val="0"/>
          <w:sz w:val="18"/>
          <w:szCs w:val="18"/>
        </w:rPr>
        <w:t xml:space="preserve">  指根据国家有关规定，经原外经贸部依法批准设立，其中外资的股本占公司注册资本的比例达25% 以上的股份有限公司。凡其中外资股本占公司注册资本的比例小于25%的，属于内资企业中的股份有限公司。</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行政机关、事业单位和社会团体</w:t>
      </w:r>
      <w:r w:rsidRPr="00C65E40">
        <w:rPr>
          <w:rFonts w:ascii="汉仪书宋一简" w:eastAsia="汉仪书宋一简" w:hAnsi="宋体" w:cs="汉仪书宋一简" w:hint="eastAsia"/>
          <w:kern w:val="0"/>
          <w:sz w:val="18"/>
          <w:szCs w:val="18"/>
        </w:rPr>
        <w:t xml:space="preserve">  参照企业登记注册类型，主要按其经费来源和管理方式划分。具体规定如下：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⑴行政机关：包括国家机关和政党机关，原则上均列为“国有”。但有特殊规定的，如供销社等，则列为“集体”。</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 xml:space="preserve">⑵事业单位：包括经国家机构编制部门和有关业务主管部门批准成立的各类事业单位，不包括实行企业化管理的事业单位。事业单位的划分办法如下：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①由国家财政预算拨款或列入财政预算外资金管理以及经费主要来源于国有主管部门或国有上级单位的事业单位，列为“国有”。</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②经费主要来源于集体单位的事业单位，列为“集体”。</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③公民个人(或个人合伙)开办的事业单位，列为“私营”。</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④上述以外的其他事业单位，如果其经费来源不明确，按管理方式进行归类。</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⑶社会团体：包括经民政部门批准成立以及未纳入社会团体</w:t>
      </w:r>
      <w:r w:rsidR="00E26735">
        <w:rPr>
          <w:rFonts w:ascii="汉仪书宋一简" w:eastAsia="汉仪书宋一简" w:hAnsi="宋体" w:cs="汉仪书宋一简" w:hint="eastAsia"/>
          <w:kern w:val="0"/>
          <w:sz w:val="18"/>
          <w:szCs w:val="18"/>
        </w:rPr>
        <w:t>登记</w:t>
      </w:r>
      <w:r w:rsidRPr="00C65E40">
        <w:rPr>
          <w:rFonts w:ascii="汉仪书宋一简" w:eastAsia="汉仪书宋一简" w:hAnsi="宋体" w:cs="汉仪书宋一简" w:hint="eastAsia"/>
          <w:kern w:val="0"/>
          <w:sz w:val="18"/>
          <w:szCs w:val="18"/>
        </w:rPr>
        <w:t xml:space="preserve">管理条例范围的工会、妇联等各类社会团体。社会团体的划分办法如下：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①未纳入民政部社会团体</w:t>
      </w:r>
      <w:r w:rsidR="00E26735">
        <w:rPr>
          <w:rFonts w:ascii="汉仪书宋一简" w:eastAsia="汉仪书宋一简" w:hAnsi="宋体" w:cs="汉仪书宋一简" w:hint="eastAsia"/>
          <w:kern w:val="0"/>
          <w:sz w:val="18"/>
          <w:szCs w:val="18"/>
        </w:rPr>
        <w:t>登记</w:t>
      </w:r>
      <w:bookmarkStart w:id="0" w:name="_GoBack"/>
      <w:bookmarkEnd w:id="0"/>
      <w:r w:rsidRPr="00C65E40">
        <w:rPr>
          <w:rFonts w:ascii="汉仪书宋一简" w:eastAsia="汉仪书宋一简" w:hAnsi="宋体" w:cs="汉仪书宋一简" w:hint="eastAsia"/>
          <w:kern w:val="0"/>
          <w:sz w:val="18"/>
          <w:szCs w:val="18"/>
        </w:rPr>
        <w:t>管理条例范围的工会、妇联、共青团、青联、工商联、科协、侨联等社会团体，国家拨款设立的基金会或基金管理组织以及经费主要来源于国有业务主管部门或国有上级单位的社会团体，列为“国有”。</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②经费主要来源于集体单位的社会团体，列为“集体”。</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③公民个人(或个人合伙)开办的社会团体，划为“私营”。</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④上述以外的其他社会团体，如果其经费来源不明确，改按管理方式进行归类。</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地区</w:t>
      </w:r>
      <w:r w:rsidRPr="00FD6BA4">
        <w:rPr>
          <w:rFonts w:ascii="汉仪中黑简" w:eastAsia="汉仪中黑简" w:hAnsi="宋体" w:cs="汉仪中黑简" w:hint="eastAsia"/>
          <w:b/>
          <w:kern w:val="0"/>
          <w:sz w:val="18"/>
          <w:szCs w:val="18"/>
        </w:rPr>
        <w:t>生产总值(GDP)</w:t>
      </w:r>
      <w:r w:rsidRPr="00C65E40">
        <w:rPr>
          <w:rFonts w:ascii="汉仪中黑简" w:eastAsia="汉仪中黑简" w:hAnsi="宋体" w:cs="汉仪中黑简" w:hint="eastAsia"/>
          <w:kern w:val="0"/>
          <w:sz w:val="18"/>
          <w:szCs w:val="18"/>
        </w:rPr>
        <w:t xml:space="preserve"> </w:t>
      </w:r>
      <w:r w:rsidRPr="00C65E40">
        <w:rPr>
          <w:rFonts w:ascii="汉仪书宋一简" w:eastAsia="汉仪书宋一简" w:hAnsi="宋体" w:cs="汉仪中黑简" w:hint="eastAsia"/>
          <w:kern w:val="0"/>
          <w:sz w:val="18"/>
          <w:szCs w:val="18"/>
        </w:rPr>
        <w:t xml:space="preserve"> </w:t>
      </w:r>
      <w:r w:rsidRPr="00C65E40">
        <w:rPr>
          <w:rFonts w:ascii="汉仪书宋一简" w:eastAsia="汉仪书宋一简" w:hAnsi="宋体" w:cs="汉仪书宋一简" w:hint="eastAsia"/>
          <w:kern w:val="0"/>
          <w:sz w:val="18"/>
          <w:szCs w:val="18"/>
        </w:rPr>
        <w:t>指按市场价格计算的一个地区所有常住单位在一定时期内生产活动的最终成果。</w:t>
      </w:r>
      <w:r>
        <w:rPr>
          <w:rFonts w:ascii="汉仪书宋一简" w:eastAsia="汉仪书宋一简" w:hAnsi="宋体" w:cs="汉仪书宋一简" w:hint="eastAsia"/>
          <w:kern w:val="0"/>
          <w:sz w:val="18"/>
          <w:szCs w:val="18"/>
        </w:rPr>
        <w:t>地区</w:t>
      </w:r>
      <w:r w:rsidRPr="00C65E40">
        <w:rPr>
          <w:rFonts w:ascii="汉仪书宋一简" w:eastAsia="汉仪书宋一简" w:hAnsi="宋体" w:cs="汉仪书宋一简" w:hint="eastAsia"/>
          <w:kern w:val="0"/>
          <w:sz w:val="18"/>
          <w:szCs w:val="18"/>
        </w:rPr>
        <w:t>生产总值有三种表现形态，即价值形态、收入形态和产品形态。从价值形态看，它是所有常住单位在一定时期内生产的全部货物和服务价值超过同期投入的全部非固定资产货物和服务价值的差额，即所有常住单位的增加值之和；从收入形态看，它是所有常住单位在一定时期内创造并分配给常住单位和非常住单位的初次收入之和；从产品形态看，它是所有常住单位在一定时期内最终使用的货物和服务价值减去货物和服务</w:t>
      </w:r>
      <w:r>
        <w:rPr>
          <w:rFonts w:ascii="汉仪书宋一简" w:eastAsia="汉仪书宋一简" w:hAnsi="宋体" w:cs="汉仪书宋一简" w:hint="eastAsia"/>
          <w:kern w:val="0"/>
          <w:sz w:val="18"/>
          <w:szCs w:val="18"/>
        </w:rPr>
        <w:t>流进</w:t>
      </w:r>
      <w:r w:rsidRPr="00C65E40">
        <w:rPr>
          <w:rFonts w:ascii="汉仪书宋一简" w:eastAsia="汉仪书宋一简" w:hAnsi="宋体" w:cs="汉仪书宋一简" w:hint="eastAsia"/>
          <w:kern w:val="0"/>
          <w:sz w:val="18"/>
          <w:szCs w:val="18"/>
        </w:rPr>
        <w:t>价值。在实际核算中，</w:t>
      </w:r>
      <w:r>
        <w:rPr>
          <w:rFonts w:ascii="汉仪书宋一简" w:eastAsia="汉仪书宋一简" w:hAnsi="宋体" w:cs="汉仪书宋一简" w:hint="eastAsia"/>
          <w:kern w:val="0"/>
          <w:sz w:val="18"/>
          <w:szCs w:val="18"/>
        </w:rPr>
        <w:t>地区</w:t>
      </w:r>
      <w:r w:rsidRPr="00C65E40">
        <w:rPr>
          <w:rFonts w:ascii="汉仪书宋一简" w:eastAsia="汉仪书宋一简" w:hAnsi="宋体" w:cs="汉仪书宋一简" w:hint="eastAsia"/>
          <w:kern w:val="0"/>
          <w:sz w:val="18"/>
          <w:szCs w:val="18"/>
        </w:rPr>
        <w:t>生产总值有三种计算方法，即生产法、收入法和支出法。三种方法分别从不同的方面反映</w:t>
      </w:r>
      <w:r>
        <w:rPr>
          <w:rFonts w:ascii="汉仪书宋一简" w:eastAsia="汉仪书宋一简" w:hAnsi="宋体" w:cs="汉仪书宋一简" w:hint="eastAsia"/>
          <w:kern w:val="0"/>
          <w:sz w:val="18"/>
          <w:szCs w:val="18"/>
        </w:rPr>
        <w:t>地区</w:t>
      </w:r>
      <w:r w:rsidRPr="00C65E40">
        <w:rPr>
          <w:rFonts w:ascii="汉仪书宋一简" w:eastAsia="汉仪书宋一简" w:hAnsi="宋体" w:cs="汉仪书宋一简" w:hint="eastAsia"/>
          <w:kern w:val="0"/>
          <w:sz w:val="18"/>
          <w:szCs w:val="18"/>
        </w:rPr>
        <w:t xml:space="preserve">生产总值及其构成。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国民总收入（GNI）</w:t>
      </w:r>
      <w:r w:rsidRPr="00C65E40">
        <w:rPr>
          <w:rFonts w:ascii="汉仪书宋一简" w:eastAsia="汉仪书宋一简" w:hAnsi="宋体" w:cs="汉仪书宋一简" w:hint="eastAsia"/>
          <w:kern w:val="0"/>
          <w:sz w:val="18"/>
          <w:szCs w:val="18"/>
        </w:rPr>
        <w:t xml:space="preserve"> 即国民生产总值，指一个国家(或地区)所有常住单位在一定时期内收入初次分配的最终结果。一国常住单位从事生产活动所创造的增加值在初次分配中主要分配给该国的常住单位，但也有一部分以生产税及进口税(扣除生产和进口补贴)、劳动者报酬和财产收入等形式分配给非常住单位；同时，国外生产所创造的增加值也有一部分以生产税及进口税(扣除生产和进口补贴)、劳动者报酬和财产收入等形式分配给该国的常住单位，从而产生了国民总收入的概念。它等于国内生产总值加上来自国外的净要素收入。与国内生产总值不同，国民总收入是个收入概念，而国内生产总值是个生产概念。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书宋一简" w:eastAsia="汉仪书宋一简" w:hAnsi="宋体" w:cs="汉仪中黑简" w:hint="eastAsia"/>
          <w:b/>
          <w:kern w:val="0"/>
          <w:sz w:val="18"/>
          <w:szCs w:val="18"/>
        </w:rPr>
        <w:t>三次产业</w:t>
      </w:r>
      <w:r w:rsidRPr="00C65E40">
        <w:rPr>
          <w:rFonts w:ascii="汉仪书宋一简" w:eastAsia="汉仪书宋一简" w:hAnsi="宋体" w:cs="汉仪书宋一简" w:hint="eastAsia"/>
          <w:kern w:val="0"/>
          <w:sz w:val="18"/>
          <w:szCs w:val="18"/>
        </w:rPr>
        <w:t xml:space="preserve">  三产业的划分是世界上较为常用的产业结构分类，但各国的划分不尽一致。我国的三次产业划分是：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第一产业是指农、林、牧、渔业。</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第二产业是指采矿业，制造业，电力、煤气及水的生产和供应业，建筑业。</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第三产业是指除第一、二产业以外的其他行业。</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lastRenderedPageBreak/>
        <w:t>劳动者报酬</w:t>
      </w:r>
      <w:r w:rsidRPr="00C65E40">
        <w:rPr>
          <w:rFonts w:ascii="汉仪书宋一简" w:eastAsia="汉仪书宋一简" w:hAnsi="宋体" w:cs="汉仪书宋一简" w:hint="eastAsia"/>
          <w:kern w:val="0"/>
          <w:sz w:val="18"/>
          <w:szCs w:val="18"/>
        </w:rPr>
        <w:t xml:space="preserve">  指劳动者因从事生产活动所获得的全部报酬。包括劳动者获得的各种形式的工资、奖金和津贴，既包括货币形式的，也包括实物形式的，还包括劳动者所享受的公费医疗和医药卫生费、上下班交通补贴、单位支付的社会保险费、住房公积金等。对于个体经济来说，其所有者所获得的劳动报酬和经营利润不易区分，这两部分统一作为劳动者报酬处理。</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生产税净额</w:t>
      </w:r>
      <w:r w:rsidRPr="00FD6BA4">
        <w:rPr>
          <w:rFonts w:ascii="汉仪中黑简" w:eastAsia="汉仪中黑简" w:hAnsi="宋体" w:cs="汉仪书宋一简" w:hint="eastAsia"/>
          <w:b/>
          <w:kern w:val="0"/>
          <w:sz w:val="18"/>
          <w:szCs w:val="18"/>
        </w:rPr>
        <w:t xml:space="preserve"> </w:t>
      </w:r>
      <w:r w:rsidRPr="00C65E40">
        <w:rPr>
          <w:rFonts w:ascii="汉仪书宋一简" w:eastAsia="汉仪书宋一简" w:hAnsi="宋体" w:cs="汉仪书宋一简" w:hint="eastAsia"/>
          <w:kern w:val="0"/>
          <w:sz w:val="18"/>
          <w:szCs w:val="18"/>
        </w:rPr>
        <w:t xml:space="preserve"> 指生产税减生产补贴后的余额。生产税指政府对生产单位从事生产、销售和经营活动以及因从事生产活动使用某些生产要素(如固定资产、土地、劳动力)所征收的各种税、附加费和规费。生产补贴与生产税相反，指政府对生产单位的单方面转移支出，因此视为负生产税，包括政策亏损补贴、价格补贴等。 </w:t>
      </w:r>
    </w:p>
    <w:p w:rsidR="00CF2858" w:rsidRPr="00C65E40" w:rsidRDefault="00CF2858" w:rsidP="00CF2858">
      <w:pPr>
        <w:tabs>
          <w:tab w:val="left" w:pos="252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固定资产折旧</w:t>
      </w:r>
      <w:r w:rsidRPr="00FD6BA4">
        <w:rPr>
          <w:rFonts w:ascii="汉仪书宋一简" w:eastAsia="汉仪书宋一简" w:hAnsi="宋体" w:cs="汉仪书宋一简" w:hint="eastAsia"/>
          <w:b/>
          <w:kern w:val="0"/>
          <w:sz w:val="18"/>
          <w:szCs w:val="18"/>
        </w:rPr>
        <w:t xml:space="preserve"> </w:t>
      </w:r>
      <w:r w:rsidRPr="00C65E40">
        <w:rPr>
          <w:rFonts w:ascii="汉仪书宋一简" w:eastAsia="汉仪书宋一简" w:hAnsi="宋体" w:cs="汉仪书宋一简" w:hint="eastAsia"/>
          <w:kern w:val="0"/>
          <w:sz w:val="18"/>
          <w:szCs w:val="18"/>
        </w:rPr>
        <w:t xml:space="preserve"> 指一定时期内为弥补固定资产损耗按照规定的固定资产折旧率提取的固定资产折旧，或按国民经济核算统一规定的折旧率虚拟计算的固定资产折旧。它反映了固定资产在当期生产中的转移价值。各类企业和企业化管理的事业单位的固定资产折旧是指实际计提的折旧费；不计提折旧的政府机关、非企业化管理的事业单位和居民住房的固定资产折旧是按照统一规定的折旧率和固定资产原值计算的虚拟折旧。原则上，固定资产折旧应按固定资产当期的重置价值计算，但是目前我国尚不具备对全社会固定资产进行重估价的基础，所以暂时只能采用上述办法。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营业盈余</w:t>
      </w:r>
      <w:r w:rsidRPr="00C65E40">
        <w:rPr>
          <w:rFonts w:ascii="汉仪书宋一简" w:eastAsia="汉仪书宋一简" w:hAnsi="宋体" w:cs="汉仪书宋一简" w:hint="eastAsia"/>
          <w:kern w:val="0"/>
          <w:sz w:val="18"/>
          <w:szCs w:val="18"/>
        </w:rPr>
        <w:t xml:space="preserve">  指常住单位创造的增加值扣除劳动者报酬、生产税净额和固定资产折旧后的余额。它相当于企业的营业利润加上生产补贴，但要扣除从利润中开支的工资和福利等。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支出法</w:t>
      </w:r>
      <w:r>
        <w:rPr>
          <w:rFonts w:ascii="汉仪中黑简" w:eastAsia="汉仪中黑简" w:hAnsi="宋体" w:cs="汉仪中黑简" w:hint="eastAsia"/>
          <w:b/>
          <w:kern w:val="0"/>
          <w:sz w:val="18"/>
          <w:szCs w:val="18"/>
        </w:rPr>
        <w:t>地区</w:t>
      </w:r>
      <w:r w:rsidRPr="00FD6BA4">
        <w:rPr>
          <w:rFonts w:ascii="汉仪中黑简" w:eastAsia="汉仪中黑简" w:hAnsi="宋体" w:cs="汉仪中黑简" w:hint="eastAsia"/>
          <w:b/>
          <w:kern w:val="0"/>
          <w:sz w:val="18"/>
          <w:szCs w:val="18"/>
        </w:rPr>
        <w:t>生产总值</w:t>
      </w:r>
      <w:r w:rsidRPr="00C65E40">
        <w:rPr>
          <w:rFonts w:ascii="汉仪书宋一简" w:eastAsia="汉仪书宋一简" w:hAnsi="宋体" w:cs="汉仪书宋一简" w:hint="eastAsia"/>
          <w:kern w:val="0"/>
          <w:sz w:val="18"/>
          <w:szCs w:val="18"/>
        </w:rPr>
        <w:t xml:space="preserve">  是从最终使用的角度反映一个地区一定时期内生产活动最终成果的一种方法，包括最终消费支出、资本形成总额及货物和服务净</w:t>
      </w:r>
      <w:r>
        <w:rPr>
          <w:rFonts w:ascii="汉仪书宋一简" w:eastAsia="汉仪书宋一简" w:hAnsi="宋体" w:cs="汉仪书宋一简" w:hint="eastAsia"/>
          <w:kern w:val="0"/>
          <w:sz w:val="18"/>
          <w:szCs w:val="18"/>
        </w:rPr>
        <w:t>流出</w:t>
      </w:r>
      <w:r w:rsidRPr="00C65E40">
        <w:rPr>
          <w:rFonts w:ascii="汉仪书宋一简" w:eastAsia="汉仪书宋一简" w:hAnsi="宋体" w:cs="汉仪书宋一简" w:hint="eastAsia"/>
          <w:kern w:val="0"/>
          <w:sz w:val="18"/>
          <w:szCs w:val="18"/>
        </w:rPr>
        <w:t>三部分。计算公式为：</w:t>
      </w:r>
    </w:p>
    <w:p w:rsidR="00CF2858" w:rsidRPr="00C65E40" w:rsidRDefault="00CF2858" w:rsidP="00CF2858">
      <w:pPr>
        <w:adjustRightInd w:val="0"/>
        <w:snapToGrid w:val="0"/>
        <w:spacing w:line="360" w:lineRule="exact"/>
        <w:jc w:val="center"/>
        <w:rPr>
          <w:rFonts w:ascii="汉仪书宋一简" w:eastAsia="汉仪书宋一简" w:hAnsi="宋体" w:cs="汉仪书宋一简"/>
          <w:kern w:val="0"/>
          <w:sz w:val="18"/>
          <w:szCs w:val="18"/>
        </w:rPr>
      </w:pPr>
      <w:r w:rsidRPr="00C65E40">
        <w:rPr>
          <w:rFonts w:ascii="汉仪书宋一简" w:eastAsia="汉仪书宋一简" w:hAnsi="宋体" w:cs="汉仪书宋一简" w:hint="eastAsia"/>
          <w:kern w:val="0"/>
          <w:sz w:val="18"/>
          <w:szCs w:val="18"/>
        </w:rPr>
        <w:t>支出法国内生产总值=最终消费支出+资本形成总额+货物和服务净</w:t>
      </w:r>
      <w:r>
        <w:rPr>
          <w:rFonts w:ascii="汉仪书宋一简" w:eastAsia="汉仪书宋一简" w:hAnsi="宋体" w:cs="汉仪书宋一简" w:hint="eastAsia"/>
          <w:kern w:val="0"/>
          <w:sz w:val="18"/>
          <w:szCs w:val="18"/>
        </w:rPr>
        <w:t>流</w:t>
      </w:r>
      <w:r w:rsidRPr="00C65E40">
        <w:rPr>
          <w:rFonts w:ascii="汉仪书宋一简" w:eastAsia="汉仪书宋一简" w:hAnsi="宋体" w:cs="汉仪书宋一简" w:hint="eastAsia"/>
          <w:kern w:val="0"/>
          <w:sz w:val="18"/>
          <w:szCs w:val="18"/>
        </w:rPr>
        <w:t>出</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最终消费支出</w:t>
      </w:r>
      <w:r w:rsidRPr="00C65E40">
        <w:rPr>
          <w:rFonts w:ascii="汉仪书宋一简" w:eastAsia="汉仪书宋一简" w:hAnsi="宋体" w:cs="汉仪书宋一简" w:hint="eastAsia"/>
          <w:kern w:val="0"/>
          <w:sz w:val="18"/>
          <w:szCs w:val="18"/>
        </w:rPr>
        <w:t xml:space="preserve">  指常住单位为满足物质、文化和精神生活的需要，从本国经济领土和国外购买的货物和服务的支出。它不包括非常住单位在本国经济领土内的消费支出。最终消费支出分为居民消费支出和政府消费支出。</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居民消费支出</w:t>
      </w:r>
      <w:r w:rsidRPr="00C65E40">
        <w:rPr>
          <w:rFonts w:ascii="汉仪书宋一简" w:eastAsia="汉仪书宋一简" w:hAnsi="宋体" w:cs="汉仪书宋一简" w:hint="eastAsia"/>
          <w:kern w:val="0"/>
          <w:sz w:val="18"/>
          <w:szCs w:val="18"/>
        </w:rPr>
        <w:t xml:space="preserve">  指常住住户在一定时期内对于货物和服务的全部最终消费支出。居民消费支出除了直接以货币形式购买的货物和服务的消费支出外，还包括以其他方式获得的货物和服务的消费支出，即所谓的虚拟消费支出。居民虚拟消费支出包括如下几种类型：单位以实物报酬及实物转移的形式提供给劳动者的货物和服务；住户生产并由本住户消费了的货物和服务，其中的服务仅指住户的自有住房服务和付酬的家庭雇员提供的家庭和个人服务；金融机构提供的金融媒介服务；保险公司提供的保险服务。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政府消费支出</w:t>
      </w:r>
      <w:r w:rsidRPr="00C65E40">
        <w:rPr>
          <w:rFonts w:ascii="汉仪书宋一简" w:eastAsia="汉仪书宋一简" w:hAnsi="宋体" w:cs="汉仪书宋一简" w:hint="eastAsia"/>
          <w:kern w:val="0"/>
          <w:sz w:val="18"/>
          <w:szCs w:val="18"/>
        </w:rPr>
        <w:t xml:space="preserve">  指政府部门为全社会提供的公共服务的消费支出和免费或以较低的价格向居民住户提供的货物和服务的净支出，前者等于政府服务的产出价值减去政府单位所获得的经营收入的价值，后者等于政府部门免费或以较低价格向居民住户提供的货物和服务的市场价值减去向住户收取的价值。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资本形成总额</w:t>
      </w:r>
      <w:r w:rsidRPr="00C65E40">
        <w:rPr>
          <w:rFonts w:ascii="汉仪书宋一简" w:eastAsia="汉仪书宋一简" w:hAnsi="宋体" w:cs="汉仪书宋一简" w:hint="eastAsia"/>
          <w:kern w:val="0"/>
          <w:sz w:val="18"/>
          <w:szCs w:val="18"/>
        </w:rPr>
        <w:t xml:space="preserve">  指常住单位在一定时期内获得减去处置的固定资产和存货的净额，包括固定资本形成总额和存货增加两部分。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固定资本形成总额</w:t>
      </w:r>
      <w:r w:rsidRPr="00FD6BA4">
        <w:rPr>
          <w:rFonts w:ascii="汉仪书宋一简" w:eastAsia="汉仪书宋一简" w:hAnsi="宋体" w:cs="汉仪书宋一简" w:hint="eastAsia"/>
          <w:b/>
          <w:kern w:val="0"/>
          <w:sz w:val="18"/>
          <w:szCs w:val="18"/>
        </w:rPr>
        <w:t xml:space="preserve"> </w:t>
      </w:r>
      <w:r w:rsidRPr="00C65E40">
        <w:rPr>
          <w:rFonts w:ascii="汉仪书宋一简" w:eastAsia="汉仪书宋一简" w:hAnsi="宋体" w:cs="汉仪书宋一简" w:hint="eastAsia"/>
          <w:kern w:val="0"/>
          <w:sz w:val="18"/>
          <w:szCs w:val="18"/>
        </w:rPr>
        <w:t xml:space="preserve"> 指生产者在一定时期内获得的固定资产减处置的固定资产的价值总额。固定资产是通过生产活动生产出来的，且其使用年限在一年以上、单位价值在规定标准以上的资产，不包括自然资产。可分为有形固定资本形成总额和无形固定资本形成总额。有形固定资本形成总额包括一定时期内完成的建筑工程、安装工程和设备工器具购置(减处置)价值，以及土地改良、新增役、种、奶、毛、娱乐用牲畜和新增经济林木价值。无形固定资本形成总额包括矿藏的勘探、计算机软件等获得减处置。 </w:t>
      </w:r>
    </w:p>
    <w:p w:rsidR="00CF2858" w:rsidRPr="00C65E40"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存货增加</w:t>
      </w:r>
      <w:r w:rsidRPr="009241AA">
        <w:rPr>
          <w:rFonts w:ascii="汉仪中黑简" w:eastAsia="汉仪中黑简" w:hAnsi="宋体" w:cs="汉仪书宋一简" w:hint="eastAsia"/>
          <w:kern w:val="0"/>
          <w:sz w:val="18"/>
          <w:szCs w:val="18"/>
        </w:rPr>
        <w:t xml:space="preserve">  </w:t>
      </w:r>
      <w:r w:rsidRPr="00C65E40">
        <w:rPr>
          <w:rFonts w:ascii="汉仪书宋一简" w:eastAsia="汉仪书宋一简" w:hAnsi="宋体" w:cs="汉仪书宋一简" w:hint="eastAsia"/>
          <w:kern w:val="0"/>
          <w:sz w:val="18"/>
          <w:szCs w:val="18"/>
        </w:rPr>
        <w:t xml:space="preserve">指常住单位在一定时期内存货实物量变动的市场价值，即期末价值减期初价值的差额，再扣除当期由于价格变动而产生的持有收益。存货增加可以是正值，也可以是负值，正值表示存货上升，负值表示存货下降。存货包括生产单位购进的原材料、燃料和储备物资等存货，以及生产单位生产的产成品、在制品和半成品等存货。 </w:t>
      </w:r>
    </w:p>
    <w:p w:rsidR="00CF2858"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FD6BA4">
        <w:rPr>
          <w:rFonts w:ascii="汉仪中黑简" w:eastAsia="汉仪中黑简" w:hAnsi="宋体" w:cs="汉仪中黑简" w:hint="eastAsia"/>
          <w:b/>
          <w:kern w:val="0"/>
          <w:sz w:val="18"/>
          <w:szCs w:val="18"/>
        </w:rPr>
        <w:t>货物和服务净</w:t>
      </w:r>
      <w:r>
        <w:rPr>
          <w:rFonts w:ascii="汉仪中黑简" w:eastAsia="汉仪中黑简" w:hAnsi="宋体" w:cs="汉仪中黑简" w:hint="eastAsia"/>
          <w:b/>
          <w:kern w:val="0"/>
          <w:sz w:val="18"/>
          <w:szCs w:val="18"/>
        </w:rPr>
        <w:t>流出</w:t>
      </w:r>
      <w:r w:rsidRPr="00C65E40">
        <w:rPr>
          <w:rFonts w:ascii="汉仪书宋一简" w:eastAsia="汉仪书宋一简" w:hAnsi="宋体" w:cs="汉仪书宋一简" w:hint="eastAsia"/>
          <w:kern w:val="0"/>
          <w:sz w:val="18"/>
          <w:szCs w:val="18"/>
        </w:rPr>
        <w:t xml:space="preserve">  指货物和服务</w:t>
      </w:r>
      <w:r>
        <w:rPr>
          <w:rFonts w:ascii="汉仪书宋一简" w:eastAsia="汉仪书宋一简" w:hAnsi="宋体" w:cs="汉仪书宋一简" w:hint="eastAsia"/>
          <w:kern w:val="0"/>
          <w:sz w:val="18"/>
          <w:szCs w:val="18"/>
        </w:rPr>
        <w:t>流出</w:t>
      </w:r>
      <w:r w:rsidRPr="00C65E40">
        <w:rPr>
          <w:rFonts w:ascii="汉仪书宋一简" w:eastAsia="汉仪书宋一简" w:hAnsi="宋体" w:cs="汉仪书宋一简" w:hint="eastAsia"/>
          <w:kern w:val="0"/>
          <w:sz w:val="18"/>
          <w:szCs w:val="18"/>
        </w:rPr>
        <w:t>减货物和服务</w:t>
      </w:r>
      <w:r>
        <w:rPr>
          <w:rFonts w:ascii="汉仪书宋一简" w:eastAsia="汉仪书宋一简" w:hAnsi="宋体" w:cs="汉仪书宋一简" w:hint="eastAsia"/>
          <w:kern w:val="0"/>
          <w:sz w:val="18"/>
          <w:szCs w:val="18"/>
        </w:rPr>
        <w:t>流</w:t>
      </w:r>
      <w:r w:rsidRPr="00C65E40">
        <w:rPr>
          <w:rFonts w:ascii="汉仪书宋一简" w:eastAsia="汉仪书宋一简" w:hAnsi="宋体" w:cs="汉仪书宋一简" w:hint="eastAsia"/>
          <w:kern w:val="0"/>
          <w:sz w:val="18"/>
          <w:szCs w:val="18"/>
        </w:rPr>
        <w:t>进的差额。</w:t>
      </w:r>
      <w:r>
        <w:rPr>
          <w:rFonts w:ascii="汉仪书宋一简" w:eastAsia="汉仪书宋一简" w:hAnsi="宋体" w:cs="汉仪书宋一简" w:hint="eastAsia"/>
          <w:kern w:val="0"/>
          <w:sz w:val="18"/>
          <w:szCs w:val="18"/>
        </w:rPr>
        <w:t>流</w:t>
      </w:r>
      <w:r w:rsidRPr="00C65E40">
        <w:rPr>
          <w:rFonts w:ascii="汉仪书宋一简" w:eastAsia="汉仪书宋一简" w:hAnsi="宋体" w:cs="汉仪书宋一简" w:hint="eastAsia"/>
          <w:kern w:val="0"/>
          <w:sz w:val="18"/>
          <w:szCs w:val="18"/>
        </w:rPr>
        <w:t>出包括常住单位向非常住单位出售或无偿转让的各种货物和服务的价值；</w:t>
      </w:r>
      <w:r>
        <w:rPr>
          <w:rFonts w:ascii="汉仪书宋一简" w:eastAsia="汉仪书宋一简" w:hAnsi="宋体" w:cs="汉仪书宋一简" w:hint="eastAsia"/>
          <w:kern w:val="0"/>
          <w:sz w:val="18"/>
          <w:szCs w:val="18"/>
        </w:rPr>
        <w:t>流进</w:t>
      </w:r>
      <w:r w:rsidRPr="00C65E40">
        <w:rPr>
          <w:rFonts w:ascii="汉仪书宋一简" w:eastAsia="汉仪书宋一简" w:hAnsi="宋体" w:cs="汉仪书宋一简" w:hint="eastAsia"/>
          <w:kern w:val="0"/>
          <w:sz w:val="18"/>
          <w:szCs w:val="18"/>
        </w:rPr>
        <w:t>包括常住单位从非常住单位购买或无偿得到的各种货物和服务的价值。由于服务活动的提供与使用同时发生，一般把常住单位从非常住单位得到的服务作为</w:t>
      </w:r>
      <w:r>
        <w:rPr>
          <w:rFonts w:ascii="汉仪书宋一简" w:eastAsia="汉仪书宋一简" w:hAnsi="宋体" w:cs="汉仪书宋一简" w:hint="eastAsia"/>
          <w:kern w:val="0"/>
          <w:sz w:val="18"/>
          <w:szCs w:val="18"/>
        </w:rPr>
        <w:t>流进</w:t>
      </w:r>
      <w:r w:rsidRPr="00C65E40">
        <w:rPr>
          <w:rFonts w:ascii="汉仪书宋一简" w:eastAsia="汉仪书宋一简" w:hAnsi="宋体" w:cs="汉仪书宋一简" w:hint="eastAsia"/>
          <w:kern w:val="0"/>
          <w:sz w:val="18"/>
          <w:szCs w:val="18"/>
        </w:rPr>
        <w:t>，非常住单位从常住单位得到的服务作为</w:t>
      </w:r>
      <w:r>
        <w:rPr>
          <w:rFonts w:ascii="汉仪书宋一简" w:eastAsia="汉仪书宋一简" w:hAnsi="宋体" w:cs="汉仪书宋一简" w:hint="eastAsia"/>
          <w:kern w:val="0"/>
          <w:sz w:val="18"/>
          <w:szCs w:val="18"/>
        </w:rPr>
        <w:t>流出</w:t>
      </w:r>
      <w:r w:rsidRPr="00C65E40">
        <w:rPr>
          <w:rFonts w:ascii="汉仪书宋一简" w:eastAsia="汉仪书宋一简" w:hAnsi="宋体" w:cs="汉仪书宋一简" w:hint="eastAsia"/>
          <w:kern w:val="0"/>
          <w:sz w:val="18"/>
          <w:szCs w:val="18"/>
        </w:rPr>
        <w:t>。</w:t>
      </w:r>
    </w:p>
    <w:p w:rsidR="00CF2858"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p>
    <w:p w:rsidR="00CF2858" w:rsidRDefault="00CF2858" w:rsidP="00CF285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p>
    <w:p w:rsidR="00CF2858" w:rsidRPr="00C65E40" w:rsidRDefault="00CF2858" w:rsidP="00CF2858">
      <w:pPr>
        <w:snapToGrid w:val="0"/>
        <w:spacing w:line="360" w:lineRule="exact"/>
        <w:jc w:val="center"/>
        <w:rPr>
          <w:b/>
          <w:sz w:val="28"/>
          <w:szCs w:val="28"/>
        </w:rPr>
      </w:pPr>
      <w:r w:rsidRPr="00C65E40">
        <w:rPr>
          <w:b/>
          <w:sz w:val="28"/>
          <w:szCs w:val="28"/>
        </w:rPr>
        <w:t>Explanatory Notes on Main Statistical Indicators</w:t>
      </w:r>
    </w:p>
    <w:p w:rsidR="00CF2858" w:rsidRPr="00C65E40" w:rsidRDefault="00CF2858" w:rsidP="00CF2858">
      <w:pPr>
        <w:pStyle w:val="-"/>
        <w:snapToGrid w:val="0"/>
        <w:spacing w:line="360" w:lineRule="exact"/>
        <w:rPr>
          <w:b/>
          <w:bCs/>
          <w:color w:val="auto"/>
          <w:sz w:val="28"/>
          <w:szCs w:val="28"/>
        </w:rPr>
      </w:pPr>
    </w:p>
    <w:p w:rsidR="00CF2858" w:rsidRPr="00E311D8" w:rsidRDefault="00CF2858" w:rsidP="00CF2858">
      <w:pPr>
        <w:pStyle w:val="-"/>
        <w:snapToGrid w:val="0"/>
        <w:spacing w:line="360" w:lineRule="exact"/>
        <w:rPr>
          <w:color w:val="auto"/>
        </w:rPr>
      </w:pPr>
      <w:r w:rsidRPr="00E311D8">
        <w:rPr>
          <w:b/>
          <w:bCs/>
          <w:color w:val="auto"/>
        </w:rPr>
        <w:t>Average Annual Growth Rate</w:t>
      </w:r>
      <w:r w:rsidRPr="00E311D8">
        <w:rPr>
          <w:color w:val="auto"/>
        </w:rPr>
        <w:t xml:space="preserve">   Two methods for calculating average annual growth rate are applied, one is often called level approach, or the method of calculating geometric average, which is derived by comparing the level of the last year of the interval with that of the beginning year; the other is called accumulative approach or algebraic average or equation method, which is derived by the summation of the actual figure of each year in the interval divided by the figure in the base year. Usually the results calculated by the two methods are fairly close, but they differed sharply when uneven economic development occurred with striking fluctuations in growth.</w:t>
      </w:r>
    </w:p>
    <w:p w:rsidR="00551479" w:rsidRPr="00E311D8" w:rsidRDefault="00551479" w:rsidP="00CF2858">
      <w:pPr>
        <w:pStyle w:val="-"/>
        <w:snapToGrid w:val="0"/>
        <w:spacing w:line="360" w:lineRule="exact"/>
        <w:rPr>
          <w:color w:val="auto"/>
        </w:rPr>
      </w:pPr>
      <w:r w:rsidRPr="00551479">
        <w:rPr>
          <w:b/>
          <w:bCs/>
          <w:color w:val="auto"/>
          <w:lang w:val="en-GB"/>
        </w:rPr>
        <w:t>Industrial Classification of the National Economy</w:t>
      </w:r>
      <w:r w:rsidRPr="00551479">
        <w:rPr>
          <w:color w:val="auto"/>
          <w:lang w:val="en-GB"/>
        </w:rPr>
        <w:t>  The new </w:t>
      </w:r>
      <w:r w:rsidRPr="00551479">
        <w:rPr>
          <w:i/>
          <w:iCs/>
          <w:color w:val="auto"/>
          <w:lang w:val="en-GB"/>
        </w:rPr>
        <w:t>Industrial Classification of the National Economy</w:t>
      </w:r>
      <w:r w:rsidRPr="00551479">
        <w:rPr>
          <w:color w:val="auto"/>
          <w:lang w:val="en-GB"/>
        </w:rPr>
        <w:t> (GB/T 4754-2011) is introduced starting from the compilation of 2012 annual statistics. The revision, based on the 2002 classification, was organized by the National Bureau of Statistics taking into consideration of the </w:t>
      </w:r>
      <w:r w:rsidRPr="00551479">
        <w:rPr>
          <w:i/>
          <w:iCs/>
          <w:color w:val="auto"/>
          <w:lang w:val="en-GB"/>
        </w:rPr>
        <w:t>International Standards of the Industrial Classification of All Economic Activities</w:t>
      </w:r>
      <w:r w:rsidRPr="00551479">
        <w:rPr>
          <w:color w:val="auto"/>
          <w:lang w:val="en-GB"/>
        </w:rPr>
        <w:t> (ISIC/Rev.4) of the United Nations. The new </w:t>
      </w:r>
      <w:r w:rsidRPr="00551479">
        <w:rPr>
          <w:i/>
          <w:iCs/>
          <w:color w:val="auto"/>
          <w:lang w:val="en-GB"/>
        </w:rPr>
        <w:t>Classification</w:t>
      </w:r>
      <w:r w:rsidRPr="00551479">
        <w:rPr>
          <w:color w:val="auto"/>
          <w:lang w:val="en-GB"/>
        </w:rPr>
        <w:t> was promulgated by the National Administration of Quality Supervision, Inspection and Quarantine and the Standardization Administration of the People's Republic of China on April 29, 2011. The revised version of the </w:t>
      </w:r>
      <w:r w:rsidRPr="00551479">
        <w:rPr>
          <w:i/>
          <w:iCs/>
          <w:color w:val="auto"/>
          <w:lang w:val="en-GB"/>
        </w:rPr>
        <w:t>Industrial Classification of the National Economy</w:t>
      </w:r>
      <w:r w:rsidRPr="00551479">
        <w:rPr>
          <w:color w:val="auto"/>
          <w:lang w:val="en-GB"/>
        </w:rPr>
        <w:t> (GB/T 4754-2012) is composed of 20 sections, 96 divisions, 432 groups and 1094 classes.</w:t>
      </w:r>
    </w:p>
    <w:p w:rsidR="00CF2858" w:rsidRPr="00E311D8" w:rsidRDefault="00CF2858" w:rsidP="00CF2858">
      <w:pPr>
        <w:pStyle w:val="-"/>
        <w:snapToGrid w:val="0"/>
        <w:spacing w:line="360" w:lineRule="exact"/>
        <w:rPr>
          <w:color w:val="auto"/>
        </w:rPr>
      </w:pPr>
      <w:r w:rsidRPr="00E311D8">
        <w:rPr>
          <w:b/>
          <w:bCs/>
          <w:color w:val="auto"/>
        </w:rPr>
        <w:t>Registration Status of Enterprises</w:t>
      </w:r>
      <w:r w:rsidRPr="00E311D8">
        <w:rPr>
          <w:color w:val="auto"/>
        </w:rPr>
        <w:t xml:space="preserve">    Enterprises are classified into 3 categories, namely domestic-funded enterprises, enterprises with investment from Hong Kong, Macau and </w:t>
      </w:r>
      <w:smartTag w:uri="urn:schemas-microsoft-com:office:smarttags" w:element="place">
        <w:smartTag w:uri="urn:schemas-microsoft-com:office:smarttags" w:element="country-region">
          <w:r w:rsidRPr="00E311D8">
            <w:rPr>
              <w:color w:val="auto"/>
            </w:rPr>
            <w:t>Taiwan</w:t>
          </w:r>
        </w:smartTag>
      </w:smartTag>
      <w:r w:rsidRPr="00E311D8">
        <w:rPr>
          <w:color w:val="auto"/>
        </w:rPr>
        <w:t xml:space="preserve">, and enterprises with foreign investment, in the light of the registration status of an enterprise in industrial and commercial administration agencies. Domestic-funded enterprises include state-owned enterprises, collective-owned enterprises,  cooperative enterprises, joint ownership enterprises, limited liability corporations, share-holding corporations Ltd., private enterprises and other enterprises. Included in the enterprises with investment from Hong Kong, Macau and </w:t>
      </w:r>
      <w:smartTag w:uri="urn:schemas-microsoft-com:office:smarttags" w:element="place">
        <w:smartTag w:uri="urn:schemas-microsoft-com:office:smarttags" w:element="country-region">
          <w:r w:rsidRPr="00E311D8">
            <w:rPr>
              <w:color w:val="auto"/>
            </w:rPr>
            <w:t>Taiwan</w:t>
          </w:r>
        </w:smartTag>
      </w:smartTag>
      <w:r w:rsidRPr="00E311D8">
        <w:rPr>
          <w:color w:val="auto"/>
        </w:rPr>
        <w:t xml:space="preserve"> and enterprises with foreign investment are joint-venture enterprises, cooperative enterprises, sole investment enterprises and share-holding corporations Ltd. For government agencies, institutions and social organizations which are not requested to be registered in industrial and commercial administration agencies, they are classified mainly by their sources of funds and way of management.</w:t>
      </w:r>
    </w:p>
    <w:p w:rsidR="00CF2858" w:rsidRPr="00E311D8" w:rsidRDefault="00CF2858" w:rsidP="00CF2858">
      <w:pPr>
        <w:pStyle w:val="-"/>
        <w:snapToGrid w:val="0"/>
        <w:spacing w:line="360" w:lineRule="exact"/>
        <w:rPr>
          <w:color w:val="auto"/>
        </w:rPr>
      </w:pPr>
      <w:r w:rsidRPr="00E311D8">
        <w:rPr>
          <w:b/>
          <w:bCs/>
          <w:color w:val="auto"/>
        </w:rPr>
        <w:t xml:space="preserve">State-owned Enterprises </w:t>
      </w:r>
      <w:r w:rsidRPr="00E311D8">
        <w:rPr>
          <w:color w:val="auto"/>
        </w:rPr>
        <w:t xml:space="preserve">  refer to non-corporation economic units where the entire assets are owned by the state and which have registered in accordance with the </w:t>
      </w:r>
      <w:r w:rsidRPr="00E311D8">
        <w:rPr>
          <w:iCs/>
          <w:color w:val="auto"/>
        </w:rPr>
        <w:t xml:space="preserve">Regulation of the People’s Republic of </w:t>
      </w:r>
      <w:smartTag w:uri="urn:schemas-microsoft-com:office:smarttags" w:element="place">
        <w:smartTag w:uri="urn:schemas-microsoft-com:office:smarttags" w:element="country-region">
          <w:r w:rsidRPr="00E311D8">
            <w:rPr>
              <w:iCs/>
              <w:color w:val="auto"/>
            </w:rPr>
            <w:t>China</w:t>
          </w:r>
        </w:smartTag>
      </w:smartTag>
      <w:r w:rsidRPr="00E311D8">
        <w:rPr>
          <w:iCs/>
          <w:color w:val="auto"/>
        </w:rPr>
        <w:t xml:space="preserve"> on the Management of Registration of Corporate Enterprises</w:t>
      </w:r>
      <w:r w:rsidRPr="00E311D8">
        <w:rPr>
          <w:color w:val="auto"/>
        </w:rPr>
        <w:t>. Excluded from this category are sole state-funded corporations in the limited liability corporations.</w:t>
      </w:r>
    </w:p>
    <w:p w:rsidR="00CF2858" w:rsidRPr="00E311D8" w:rsidRDefault="00CF2858" w:rsidP="00CF2858">
      <w:pPr>
        <w:pStyle w:val="-"/>
        <w:snapToGrid w:val="0"/>
        <w:spacing w:line="360" w:lineRule="exact"/>
        <w:rPr>
          <w:color w:val="auto"/>
        </w:rPr>
      </w:pPr>
      <w:r w:rsidRPr="00E311D8">
        <w:rPr>
          <w:b/>
          <w:bCs/>
          <w:color w:val="auto"/>
        </w:rPr>
        <w:t>Collective-owned Enterprises</w:t>
      </w:r>
      <w:r w:rsidRPr="00E311D8">
        <w:rPr>
          <w:color w:val="auto"/>
        </w:rPr>
        <w:t xml:space="preserve">   refer to economic units where the assets are owned collectively and which have registered in accordance with the </w:t>
      </w:r>
      <w:r w:rsidRPr="00E311D8">
        <w:rPr>
          <w:iCs/>
          <w:color w:val="auto"/>
        </w:rPr>
        <w:t xml:space="preserve">Regulation of the People’s Republic of </w:t>
      </w:r>
      <w:smartTag w:uri="urn:schemas-microsoft-com:office:smarttags" w:element="place">
        <w:smartTag w:uri="urn:schemas-microsoft-com:office:smarttags" w:element="country-region">
          <w:r w:rsidRPr="00E311D8">
            <w:rPr>
              <w:iCs/>
              <w:color w:val="auto"/>
            </w:rPr>
            <w:t>China</w:t>
          </w:r>
        </w:smartTag>
      </w:smartTag>
      <w:r w:rsidRPr="00E311D8">
        <w:rPr>
          <w:iCs/>
          <w:color w:val="auto"/>
        </w:rPr>
        <w:t xml:space="preserve"> on the Management of Registration of Corporate Enterprises</w:t>
      </w:r>
      <w:r w:rsidRPr="00E311D8">
        <w:rPr>
          <w:color w:val="auto"/>
        </w:rPr>
        <w:t>.</w:t>
      </w:r>
    </w:p>
    <w:p w:rsidR="00CF2858" w:rsidRPr="00E311D8" w:rsidRDefault="00CF2858" w:rsidP="00CF2858">
      <w:pPr>
        <w:pStyle w:val="-"/>
        <w:snapToGrid w:val="0"/>
        <w:spacing w:line="360" w:lineRule="exact"/>
        <w:rPr>
          <w:color w:val="auto"/>
        </w:rPr>
      </w:pPr>
      <w:r w:rsidRPr="00E311D8">
        <w:rPr>
          <w:b/>
          <w:bCs/>
          <w:color w:val="auto"/>
        </w:rPr>
        <w:t>Cooperative Enterprises</w:t>
      </w:r>
      <w:r w:rsidRPr="00E311D8">
        <w:rPr>
          <w:color w:val="auto"/>
        </w:rPr>
        <w:t xml:space="preserve">   refer to a form of collective economic units (enterprises) where capitals come mainly from employees as their shares, with certain proportion of capital from the outside, where production is organized on the basis of independent operation, independent accounting for profits and losses, joint work, democratic management, and a distribution system that integrates remuneration according to work with dividend according to capital share.</w:t>
      </w:r>
    </w:p>
    <w:p w:rsidR="00CF2858" w:rsidRPr="00E311D8" w:rsidRDefault="00CF2858" w:rsidP="00CF2858">
      <w:pPr>
        <w:pStyle w:val="-"/>
        <w:snapToGrid w:val="0"/>
        <w:spacing w:line="360" w:lineRule="exact"/>
        <w:rPr>
          <w:color w:val="auto"/>
        </w:rPr>
      </w:pPr>
      <w:r w:rsidRPr="00E311D8">
        <w:rPr>
          <w:b/>
          <w:bCs/>
          <w:color w:val="auto"/>
        </w:rPr>
        <w:t xml:space="preserve">Joint Ownership Enterprises </w:t>
      </w:r>
      <w:r w:rsidRPr="00E311D8">
        <w:rPr>
          <w:color w:val="auto"/>
        </w:rPr>
        <w:t xml:space="preserve">  refer to economic units established by two or more corporate enterprises or corporate institutions of the same or different ownership, through joint investment on the basis of equality, voluntary participation and mutual benefits. They include state joint ownership enterprises, collective joint ownership enterprises, joint state-collective enterprises, other joint ownership enterprises.</w:t>
      </w:r>
    </w:p>
    <w:p w:rsidR="00CF2858" w:rsidRPr="00E311D8" w:rsidRDefault="00CF2858" w:rsidP="00CF2858">
      <w:pPr>
        <w:pStyle w:val="-"/>
        <w:snapToGrid w:val="0"/>
        <w:spacing w:line="360" w:lineRule="exact"/>
        <w:rPr>
          <w:color w:val="auto"/>
        </w:rPr>
      </w:pPr>
      <w:r w:rsidRPr="00E311D8">
        <w:rPr>
          <w:b/>
          <w:bCs/>
          <w:color w:val="auto"/>
        </w:rPr>
        <w:t>Limited Liability Corporations</w:t>
      </w:r>
      <w:r w:rsidRPr="00E311D8">
        <w:rPr>
          <w:color w:val="auto"/>
        </w:rPr>
        <w:t xml:space="preserve">   refer to economic units established with investment from 2-50 investors and registered in accordance with the </w:t>
      </w:r>
      <w:r w:rsidRPr="00E311D8">
        <w:rPr>
          <w:iCs/>
          <w:color w:val="auto"/>
        </w:rPr>
        <w:t>Regulation of the People’s Republic of China on the Management of Registration of Corporations</w:t>
      </w:r>
      <w:r w:rsidRPr="00E311D8">
        <w:rPr>
          <w:color w:val="auto"/>
        </w:rPr>
        <w:t xml:space="preserve">, each investor bearing limited liability to the corporation depending on its share of investment, and the corporation bearing liability to its debt to the </w:t>
      </w:r>
      <w:r w:rsidRPr="00E311D8">
        <w:rPr>
          <w:color w:val="auto"/>
        </w:rPr>
        <w:lastRenderedPageBreak/>
        <w:t>maximum of its total assets. Limited liability corporations include exclusive state-funded limited liability corporations and other limited liability corporations.</w:t>
      </w:r>
    </w:p>
    <w:p w:rsidR="00CF2858" w:rsidRPr="00E311D8" w:rsidRDefault="00CF2858" w:rsidP="00CF2858">
      <w:pPr>
        <w:pStyle w:val="-"/>
        <w:snapToGrid w:val="0"/>
        <w:spacing w:line="360" w:lineRule="exact"/>
        <w:rPr>
          <w:color w:val="auto"/>
        </w:rPr>
      </w:pPr>
      <w:r w:rsidRPr="00E311D8">
        <w:rPr>
          <w:b/>
          <w:bCs/>
          <w:color w:val="auto"/>
        </w:rPr>
        <w:t>Share-holding Corporations Ltd.</w:t>
      </w:r>
      <w:r w:rsidRPr="00E311D8">
        <w:rPr>
          <w:color w:val="auto"/>
        </w:rPr>
        <w:t xml:space="preserve">  refer to economic units registered in accordance with the </w:t>
      </w:r>
      <w:r w:rsidRPr="00E311D8">
        <w:rPr>
          <w:iCs/>
          <w:color w:val="auto"/>
        </w:rPr>
        <w:t xml:space="preserve">Regulation of the People’s Republic of </w:t>
      </w:r>
      <w:smartTag w:uri="urn:schemas-microsoft-com:office:smarttags" w:element="place">
        <w:smartTag w:uri="urn:schemas-microsoft-com:office:smarttags" w:element="country-region">
          <w:r w:rsidRPr="00E311D8">
            <w:rPr>
              <w:iCs/>
              <w:color w:val="auto"/>
            </w:rPr>
            <w:t>China</w:t>
          </w:r>
        </w:smartTag>
      </w:smartTag>
      <w:r w:rsidRPr="00E311D8">
        <w:rPr>
          <w:iCs/>
          <w:color w:val="auto"/>
        </w:rPr>
        <w:t xml:space="preserve"> on the Management of Registration of Corporations</w:t>
      </w:r>
      <w:r w:rsidRPr="00E311D8">
        <w:rPr>
          <w:color w:val="auto"/>
        </w:rPr>
        <w:t>, with total registered capitals divided into equal shares and raised through issuing stocks. Each investor bears limited liability to the corporation depending on the holding of shares, and the corporation bears liability to its debt to the maximum of its total assets.</w:t>
      </w:r>
    </w:p>
    <w:p w:rsidR="00CF2858" w:rsidRPr="00E311D8" w:rsidRDefault="00CF2858" w:rsidP="00CF2858">
      <w:pPr>
        <w:pStyle w:val="-"/>
        <w:snapToGrid w:val="0"/>
        <w:spacing w:line="360" w:lineRule="exact"/>
        <w:rPr>
          <w:color w:val="auto"/>
        </w:rPr>
      </w:pPr>
      <w:r w:rsidRPr="00E311D8">
        <w:rPr>
          <w:b/>
          <w:bCs/>
          <w:color w:val="auto"/>
        </w:rPr>
        <w:t>Private Enterprises</w:t>
      </w:r>
      <w:r w:rsidRPr="00E311D8">
        <w:rPr>
          <w:color w:val="auto"/>
        </w:rPr>
        <w:t xml:space="preserve">  refer to profit-making economic units invested and established by natural persons, or controlled by natural persons using employed labour. Included in this category are private limited liability corporations, private share-holding corporations Ltd., private partnership enterprises and private-funded enterprises registered in accordance with the </w:t>
      </w:r>
      <w:r w:rsidRPr="00E311D8">
        <w:rPr>
          <w:iCs/>
          <w:color w:val="auto"/>
        </w:rPr>
        <w:t>Corporation Law</w:t>
      </w:r>
      <w:r w:rsidRPr="00E311D8">
        <w:rPr>
          <w:color w:val="auto"/>
        </w:rPr>
        <w:t xml:space="preserve">, </w:t>
      </w:r>
      <w:r w:rsidRPr="00E311D8">
        <w:rPr>
          <w:iCs/>
          <w:color w:val="auto"/>
        </w:rPr>
        <w:t>Partnership Enterprises Law</w:t>
      </w:r>
      <w:r w:rsidRPr="00E311D8">
        <w:rPr>
          <w:color w:val="auto"/>
        </w:rPr>
        <w:t xml:space="preserve"> and </w:t>
      </w:r>
      <w:r w:rsidRPr="00E311D8">
        <w:rPr>
          <w:iCs/>
          <w:color w:val="auto"/>
        </w:rPr>
        <w:t xml:space="preserve">Interim Regulations on Private Enterprises </w:t>
      </w:r>
      <w:r w:rsidRPr="00E311D8">
        <w:rPr>
          <w:color w:val="auto"/>
        </w:rPr>
        <w:t>.</w:t>
      </w:r>
    </w:p>
    <w:p w:rsidR="00CF2858" w:rsidRPr="00E311D8" w:rsidRDefault="00CF2858" w:rsidP="00CF2858">
      <w:pPr>
        <w:pStyle w:val="-"/>
        <w:snapToGrid w:val="0"/>
        <w:spacing w:line="360" w:lineRule="exact"/>
        <w:rPr>
          <w:color w:val="auto"/>
        </w:rPr>
      </w:pPr>
      <w:r w:rsidRPr="00E311D8">
        <w:rPr>
          <w:b/>
          <w:bCs/>
          <w:color w:val="auto"/>
        </w:rPr>
        <w:t>Other Domestic-funded Enterprises</w:t>
      </w:r>
      <w:r w:rsidRPr="00E311D8">
        <w:rPr>
          <w:color w:val="auto"/>
        </w:rPr>
        <w:t xml:space="preserve">   refer to domestic-funded economic units other than those mentioned above.</w:t>
      </w:r>
    </w:p>
    <w:p w:rsidR="00CF2858" w:rsidRPr="00E311D8" w:rsidRDefault="00CF2858" w:rsidP="00CF2858">
      <w:pPr>
        <w:pStyle w:val="-"/>
        <w:snapToGrid w:val="0"/>
        <w:spacing w:line="360" w:lineRule="exact"/>
        <w:rPr>
          <w:color w:val="auto"/>
        </w:rPr>
      </w:pPr>
      <w:r w:rsidRPr="00E311D8">
        <w:rPr>
          <w:b/>
          <w:bCs/>
          <w:color w:val="auto"/>
        </w:rPr>
        <w:t xml:space="preserve">Cooperative Enterprises with Funds from Hong Kong Macau and Taiwan  </w:t>
      </w:r>
      <w:r w:rsidRPr="00E311D8">
        <w:rPr>
          <w:color w:val="auto"/>
        </w:rPr>
        <w:t xml:space="preserve"> established by investors from Hong Kong, Macau and Taiwan with enterprises in the mainland of China in accordance with the </w:t>
      </w:r>
      <w:r w:rsidRPr="00E311D8">
        <w:rPr>
          <w:iCs/>
          <w:color w:val="auto"/>
        </w:rPr>
        <w:t>Law of the People’s Republic of China on Sino-foreign Cooperative Enterprises</w:t>
      </w:r>
      <w:r w:rsidRPr="00E311D8">
        <w:rPr>
          <w:color w:val="auto"/>
        </w:rPr>
        <w:t xml:space="preserve"> and other relevant laws, where the investment or provision of facilities, and the share of profits and risks is stipulated in the cooperative contract.</w:t>
      </w:r>
    </w:p>
    <w:p w:rsidR="00CF2858" w:rsidRPr="00E311D8" w:rsidRDefault="00CF2858" w:rsidP="00CF2858">
      <w:pPr>
        <w:pStyle w:val="-"/>
        <w:snapToGrid w:val="0"/>
        <w:spacing w:line="360" w:lineRule="exact"/>
        <w:rPr>
          <w:color w:val="auto"/>
        </w:rPr>
      </w:pPr>
      <w:r w:rsidRPr="00E311D8">
        <w:rPr>
          <w:b/>
          <w:bCs/>
          <w:color w:val="auto"/>
        </w:rPr>
        <w:t xml:space="preserve">Enterprises with Sole (exclusive) Investment from Hong Kong, Macau and </w:t>
      </w:r>
      <w:smartTag w:uri="urn:schemas-microsoft-com:office:smarttags" w:element="country-region">
        <w:r w:rsidRPr="00E311D8">
          <w:rPr>
            <w:b/>
            <w:bCs/>
            <w:color w:val="auto"/>
          </w:rPr>
          <w:t>Taiwan</w:t>
        </w:r>
      </w:smartTag>
      <w:r w:rsidRPr="00E311D8">
        <w:rPr>
          <w:b/>
          <w:bCs/>
          <w:color w:val="auto"/>
        </w:rPr>
        <w:t xml:space="preserve">  </w:t>
      </w:r>
      <w:r w:rsidRPr="00E311D8">
        <w:rPr>
          <w:color w:val="auto"/>
        </w:rPr>
        <w:t xml:space="preserve"> refer to enterprises established in the mainland of </w:t>
      </w:r>
      <w:smartTag w:uri="urn:schemas-microsoft-com:office:smarttags" w:element="country-region">
        <w:r w:rsidRPr="00E311D8">
          <w:rPr>
            <w:color w:val="auto"/>
          </w:rPr>
          <w:t>China</w:t>
        </w:r>
      </w:smartTag>
      <w:r w:rsidRPr="00E311D8">
        <w:rPr>
          <w:color w:val="auto"/>
        </w:rPr>
        <w:t xml:space="preserve"> with exclusive investment from investors from Hong Kong, Macau and </w:t>
      </w:r>
      <w:smartTag w:uri="urn:schemas-microsoft-com:office:smarttags" w:element="country-region">
        <w:r w:rsidRPr="00E311D8">
          <w:rPr>
            <w:color w:val="auto"/>
          </w:rPr>
          <w:t>Taiwan</w:t>
        </w:r>
      </w:smartTag>
      <w:r w:rsidRPr="00E311D8">
        <w:rPr>
          <w:color w:val="auto"/>
        </w:rPr>
        <w:t xml:space="preserve"> in accordance with the </w:t>
      </w:r>
      <w:r w:rsidRPr="00E311D8">
        <w:rPr>
          <w:iCs/>
          <w:color w:val="auto"/>
        </w:rPr>
        <w:t xml:space="preserve">Law of the People’s Republic of </w:t>
      </w:r>
      <w:smartTag w:uri="urn:schemas-microsoft-com:office:smarttags" w:element="place">
        <w:smartTag w:uri="urn:schemas-microsoft-com:office:smarttags" w:element="country-region">
          <w:r w:rsidRPr="00E311D8">
            <w:rPr>
              <w:iCs/>
              <w:color w:val="auto"/>
            </w:rPr>
            <w:t>China</w:t>
          </w:r>
        </w:smartTag>
      </w:smartTag>
      <w:r w:rsidRPr="00E311D8">
        <w:rPr>
          <w:iCs/>
          <w:color w:val="auto"/>
        </w:rPr>
        <w:t xml:space="preserve"> on Foreign-Funded Enterprises</w:t>
      </w:r>
      <w:r w:rsidRPr="00E311D8">
        <w:rPr>
          <w:color w:val="auto"/>
        </w:rPr>
        <w:t xml:space="preserve"> and other relevant laws.</w:t>
      </w:r>
    </w:p>
    <w:p w:rsidR="00CF2858" w:rsidRPr="00E311D8" w:rsidRDefault="00CF2858" w:rsidP="00CF2858">
      <w:pPr>
        <w:pStyle w:val="-"/>
        <w:snapToGrid w:val="0"/>
        <w:spacing w:line="360" w:lineRule="exact"/>
        <w:rPr>
          <w:color w:val="auto"/>
        </w:rPr>
      </w:pPr>
      <w:r w:rsidRPr="00E311D8">
        <w:rPr>
          <w:b/>
          <w:bCs/>
          <w:color w:val="auto"/>
        </w:rPr>
        <w:t xml:space="preserve">Share-holding Corporations Ltd. with Investment from Hong Kong, Macau and Taiwan </w:t>
      </w:r>
      <w:r w:rsidRPr="00E311D8">
        <w:rPr>
          <w:color w:val="auto"/>
        </w:rPr>
        <w:t xml:space="preserve">  refer to share-holding corporations Ltd. established with the approval from the former Ministry of Foreign Trade and Economic Relations in line with relevant state regulations, where the share of investment from Hong Kong, Macau or Taiwan businessmen exceeds 25% of the total registered capital of the corporation. In case the share of investment from Hong Kong, Macau or </w:t>
      </w:r>
      <w:smartTag w:uri="urn:schemas-microsoft-com:office:smarttags" w:element="place">
        <w:smartTag w:uri="urn:schemas-microsoft-com:office:smarttags" w:element="country-region">
          <w:r w:rsidRPr="00E311D8">
            <w:rPr>
              <w:color w:val="auto"/>
            </w:rPr>
            <w:t>Taiwan</w:t>
          </w:r>
        </w:smartTag>
      </w:smartTag>
      <w:r w:rsidRPr="00E311D8">
        <w:rPr>
          <w:color w:val="auto"/>
        </w:rPr>
        <w:t xml:space="preserve"> is less than 25% of the total registered capital, the enterprise is to be classified as domestic-funded share-holding corporation Ltd. </w:t>
      </w:r>
    </w:p>
    <w:p w:rsidR="00CF2858" w:rsidRPr="00E311D8" w:rsidRDefault="00CF2858" w:rsidP="00CF2858">
      <w:pPr>
        <w:pStyle w:val="-"/>
        <w:snapToGrid w:val="0"/>
        <w:spacing w:line="360" w:lineRule="exact"/>
        <w:rPr>
          <w:color w:val="auto"/>
        </w:rPr>
      </w:pPr>
      <w:r w:rsidRPr="00E311D8">
        <w:rPr>
          <w:b/>
          <w:bCs/>
          <w:color w:val="auto"/>
        </w:rPr>
        <w:t xml:space="preserve">Joint-venture Enterprises with Foreign Investment </w:t>
      </w:r>
      <w:r w:rsidRPr="00E311D8">
        <w:rPr>
          <w:color w:val="auto"/>
        </w:rPr>
        <w:t xml:space="preserve">  refer to enterprises jointly established by foreign enterprises or foreigners with enterprises in the mainland of </w:t>
      </w:r>
      <w:smartTag w:uri="urn:schemas-microsoft-com:office:smarttags" w:element="country-region">
        <w:r w:rsidRPr="00E311D8">
          <w:rPr>
            <w:color w:val="auto"/>
          </w:rPr>
          <w:t>China</w:t>
        </w:r>
      </w:smartTag>
      <w:r w:rsidRPr="00E311D8">
        <w:rPr>
          <w:color w:val="auto"/>
        </w:rPr>
        <w:t xml:space="preserve"> in accordance with the  </w:t>
      </w:r>
      <w:r w:rsidRPr="00E311D8">
        <w:rPr>
          <w:iCs/>
          <w:color w:val="auto"/>
        </w:rPr>
        <w:t xml:space="preserve">Law of the People’s Republic of </w:t>
      </w:r>
      <w:smartTag w:uri="urn:schemas-microsoft-com:office:smarttags" w:element="place">
        <w:smartTag w:uri="urn:schemas-microsoft-com:office:smarttags" w:element="country-region">
          <w:r w:rsidRPr="00E311D8">
            <w:rPr>
              <w:iCs/>
              <w:color w:val="auto"/>
            </w:rPr>
            <w:t>China</w:t>
          </w:r>
        </w:smartTag>
      </w:smartTag>
      <w:r w:rsidRPr="00E311D8">
        <w:rPr>
          <w:iCs/>
          <w:color w:val="auto"/>
        </w:rPr>
        <w:t xml:space="preserve"> on Sino-foreign Joint Venture Enterprises</w:t>
      </w:r>
      <w:r w:rsidRPr="00E311D8">
        <w:rPr>
          <w:color w:val="auto"/>
        </w:rPr>
        <w:t xml:space="preserve"> and other relevant laws, where the share of investment, profits and risks is stipulated in the contract.</w:t>
      </w:r>
    </w:p>
    <w:p w:rsidR="00CF2858" w:rsidRPr="00E311D8" w:rsidRDefault="00CF2858" w:rsidP="00CF2858">
      <w:pPr>
        <w:pStyle w:val="-"/>
        <w:snapToGrid w:val="0"/>
        <w:spacing w:line="360" w:lineRule="exact"/>
        <w:rPr>
          <w:color w:val="auto"/>
        </w:rPr>
      </w:pPr>
      <w:r w:rsidRPr="00E311D8">
        <w:rPr>
          <w:b/>
          <w:bCs/>
          <w:color w:val="auto"/>
        </w:rPr>
        <w:t xml:space="preserve">Cooperation Enterprises with Foreign Investment   </w:t>
      </w:r>
      <w:r w:rsidRPr="00E311D8">
        <w:rPr>
          <w:color w:val="auto"/>
        </w:rPr>
        <w:t xml:space="preserve">refer to enterprises jointly established by foreign enterprises or foreigners with enterprises in the mainland of China in accordance with the </w:t>
      </w:r>
      <w:r w:rsidRPr="00E311D8">
        <w:rPr>
          <w:iCs/>
          <w:color w:val="auto"/>
        </w:rPr>
        <w:t>Law of the People’s Republic of China on Sino-foreign Cooperative Enterprises</w:t>
      </w:r>
      <w:r w:rsidRPr="00E311D8">
        <w:rPr>
          <w:color w:val="auto"/>
        </w:rPr>
        <w:t xml:space="preserve"> and other relevant laws, where the investment or provision of facilities, and the share of profits and risks is stipulated in the cooperative contract.</w:t>
      </w:r>
    </w:p>
    <w:p w:rsidR="00CF2858" w:rsidRPr="00E311D8" w:rsidRDefault="00CF2858" w:rsidP="00CF2858">
      <w:pPr>
        <w:pStyle w:val="-"/>
        <w:snapToGrid w:val="0"/>
        <w:spacing w:line="360" w:lineRule="exact"/>
        <w:rPr>
          <w:color w:val="auto"/>
        </w:rPr>
      </w:pPr>
      <w:r w:rsidRPr="00E311D8">
        <w:rPr>
          <w:b/>
          <w:bCs/>
          <w:color w:val="auto"/>
        </w:rPr>
        <w:t xml:space="preserve">Enterprises with Sole (exclusive) Foreign Investment  </w:t>
      </w:r>
      <w:r w:rsidRPr="00E311D8">
        <w:rPr>
          <w:color w:val="auto"/>
        </w:rPr>
        <w:t xml:space="preserve"> refer to enterprises established in the mainland of </w:t>
      </w:r>
      <w:smartTag w:uri="urn:schemas-microsoft-com:office:smarttags" w:element="country-region">
        <w:r w:rsidRPr="00E311D8">
          <w:rPr>
            <w:color w:val="auto"/>
          </w:rPr>
          <w:t>China</w:t>
        </w:r>
      </w:smartTag>
      <w:r w:rsidRPr="00E311D8">
        <w:rPr>
          <w:color w:val="auto"/>
        </w:rPr>
        <w:t xml:space="preserve"> with exclusive investment from foreign investors in accordance with the </w:t>
      </w:r>
      <w:r w:rsidRPr="00E311D8">
        <w:rPr>
          <w:iCs/>
          <w:color w:val="auto"/>
        </w:rPr>
        <w:t xml:space="preserve">Law of the People’s Republic of </w:t>
      </w:r>
      <w:smartTag w:uri="urn:schemas-microsoft-com:office:smarttags" w:element="place">
        <w:smartTag w:uri="urn:schemas-microsoft-com:office:smarttags" w:element="country-region">
          <w:r w:rsidRPr="00E311D8">
            <w:rPr>
              <w:iCs/>
              <w:color w:val="auto"/>
            </w:rPr>
            <w:t>China</w:t>
          </w:r>
        </w:smartTag>
      </w:smartTag>
      <w:r w:rsidRPr="00E311D8">
        <w:rPr>
          <w:iCs/>
          <w:color w:val="auto"/>
        </w:rPr>
        <w:t xml:space="preserve"> on Foreign-Funded Enterprises</w:t>
      </w:r>
      <w:r w:rsidRPr="00E311D8">
        <w:rPr>
          <w:color w:val="auto"/>
        </w:rPr>
        <w:t xml:space="preserve"> and other relevant laws.</w:t>
      </w:r>
    </w:p>
    <w:p w:rsidR="00CF2858" w:rsidRPr="00E311D8" w:rsidRDefault="00CF2858" w:rsidP="00CF2858">
      <w:pPr>
        <w:pStyle w:val="-"/>
        <w:snapToGrid w:val="0"/>
        <w:spacing w:line="360" w:lineRule="exact"/>
        <w:rPr>
          <w:color w:val="auto"/>
        </w:rPr>
      </w:pPr>
      <w:r w:rsidRPr="00E311D8">
        <w:rPr>
          <w:b/>
          <w:bCs/>
          <w:color w:val="auto"/>
        </w:rPr>
        <w:t xml:space="preserve">Share-holding Corporations Ltd. with Foreign Investment  </w:t>
      </w:r>
      <w:r w:rsidRPr="00E311D8">
        <w:rPr>
          <w:color w:val="auto"/>
        </w:rPr>
        <w:t xml:space="preserve">refer to share-holding corporations Ltd. established with the approval from the Ministry of Foreign Trade and Economic Relations in line with relevant state regulations, where the share of investment from foreign investors exceeds 25% of the total registered capital of the corporation. In case the share of foreign investment is less than 25% of the total registered capital, the enterprise is to be classified as domestic-funded share-holding corporation Ltd. </w:t>
      </w:r>
    </w:p>
    <w:p w:rsidR="00CF2858" w:rsidRPr="00E311D8" w:rsidRDefault="00CF2858" w:rsidP="00CF2858">
      <w:pPr>
        <w:pStyle w:val="-"/>
        <w:snapToGrid w:val="0"/>
        <w:spacing w:line="360" w:lineRule="exact"/>
        <w:rPr>
          <w:color w:val="auto"/>
        </w:rPr>
      </w:pPr>
      <w:r w:rsidRPr="00E311D8">
        <w:rPr>
          <w:b/>
          <w:bCs/>
          <w:color w:val="auto"/>
        </w:rPr>
        <w:t>Government Agencies, Institutions and Social Organizations</w:t>
      </w:r>
      <w:r w:rsidRPr="00E311D8">
        <w:rPr>
          <w:color w:val="auto"/>
        </w:rPr>
        <w:t xml:space="preserve">  are classified into following categories by source of funds and way of management taking reference of the registration status of enterprises:</w:t>
      </w:r>
    </w:p>
    <w:p w:rsidR="00CF2858" w:rsidRPr="00E311D8" w:rsidRDefault="00CF2858" w:rsidP="00CF2858">
      <w:pPr>
        <w:pStyle w:val="-"/>
        <w:snapToGrid w:val="0"/>
        <w:spacing w:line="360" w:lineRule="exact"/>
        <w:rPr>
          <w:color w:val="auto"/>
        </w:rPr>
      </w:pPr>
      <w:r w:rsidRPr="00E311D8">
        <w:rPr>
          <w:color w:val="auto"/>
        </w:rPr>
        <w:t xml:space="preserve">(1) Government agencies: include state and party agencies, classified in principle as state-owned. There are exceptions, such as </w:t>
      </w:r>
      <w:r w:rsidRPr="00E311D8">
        <w:rPr>
          <w:color w:val="auto"/>
        </w:rPr>
        <w:lastRenderedPageBreak/>
        <w:t>supply and marketing cooperatives which are classified as collective-owned.</w:t>
      </w:r>
    </w:p>
    <w:p w:rsidR="00CF2858" w:rsidRPr="00E311D8" w:rsidRDefault="00CF2858" w:rsidP="00CF2858">
      <w:pPr>
        <w:pStyle w:val="-"/>
        <w:snapToGrid w:val="0"/>
        <w:spacing w:line="360" w:lineRule="exact"/>
        <w:rPr>
          <w:color w:val="auto"/>
        </w:rPr>
      </w:pPr>
      <w:r w:rsidRPr="00E311D8">
        <w:rPr>
          <w:color w:val="auto"/>
        </w:rPr>
        <w:t>(2) Institutions: include institutions of various types established with the approval by organization and staffing departments of the government, but exclude institutions where enterprise management system is introduced. Institutions are further classified as follows:</w:t>
      </w:r>
    </w:p>
    <w:p w:rsidR="00CF2858" w:rsidRPr="00E311D8" w:rsidRDefault="00CF2858" w:rsidP="00CF2858">
      <w:pPr>
        <w:pStyle w:val="-"/>
        <w:snapToGrid w:val="0"/>
        <w:spacing w:line="360" w:lineRule="exact"/>
        <w:rPr>
          <w:color w:val="auto"/>
        </w:rPr>
      </w:pPr>
      <w:r w:rsidRPr="00E311D8">
        <w:rPr>
          <w:color w:val="auto"/>
        </w:rPr>
        <w:t>(a) Institutions whose main budget is listed in the government budget appropriations or extra-budget funds, or allocated from the budget of their competent government agencies. Such institutions are classified as state-owned.</w:t>
      </w:r>
    </w:p>
    <w:p w:rsidR="00CF2858" w:rsidRPr="00E311D8" w:rsidRDefault="00CF2858" w:rsidP="00CF2858">
      <w:pPr>
        <w:pStyle w:val="-"/>
        <w:snapToGrid w:val="0"/>
        <w:spacing w:line="360" w:lineRule="exact"/>
        <w:rPr>
          <w:color w:val="auto"/>
        </w:rPr>
      </w:pPr>
      <w:r w:rsidRPr="00E311D8">
        <w:rPr>
          <w:color w:val="auto"/>
        </w:rPr>
        <w:t>(b) Institutions whose budget mainly comes from collective units. Such institutions are classified as collective-owned.</w:t>
      </w:r>
    </w:p>
    <w:p w:rsidR="00CF2858" w:rsidRPr="00E311D8" w:rsidRDefault="00CF2858" w:rsidP="00CF2858">
      <w:pPr>
        <w:pStyle w:val="-"/>
        <w:snapToGrid w:val="0"/>
        <w:spacing w:line="360" w:lineRule="exact"/>
        <w:rPr>
          <w:color w:val="auto"/>
        </w:rPr>
      </w:pPr>
      <w:r w:rsidRPr="00E311D8">
        <w:rPr>
          <w:color w:val="auto"/>
        </w:rPr>
        <w:t>(c) Institutions other than those mentioned above whose source of budget is not clear. Such institutions are classified by way of management.</w:t>
      </w:r>
    </w:p>
    <w:p w:rsidR="00CF2858" w:rsidRPr="00E311D8" w:rsidRDefault="00CF2858" w:rsidP="00CF2858">
      <w:pPr>
        <w:pStyle w:val="-"/>
        <w:snapToGrid w:val="0"/>
        <w:spacing w:line="360" w:lineRule="exact"/>
        <w:rPr>
          <w:color w:val="auto"/>
        </w:rPr>
      </w:pPr>
      <w:r w:rsidRPr="00E311D8">
        <w:rPr>
          <w:color w:val="auto"/>
        </w:rPr>
        <w:t>(3) Social organizations: include social organizations established with the approval from the Ministry of Civil Affairs, and organizations that are not covered by social organization management regulations such as trade unions, womens federations etc.. Social organizations are further classified as follows:</w:t>
      </w:r>
    </w:p>
    <w:p w:rsidR="00CF2858" w:rsidRPr="00E311D8" w:rsidRDefault="00CF2858" w:rsidP="00CF2858">
      <w:pPr>
        <w:pStyle w:val="-"/>
        <w:snapToGrid w:val="0"/>
        <w:spacing w:line="360" w:lineRule="exact"/>
        <w:rPr>
          <w:color w:val="auto"/>
        </w:rPr>
      </w:pPr>
      <w:r w:rsidRPr="00E311D8">
        <w:rPr>
          <w:color w:val="auto"/>
        </w:rPr>
        <w:t>(a) Social organizations that are not covered by social organization management regulations of the Ministry of Civil Affairs such as trade unions, womens federations, communist youth leagues, youth associations, industrial and commerce associations, scientists associations, overseas Chinese associations, etc., foundations and fund management organizations established with funds from the state, and social organizations whose funds mainly come from the budget of their competent government agencies. Such institutions are classified as state-owned.</w:t>
      </w:r>
    </w:p>
    <w:p w:rsidR="00CF2858" w:rsidRPr="00E311D8" w:rsidRDefault="00CF2858" w:rsidP="00CF2858">
      <w:pPr>
        <w:pStyle w:val="-"/>
        <w:snapToGrid w:val="0"/>
        <w:spacing w:line="360" w:lineRule="exact"/>
        <w:rPr>
          <w:color w:val="auto"/>
        </w:rPr>
      </w:pPr>
      <w:r w:rsidRPr="00E311D8">
        <w:rPr>
          <w:color w:val="auto"/>
        </w:rPr>
        <w:t>(b) Social organizations whose budget mainly comes from collective units. Such institutions are classified as collective-owned.</w:t>
      </w:r>
    </w:p>
    <w:p w:rsidR="00CF2858" w:rsidRPr="00E311D8" w:rsidRDefault="00CF2858" w:rsidP="00CF2858">
      <w:pPr>
        <w:pStyle w:val="-"/>
        <w:snapToGrid w:val="0"/>
        <w:spacing w:line="360" w:lineRule="exact"/>
        <w:rPr>
          <w:color w:val="auto"/>
        </w:rPr>
      </w:pPr>
      <w:r w:rsidRPr="00E311D8">
        <w:rPr>
          <w:color w:val="auto"/>
        </w:rPr>
        <w:t>(c) Social organizations established by individual or a group of citizens, which are classified as private.</w:t>
      </w:r>
    </w:p>
    <w:p w:rsidR="00CF2858" w:rsidRPr="00E311D8" w:rsidRDefault="00CF2858" w:rsidP="00CF2858">
      <w:pPr>
        <w:pStyle w:val="-"/>
        <w:snapToGrid w:val="0"/>
        <w:spacing w:line="360" w:lineRule="exact"/>
        <w:rPr>
          <w:color w:val="auto"/>
        </w:rPr>
      </w:pPr>
      <w:r w:rsidRPr="00E311D8">
        <w:rPr>
          <w:color w:val="auto"/>
        </w:rPr>
        <w:t>(d) Social organizations other than those mentioned above whose source of budget is not clear. Such organizations are classified by way of management.</w:t>
      </w:r>
    </w:p>
    <w:p w:rsidR="00CF2858" w:rsidRPr="00E311D8" w:rsidRDefault="00CF2858" w:rsidP="00CF2858">
      <w:pPr>
        <w:pStyle w:val="-0"/>
        <w:snapToGrid w:val="0"/>
        <w:spacing w:line="360" w:lineRule="exact"/>
        <w:rPr>
          <w:b/>
          <w:bCs/>
          <w:color w:val="auto"/>
        </w:rPr>
      </w:pPr>
      <w:r w:rsidRPr="00E311D8">
        <w:rPr>
          <w:b/>
          <w:bCs/>
          <w:color w:val="auto"/>
        </w:rPr>
        <w:t>Gross Domestic Product (GDP)</w:t>
      </w:r>
      <w:r w:rsidRPr="00E311D8">
        <w:rPr>
          <w:color w:val="auto"/>
        </w:rPr>
        <w:t xml:space="preserve">   refers to the final products at market prices produced by all resident units in a country (or a region) during a certain period of time. Gross domestic product is expressed in three different forms, i.e. value, income, and products respectively. GDP in its value form refers to the total value of all goods and services produced by all resident units during a certain period of time, minus the total value of input of goods and services of the nature of non-fixed assets; in other term, it is the sum of the value-added of all resident units. GDP in the form of income includes the income created by all resident units and distributed to resident and non-resident units. GDP in the form of products refers to the value of all goods and services for final consumption by all resident units minus the net exports of goods and services during a given period of time. In the practice of national accounting, gross domestic product is calculated with three approaches, i.e. production approach, income approach and expenditure approach, which reflect gross domestic product and its composition from different aspects.</w:t>
      </w:r>
    </w:p>
    <w:p w:rsidR="00CF2858" w:rsidRPr="00E311D8" w:rsidRDefault="00CF2858" w:rsidP="00CF2858">
      <w:pPr>
        <w:pStyle w:val="-0"/>
        <w:snapToGrid w:val="0"/>
        <w:spacing w:line="360" w:lineRule="exact"/>
        <w:rPr>
          <w:color w:val="auto"/>
        </w:rPr>
      </w:pPr>
      <w:r w:rsidRPr="00E311D8">
        <w:rPr>
          <w:b/>
          <w:bCs/>
          <w:color w:val="auto"/>
        </w:rPr>
        <w:t>Gross National Income (GNI)</w:t>
      </w:r>
      <w:r w:rsidRPr="00E311D8">
        <w:rPr>
          <w:color w:val="auto"/>
        </w:rPr>
        <w:t xml:space="preserve">  also known as gross national product, refers to the final result of the primary distribution of the income created by all the resident units of a country (or a region) during a certain period of time. The value-added created by the resident units of a country engaged in production activities is distributed, during the primary distribution, mainly to the resident units of that country, while part of it is distributed to the non-resident units in the form of production tax and import duties (minus subsidies to production and import), remuneration for the labourers and property income. At the meantime, a part of the value-added created abroad is distributed to the resident units of the country in the form of production tax and import duties (minus subsidies to production and import), remuneration for the labourers and property income. The concept of gross national income is thus developed, which equals to the gross domestic product plus the net factor income from abroad. Unlike the gross domestic product which is a concept of production, the gross national income is a concept of income.</w:t>
      </w:r>
    </w:p>
    <w:p w:rsidR="00CF2858" w:rsidRPr="00E311D8" w:rsidRDefault="00CF2858" w:rsidP="00CF2858">
      <w:pPr>
        <w:pStyle w:val="-0"/>
        <w:snapToGrid w:val="0"/>
        <w:spacing w:line="360" w:lineRule="exact"/>
        <w:rPr>
          <w:color w:val="auto"/>
        </w:rPr>
      </w:pPr>
      <w:r w:rsidRPr="00E311D8">
        <w:rPr>
          <w:b/>
          <w:bCs/>
          <w:color w:val="auto"/>
        </w:rPr>
        <w:t>Three Industries</w:t>
      </w:r>
      <w:r w:rsidRPr="00E311D8">
        <w:rPr>
          <w:color w:val="auto"/>
        </w:rPr>
        <w:t xml:space="preserve">   Classification of economic activities into three branches of industries is a common practice in the world, although the grouping varies to some extent form country to country. In </w:t>
      </w:r>
      <w:smartTag w:uri="urn:schemas-microsoft-com:office:smarttags" w:element="place">
        <w:smartTag w:uri="urn:schemas-microsoft-com:office:smarttags" w:element="country-region">
          <w:r w:rsidRPr="00E311D8">
            <w:rPr>
              <w:color w:val="auto"/>
            </w:rPr>
            <w:t>China</w:t>
          </w:r>
        </w:smartTag>
      </w:smartTag>
      <w:r w:rsidRPr="00E311D8">
        <w:rPr>
          <w:color w:val="auto"/>
        </w:rPr>
        <w:t xml:space="preserve"> economic activities are categorized into following </w:t>
      </w:r>
      <w:r w:rsidRPr="00E311D8">
        <w:rPr>
          <w:color w:val="auto"/>
        </w:rPr>
        <w:lastRenderedPageBreak/>
        <w:t>industries:</w:t>
      </w:r>
    </w:p>
    <w:p w:rsidR="00CF2858" w:rsidRPr="00E311D8" w:rsidRDefault="00CF2858" w:rsidP="00CF2858">
      <w:pPr>
        <w:pStyle w:val="-0"/>
        <w:snapToGrid w:val="0"/>
        <w:spacing w:line="360" w:lineRule="exact"/>
        <w:rPr>
          <w:color w:val="auto"/>
        </w:rPr>
      </w:pPr>
      <w:r w:rsidRPr="00E311D8">
        <w:rPr>
          <w:color w:val="auto"/>
        </w:rPr>
        <w:t>Primary industry: refers to agriculture, forestry, animal husbandry and fishery.</w:t>
      </w:r>
    </w:p>
    <w:p w:rsidR="00CF2858" w:rsidRPr="00E311D8" w:rsidRDefault="00CF2858" w:rsidP="00CF2858">
      <w:pPr>
        <w:pStyle w:val="-0"/>
        <w:snapToGrid w:val="0"/>
        <w:spacing w:line="360" w:lineRule="exact"/>
        <w:rPr>
          <w:color w:val="auto"/>
        </w:rPr>
      </w:pPr>
      <w:r w:rsidRPr="00E311D8">
        <w:rPr>
          <w:color w:val="auto"/>
        </w:rPr>
        <w:t>Secondary industry: refers to mining and quarrying, manufacturing, production and supply of electricity, water and gas, and construction.</w:t>
      </w:r>
    </w:p>
    <w:p w:rsidR="00CF2858" w:rsidRPr="00E311D8" w:rsidRDefault="00CF2858" w:rsidP="00CF2858">
      <w:pPr>
        <w:pStyle w:val="-0"/>
        <w:snapToGrid w:val="0"/>
        <w:spacing w:line="360" w:lineRule="exact"/>
        <w:rPr>
          <w:color w:val="auto"/>
        </w:rPr>
      </w:pPr>
      <w:r w:rsidRPr="00E311D8">
        <w:rPr>
          <w:color w:val="auto"/>
        </w:rPr>
        <w:t>Tertiary industry: refers to all other economic activities not included in primary or secondary industry.</w:t>
      </w:r>
    </w:p>
    <w:p w:rsidR="00CF2858" w:rsidRPr="00E311D8" w:rsidRDefault="00CF2858" w:rsidP="00CF2858">
      <w:pPr>
        <w:pStyle w:val="-0"/>
        <w:snapToGrid w:val="0"/>
        <w:spacing w:line="360" w:lineRule="exact"/>
        <w:rPr>
          <w:color w:val="auto"/>
        </w:rPr>
      </w:pPr>
      <w:r w:rsidRPr="00E311D8">
        <w:rPr>
          <w:b/>
          <w:bCs/>
          <w:color w:val="auto"/>
        </w:rPr>
        <w:t xml:space="preserve">Labourers Remuneration </w:t>
      </w:r>
      <w:r w:rsidRPr="00E311D8">
        <w:rPr>
          <w:color w:val="auto"/>
        </w:rPr>
        <w:t xml:space="preserve">  refers to the whole payment of various forms earned by the labourers from the productive activities they are engaged in. It includes wages, bonuses and allowances the labourers earned in monetary form and in kind. It also includes the free medical services provided to the labourers and the medicine expenses, traffic subsidies and social insurance, housing fund paid by the employers. As the individual economy is concerned, since the labourers remuneration is not easily distinguished from the operating profit, both are treated as labourers remuneration.</w:t>
      </w:r>
    </w:p>
    <w:p w:rsidR="00CF2858" w:rsidRPr="00E311D8" w:rsidRDefault="00CF2858" w:rsidP="00CF2858">
      <w:pPr>
        <w:pStyle w:val="-0"/>
        <w:snapToGrid w:val="0"/>
        <w:spacing w:line="360" w:lineRule="exact"/>
        <w:rPr>
          <w:color w:val="auto"/>
        </w:rPr>
      </w:pPr>
      <w:r w:rsidRPr="00E311D8">
        <w:rPr>
          <w:b/>
          <w:bCs/>
          <w:color w:val="auto"/>
        </w:rPr>
        <w:t>Net Taxes on Production</w:t>
      </w:r>
      <w:r w:rsidRPr="00E311D8">
        <w:rPr>
          <w:color w:val="auto"/>
        </w:rPr>
        <w:t xml:space="preserve">   refers to the difference of the taxes on production minus the subsidies on production. The taxes on production refers to the various taxes, extra charges and fees levied on the production units on their production, sale and business activities as well as on the use of some factors of production, such as fixed assets, land and labour force in the production activities they are engaged in. In contrast to the taxes on production, the subsidies on production refer to the unilateral government transfer to the production units and are therefore regarded as negative taxes on production. They include subsidies on the loss due to implementation of government policies, price subsidies, etc.</w:t>
      </w:r>
    </w:p>
    <w:p w:rsidR="00CF2858" w:rsidRPr="00E311D8" w:rsidRDefault="00CF2858" w:rsidP="00CF2858">
      <w:pPr>
        <w:pStyle w:val="-0"/>
        <w:snapToGrid w:val="0"/>
        <w:spacing w:line="360" w:lineRule="exact"/>
        <w:rPr>
          <w:color w:val="auto"/>
        </w:rPr>
      </w:pPr>
      <w:r w:rsidRPr="00E311D8">
        <w:rPr>
          <w:b/>
          <w:bCs/>
          <w:color w:val="auto"/>
        </w:rPr>
        <w:t>Depreciation of Fixed Assets</w:t>
      </w:r>
      <w:r w:rsidRPr="00E311D8">
        <w:rPr>
          <w:color w:val="auto"/>
        </w:rPr>
        <w:t xml:space="preserve">   refers to the depreciation of fixed assets of a given period, drawn in accordance with the stipulated depreciation rate for the purpose of compensating the wear loss of the fixed assets or the depreciation of fixed assets calculated in a fictitious way in accordance with the stipulated unified depreciation rate in the national economic accounting system. It reflects the value of transfer of the fixed assets in the production of the current period.  The depreciation of fixed assets in various enterprises and institutions managed as enterprises refers to the depreciation expenses actually drawn. In government agencies and institutions not managed as enterprises which do not draw the depreciation expenses, as well as for the houses of residents, the depreciation of fixed assets is the imputed depreciation, which is calculated in accordance with the stipulated unified depreciation rate. In principle, the depreciation of fixed assets should be calculated on the basis of the re-purchased value of the fixed assets. However, there is no actual condition to re-evaluate all the fixed assets in </w:t>
      </w:r>
      <w:smartTag w:uri="urn:schemas-microsoft-com:office:smarttags" w:element="place">
        <w:smartTag w:uri="urn:schemas-microsoft-com:office:smarttags" w:element="country-region">
          <w:r w:rsidRPr="00E311D8">
            <w:rPr>
              <w:color w:val="auto"/>
            </w:rPr>
            <w:t>China</w:t>
          </w:r>
        </w:smartTag>
      </w:smartTag>
      <w:r w:rsidRPr="00E311D8">
        <w:rPr>
          <w:color w:val="auto"/>
        </w:rPr>
        <w:t>. Therefore, the above-mentioned methods are temporarily adopted at present.</w:t>
      </w:r>
    </w:p>
    <w:p w:rsidR="00CF2858" w:rsidRPr="00E311D8" w:rsidRDefault="00CF2858" w:rsidP="00CF2858">
      <w:pPr>
        <w:pStyle w:val="-0"/>
        <w:snapToGrid w:val="0"/>
        <w:spacing w:line="360" w:lineRule="exact"/>
        <w:rPr>
          <w:color w:val="auto"/>
        </w:rPr>
      </w:pPr>
      <w:r w:rsidRPr="00E311D8">
        <w:rPr>
          <w:b/>
          <w:bCs/>
          <w:color w:val="auto"/>
        </w:rPr>
        <w:t xml:space="preserve">Operating Surplus </w:t>
      </w:r>
      <w:r w:rsidRPr="00E311D8">
        <w:rPr>
          <w:color w:val="auto"/>
        </w:rPr>
        <w:t xml:space="preserve">  refers to the balance of the value added created by the resident units deducting the labourers remuneration, net taxes on production and the depreciation of fixed assets. It is equivalent to the business profit of the enterprises plus subsidies on production, but the wages and welfare expenses paid from the profits should be deducted.</w:t>
      </w:r>
    </w:p>
    <w:p w:rsidR="00CF2858" w:rsidRPr="00E311D8" w:rsidRDefault="00CF2858" w:rsidP="00CF2858">
      <w:pPr>
        <w:pStyle w:val="-0"/>
        <w:snapToGrid w:val="0"/>
        <w:spacing w:line="360" w:lineRule="exact"/>
        <w:rPr>
          <w:color w:val="auto"/>
        </w:rPr>
      </w:pPr>
      <w:r w:rsidRPr="00E311D8">
        <w:rPr>
          <w:b/>
          <w:bCs/>
          <w:color w:val="auto"/>
        </w:rPr>
        <w:t>GDP by Expenditure Approach</w:t>
      </w:r>
      <w:r w:rsidRPr="00E311D8">
        <w:rPr>
          <w:color w:val="auto"/>
        </w:rPr>
        <w:t xml:space="preserve">   refers to the method of measuring the final results of production activities of a country (region) during a given period from the perspective of final use. It includes final consumption expenditure, total capital formation and net export of goods and services, i.e.:</w:t>
      </w:r>
    </w:p>
    <w:p w:rsidR="00CF2858" w:rsidRPr="00E311D8" w:rsidRDefault="00CF2858" w:rsidP="00CF2858">
      <w:pPr>
        <w:pStyle w:val="-0"/>
        <w:snapToGrid w:val="0"/>
        <w:spacing w:line="360" w:lineRule="exact"/>
        <w:rPr>
          <w:color w:val="auto"/>
        </w:rPr>
      </w:pPr>
      <w:r w:rsidRPr="00E311D8">
        <w:rPr>
          <w:color w:val="auto"/>
        </w:rPr>
        <w:t>GDP by expenditure approach = final consumption expenditure + total capital formation + net export of goods and services</w:t>
      </w:r>
    </w:p>
    <w:p w:rsidR="00CF2858" w:rsidRPr="00E311D8" w:rsidRDefault="00CF2858" w:rsidP="00CF2858">
      <w:pPr>
        <w:pStyle w:val="-0"/>
        <w:snapToGrid w:val="0"/>
        <w:spacing w:line="360" w:lineRule="exact"/>
        <w:rPr>
          <w:color w:val="auto"/>
        </w:rPr>
      </w:pPr>
      <w:r w:rsidRPr="00E311D8">
        <w:rPr>
          <w:b/>
          <w:bCs/>
          <w:color w:val="auto"/>
        </w:rPr>
        <w:t>Final Consumption</w:t>
      </w:r>
      <w:r w:rsidRPr="00E311D8">
        <w:rPr>
          <w:color w:val="auto"/>
        </w:rPr>
        <w:t xml:space="preserve"> </w:t>
      </w:r>
      <w:r w:rsidRPr="00E311D8">
        <w:rPr>
          <w:b/>
          <w:bCs/>
          <w:color w:val="auto"/>
        </w:rPr>
        <w:t>Expenditure</w:t>
      </w:r>
      <w:r w:rsidRPr="00E311D8">
        <w:rPr>
          <w:color w:val="auto"/>
        </w:rPr>
        <w:t xml:space="preserve"> refers to the total expenditure of resident units for purchases of goods and services from domestic economic territory and abroad to meet the requirements of material, cultural and spiritual life. It excludes the expenditure of non-resident units on consumption in the economic territory of the country. The final consumption expenditure is broken down into household consumption expenditure and government consumption expenditure.</w:t>
      </w:r>
    </w:p>
    <w:p w:rsidR="00CF2858" w:rsidRPr="00E311D8" w:rsidRDefault="00CF2858" w:rsidP="00CF2858">
      <w:pPr>
        <w:pStyle w:val="-0"/>
        <w:snapToGrid w:val="0"/>
        <w:spacing w:line="360" w:lineRule="exact"/>
        <w:rPr>
          <w:color w:val="auto"/>
        </w:rPr>
      </w:pPr>
      <w:r w:rsidRPr="00E311D8">
        <w:rPr>
          <w:b/>
          <w:bCs/>
          <w:color w:val="auto"/>
        </w:rPr>
        <w:t>Households Consumption</w:t>
      </w:r>
      <w:r w:rsidRPr="00E311D8">
        <w:rPr>
          <w:color w:val="auto"/>
        </w:rPr>
        <w:t xml:space="preserve"> </w:t>
      </w:r>
      <w:r w:rsidRPr="00E311D8">
        <w:rPr>
          <w:b/>
          <w:bCs/>
          <w:color w:val="auto"/>
        </w:rPr>
        <w:t>Expenditure</w:t>
      </w:r>
      <w:r w:rsidRPr="00E311D8">
        <w:rPr>
          <w:color w:val="auto"/>
        </w:rPr>
        <w:t xml:space="preserve"> refers to the total expenditure of resident households on the final consumption of goods and services. In addition to the consumption of goods and services bought by the households directly with money, the households consumption expenditure also includes expenditure on goods and services obtained by the households in other ways, i.e. the so-called imputed consumption expenditure, which includes the following: (a) the goods and services provided to the households by the employer </w:t>
      </w:r>
      <w:r w:rsidRPr="00E311D8">
        <w:rPr>
          <w:color w:val="auto"/>
        </w:rPr>
        <w:lastRenderedPageBreak/>
        <w:t>in the form of payment in kind and transfer in kind; (b) goods and services produced and consumed by the households themselves, in which the services refer only to the owner-occupied housing and domestic and individual services provided by the paid household workers; (c) financial intermediate services provided by financial institutions; (d) insurance services provided by insurance companies.</w:t>
      </w:r>
    </w:p>
    <w:p w:rsidR="00CF2858" w:rsidRPr="00E311D8" w:rsidRDefault="00CF2858" w:rsidP="00CF2858">
      <w:pPr>
        <w:pStyle w:val="-0"/>
        <w:snapToGrid w:val="0"/>
        <w:spacing w:line="360" w:lineRule="exact"/>
        <w:rPr>
          <w:color w:val="auto"/>
        </w:rPr>
      </w:pPr>
      <w:r w:rsidRPr="00E311D8">
        <w:rPr>
          <w:b/>
          <w:bCs/>
          <w:color w:val="auto"/>
        </w:rPr>
        <w:t>Government Consumption</w:t>
      </w:r>
      <w:r w:rsidRPr="00E311D8">
        <w:rPr>
          <w:color w:val="auto"/>
        </w:rPr>
        <w:t xml:space="preserve"> </w:t>
      </w:r>
      <w:r w:rsidRPr="00E311D8">
        <w:rPr>
          <w:b/>
          <w:bCs/>
          <w:color w:val="auto"/>
        </w:rPr>
        <w:t>Expenditure</w:t>
      </w:r>
      <w:r w:rsidRPr="00E311D8">
        <w:rPr>
          <w:color w:val="auto"/>
        </w:rPr>
        <w:t xml:space="preserve">  refers to the expenditure on the consumption of the public services provided by the government to the whole society and the net expenditure on the goods and services provided by the government to the households free of charge or at low prices. The former equals to the output value of the government services minus the value of operating income obtained by the government departments. The latter equals to the market value of the goods and services provided by the government free of charge or at low prices to the households minus the value received by the government from the households.</w:t>
      </w:r>
    </w:p>
    <w:p w:rsidR="00CF2858" w:rsidRPr="00E311D8" w:rsidRDefault="00CF2858" w:rsidP="00CF2858">
      <w:pPr>
        <w:pStyle w:val="-0"/>
        <w:snapToGrid w:val="0"/>
        <w:spacing w:line="360" w:lineRule="exact"/>
        <w:rPr>
          <w:color w:val="auto"/>
        </w:rPr>
      </w:pPr>
      <w:r w:rsidRPr="00E311D8">
        <w:rPr>
          <w:b/>
          <w:bCs/>
          <w:color w:val="auto"/>
        </w:rPr>
        <w:t>Total Capital Formation</w:t>
      </w:r>
      <w:r w:rsidRPr="00E311D8">
        <w:rPr>
          <w:color w:val="auto"/>
        </w:rPr>
        <w:t xml:space="preserve">   refers to the fixed assets acquired minus those disposed of and the net value of inventory, including the total fixed capital formation and the increase in inventory.</w:t>
      </w:r>
    </w:p>
    <w:p w:rsidR="00CF2858" w:rsidRPr="00E311D8" w:rsidRDefault="00CF2858" w:rsidP="00CF2858">
      <w:pPr>
        <w:pStyle w:val="-0"/>
        <w:snapToGrid w:val="0"/>
        <w:spacing w:line="360" w:lineRule="exact"/>
        <w:rPr>
          <w:color w:val="auto"/>
        </w:rPr>
      </w:pPr>
      <w:r w:rsidRPr="00E311D8">
        <w:rPr>
          <w:b/>
          <w:bCs/>
          <w:color w:val="auto"/>
        </w:rPr>
        <w:t>Total Fixed Capital Formation</w:t>
      </w:r>
      <w:r w:rsidRPr="00E311D8">
        <w:rPr>
          <w:color w:val="auto"/>
        </w:rPr>
        <w:t xml:space="preserve">   refers to the value of fixed assets acquired minus those disposed of during a given period. Fixed assets are the assets produced through production activities with specified unit value which could be used for over one year, excluding natural assets.  Total fixed capital formation can be categorized into total tangible capital formation and total intangible capital formation. The total tangible capital formation include the value of the construction projects, installation projects completed and the equipment, apparatus and instruments purchased as well as the value of land improved, the value of draught animals, breeding stock, animals for milk, wool and for recreational purpose, and the newly increased forest with economic value during a given period. The total intangible capital formation includes the prospecting of minerals, the acquisition of computer software minus the disposal of them.</w:t>
      </w:r>
    </w:p>
    <w:p w:rsidR="00CF2858" w:rsidRPr="00E311D8" w:rsidRDefault="00CF2858" w:rsidP="00CF2858">
      <w:pPr>
        <w:pStyle w:val="-0"/>
        <w:snapToGrid w:val="0"/>
        <w:spacing w:line="360" w:lineRule="exact"/>
        <w:rPr>
          <w:color w:val="auto"/>
        </w:rPr>
      </w:pPr>
      <w:r w:rsidRPr="00E311D8">
        <w:rPr>
          <w:b/>
          <w:bCs/>
          <w:color w:val="auto"/>
        </w:rPr>
        <w:t>Increase in Inventory</w:t>
      </w:r>
      <w:r w:rsidRPr="00E311D8">
        <w:rPr>
          <w:color w:val="auto"/>
        </w:rPr>
        <w:t xml:space="preserve">   refers to the market value of the change in inventory of resident units during a given period, i.e. the difference of value between the beginning and the end of the period minus the current gains due to the change in prices. The increase in inventory can be positive or negative. A positive value indicates the increase in inventory while a negative value indicates the decrease in stock. The inventory includes the raw materials, fuels and reserve materials purchased by the production units as well as the inventory of finished products, semi-finished products, work-in-progress, etc.</w:t>
      </w:r>
    </w:p>
    <w:p w:rsidR="00CF2858" w:rsidRPr="00E311D8" w:rsidRDefault="00CF2858" w:rsidP="00CF2858">
      <w:pPr>
        <w:pStyle w:val="-0"/>
        <w:snapToGrid w:val="0"/>
        <w:spacing w:line="360" w:lineRule="exact"/>
        <w:rPr>
          <w:b/>
          <w:bCs/>
          <w:color w:val="auto"/>
        </w:rPr>
      </w:pPr>
      <w:r>
        <w:rPr>
          <w:rFonts w:hint="eastAsia"/>
          <w:b/>
          <w:bCs/>
        </w:rPr>
        <w:t>Outflow</w:t>
      </w:r>
      <w:r w:rsidRPr="00E311D8">
        <w:rPr>
          <w:b/>
          <w:bCs/>
        </w:rPr>
        <w:t xml:space="preserve"> of Goods and Services</w:t>
      </w:r>
      <w:r w:rsidRPr="00E311D8">
        <w:t xml:space="preserve">   refers to the difference of the exports of goods and services minus the imports of goods and services.  The imports include the value of various goods and services sold or gratuitously transferred by the resident units to the non-resident units. The imports include the value of various goods and services purchased or gratuitously acquired by the resident units from the non-resident units. Because the provision of services and the use of them happen simultaneously, the acquisition of services by the resident units from abroad is usually treated as import while the acquisition of services by non-resident units in this country is usually treated as export. The export and import of goods are calculated at FOB.</w:t>
      </w:r>
    </w:p>
    <w:p w:rsidR="00CF2858" w:rsidRPr="005C2BD0" w:rsidRDefault="00CF2858" w:rsidP="00CF2858">
      <w:pPr>
        <w:pStyle w:val="a8"/>
        <w:spacing w:line="360" w:lineRule="exact"/>
      </w:pPr>
    </w:p>
    <w:p w:rsidR="00CF2858" w:rsidRDefault="00CF2858" w:rsidP="00CF2858"/>
    <w:p w:rsidR="00CF2858" w:rsidRPr="003B1967" w:rsidRDefault="00CF2858" w:rsidP="00CF2858"/>
    <w:p w:rsidR="004C6226" w:rsidRDefault="005B6696"/>
    <w:p w:rsidR="00CF2858" w:rsidRDefault="00CF2858"/>
    <w:p w:rsidR="00CF2858" w:rsidRDefault="00CF2858"/>
    <w:p w:rsidR="00CF2858" w:rsidRDefault="00CF2858"/>
    <w:p w:rsidR="00CF2858" w:rsidRDefault="00CF2858"/>
    <w:p w:rsidR="00CF2858" w:rsidRDefault="00CF2858"/>
    <w:p w:rsidR="00CF2858" w:rsidRDefault="00CF2858"/>
    <w:p w:rsidR="00CF2858" w:rsidRDefault="00CF2858"/>
    <w:p w:rsidR="00CF2858" w:rsidRDefault="00CF2858"/>
    <w:p w:rsidR="00CF2858" w:rsidRPr="00CF2858" w:rsidRDefault="00CF2858"/>
    <w:sectPr w:rsidR="00CF2858" w:rsidRPr="00CF2858" w:rsidSect="00632AA3">
      <w:headerReference w:type="even" r:id="rId6"/>
      <w:headerReference w:type="default" r:id="rId7"/>
      <w:footerReference w:type="even" r:id="rId8"/>
      <w:footerReference w:type="default" r:id="rId9"/>
      <w:pgSz w:w="11906" w:h="16838" w:code="9"/>
      <w:pgMar w:top="1021" w:right="1077" w:bottom="1247" w:left="1077" w:header="510" w:footer="624" w:gutter="0"/>
      <w:pgNumType w:start="1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6696" w:rsidRDefault="005B6696">
      <w:r>
        <w:separator/>
      </w:r>
    </w:p>
  </w:endnote>
  <w:endnote w:type="continuationSeparator" w:id="0">
    <w:p w:rsidR="005B6696" w:rsidRDefault="005B6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汉仪中黑简">
    <w:altName w:val="微软雅黑"/>
    <w:charset w:val="86"/>
    <w:family w:val="modern"/>
    <w:pitch w:val="fixed"/>
    <w:sig w:usb0="00000000" w:usb1="080E0800" w:usb2="00000012" w:usb3="00000000" w:csb0="00040000" w:csb1="00000000"/>
  </w:font>
  <w:font w:name="华文中宋">
    <w:panose1 w:val="02010600040101010101"/>
    <w:charset w:val="86"/>
    <w:family w:val="auto"/>
    <w:pitch w:val="variable"/>
    <w:sig w:usb0="00000287" w:usb1="080F0000" w:usb2="00000010" w:usb3="00000000" w:csb0="0004009F" w:csb1="00000000"/>
  </w:font>
  <w:font w:name="汉仪书宋一简">
    <w:altName w:val="微软雅黑"/>
    <w:charset w:val="86"/>
    <w:family w:val="modern"/>
    <w:pitch w:val="fixed"/>
    <w:sig w:usb0="00000000" w:usb1="080E0800" w:usb2="00000012" w:usb3="00000000" w:csb0="00040000" w:csb1="00000000"/>
  </w:font>
  <w:font w:name="汉仪报宋简">
    <w:altName w:val="微软雅黑"/>
    <w:charset w:val="86"/>
    <w:family w:val="modern"/>
    <w:pitch w:val="fixed"/>
    <w:sig w:usb0="00000000" w:usb1="080E0800" w:usb2="00000012"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1F2D" w:rsidRPr="009216AE" w:rsidRDefault="00CF2858" w:rsidP="00862778">
    <w:pPr>
      <w:pStyle w:val="a3"/>
      <w:framePr w:w="458" w:wrap="around" w:vAnchor="text" w:hAnchor="page" w:x="1621" w:y="195"/>
      <w:jc w:val="center"/>
      <w:rPr>
        <w:rStyle w:val="a5"/>
      </w:rPr>
    </w:pPr>
    <w:r w:rsidRPr="009216AE">
      <w:rPr>
        <w:rStyle w:val="a5"/>
      </w:rPr>
      <w:fldChar w:fldCharType="begin"/>
    </w:r>
    <w:r w:rsidRPr="009216AE">
      <w:rPr>
        <w:rStyle w:val="a5"/>
      </w:rPr>
      <w:instrText xml:space="preserve">PAGE  </w:instrText>
    </w:r>
    <w:r w:rsidRPr="009216AE">
      <w:rPr>
        <w:rStyle w:val="a5"/>
      </w:rPr>
      <w:fldChar w:fldCharType="separate"/>
    </w:r>
    <w:r>
      <w:rPr>
        <w:rStyle w:val="a5"/>
        <w:noProof/>
      </w:rPr>
      <w:t>52</w:t>
    </w:r>
    <w:r w:rsidRPr="009216AE">
      <w:rPr>
        <w:rStyle w:val="a5"/>
      </w:rPr>
      <w:fldChar w:fldCharType="end"/>
    </w:r>
  </w:p>
  <w:p w:rsidR="00E91F2D" w:rsidRDefault="00CF2858" w:rsidP="00D256C6">
    <w:pPr>
      <w:pStyle w:val="a3"/>
      <w:tabs>
        <w:tab w:val="clear" w:pos="4153"/>
        <w:tab w:val="clear" w:pos="8306"/>
      </w:tabs>
      <w:ind w:right="88"/>
    </w:pPr>
    <w:r>
      <w:rPr>
        <w:noProof/>
      </w:rP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1F2D" w:rsidRPr="00D56662" w:rsidRDefault="00CF2858" w:rsidP="00862778">
    <w:pPr>
      <w:pStyle w:val="a3"/>
      <w:framePr w:w="414" w:wrap="around" w:vAnchor="text" w:hAnchor="page" w:x="9849" w:y="210"/>
      <w:jc w:val="center"/>
      <w:rPr>
        <w:rStyle w:val="a5"/>
      </w:rPr>
    </w:pPr>
    <w:r w:rsidRPr="00D56662">
      <w:rPr>
        <w:rStyle w:val="a5"/>
      </w:rPr>
      <w:fldChar w:fldCharType="begin"/>
    </w:r>
    <w:r w:rsidRPr="00D56662">
      <w:rPr>
        <w:rStyle w:val="a5"/>
      </w:rPr>
      <w:instrText xml:space="preserve">PAGE  </w:instrText>
    </w:r>
    <w:r w:rsidRPr="00D56662">
      <w:rPr>
        <w:rStyle w:val="a5"/>
      </w:rPr>
      <w:fldChar w:fldCharType="separate"/>
    </w:r>
    <w:r w:rsidR="00551479">
      <w:rPr>
        <w:rStyle w:val="a5"/>
        <w:noProof/>
      </w:rPr>
      <w:t>22</w:t>
    </w:r>
    <w:r w:rsidRPr="00D56662">
      <w:rPr>
        <w:rStyle w:val="a5"/>
      </w:rPr>
      <w:fldChar w:fldCharType="end"/>
    </w:r>
  </w:p>
  <w:p w:rsidR="00E91F2D" w:rsidRDefault="00CF2858" w:rsidP="00D56662">
    <w:pPr>
      <w:pStyle w:val="a3"/>
      <w:tabs>
        <w:tab w:val="clear" w:pos="4153"/>
        <w:tab w:val="clear" w:pos="8306"/>
      </w:tabs>
      <w:ind w:right="23"/>
      <w:jc w:val="right"/>
    </w:pPr>
    <w:r>
      <w:rPr>
        <w:rFonts w:hint="eastAsia"/>
        <w:noProof/>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6696" w:rsidRDefault="005B6696">
      <w:r>
        <w:separator/>
      </w:r>
    </w:p>
  </w:footnote>
  <w:footnote w:type="continuationSeparator" w:id="0">
    <w:p w:rsidR="005B6696" w:rsidRDefault="005B6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6AE" w:rsidRDefault="00CF2858" w:rsidP="009216AE">
    <w:r>
      <w:rPr>
        <w:noProof/>
      </w:rP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6AE" w:rsidRPr="009216AE" w:rsidRDefault="00CF2858" w:rsidP="009216AE">
                          <w:pPr>
                            <w:rPr>
                              <w:rFonts w:eastAsia="汉仪报宋简"/>
                              <w:sz w:val="15"/>
                              <w:szCs w:val="15"/>
                            </w:rPr>
                          </w:pPr>
                          <w:r>
                            <w:rPr>
                              <w:rFonts w:eastAsia="汉仪报宋简" w:hint="eastAsia"/>
                              <w:sz w:val="15"/>
                              <w:szCs w:val="15"/>
                            </w:rPr>
                            <w:t>General Survey</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35.45pt;margin-top:6.35pt;width:204.15pt;height: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" filled="f" stroked="f">
              <v:textbox style="mso-fit-shape-to-text:t" inset="0,0,0,0">
                <w:txbxContent>
                  <w:p w:rsidR="009216AE" w:rsidRPr="009216AE" w:rsidRDefault="00CF2858" w:rsidP="009216AE">
                    <w:pPr>
                      <w:rPr>
                        <w:rFonts w:eastAsia="汉仪报宋简"/>
                        <w:sz w:val="15"/>
                        <w:szCs w:val="15"/>
                      </w:rPr>
                    </w:pPr>
                    <w:r>
                      <w:rPr>
                        <w:rFonts w:eastAsia="汉仪报宋简" w:hint="eastAsia"/>
                        <w:sz w:val="15"/>
                        <w:szCs w:val="15"/>
                      </w:rPr>
                      <w:t>General Survey</w:t>
                    </w:r>
                  </w:p>
                </w:txbxContent>
              </v:textbox>
            </v:shape>
          </w:pict>
        </mc:Fallback>
      </mc:AlternateContent>
    </w:r>
    <w:r>
      <w:rPr>
        <w:rFonts w:hint="eastAsia"/>
        <w:noProof/>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EE4" w:rsidRPr="00694384" w:rsidRDefault="00CF2858" w:rsidP="00694384">
    <w:pPr>
      <w:jc w:val="right"/>
      <w:rPr>
        <w:szCs w:val="18"/>
      </w:rPr>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4384" w:rsidRPr="00806140" w:rsidRDefault="00CF2858" w:rsidP="00694384">
                          <w:pPr>
                            <w:jc w:val="right"/>
                            <w:rPr>
                              <w:rFonts w:ascii="汉仪书宋一简" w:eastAsia="汉仪书宋一简"/>
                              <w:sz w:val="15"/>
                              <w:szCs w:val="15"/>
                            </w:rPr>
                          </w:pPr>
                          <w:r>
                            <w:rPr>
                              <w:rFonts w:ascii="汉仪书宋一简" w:eastAsia="汉仪书宋一简" w:hint="eastAsia"/>
                              <w:sz w:val="15"/>
                              <w:szCs w:val="15"/>
                            </w:rPr>
                            <w:t>综　　　　合</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 o:spid="_x0000_s1027" type="#_x0000_t202" style="position:absolute;left:0;text-align:left;margin-left:382.9pt;margin-top:6.55pt;width:71.3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" filled="f" stroked="f">
              <v:textbox style="mso-fit-shape-to-text:t" inset="0,0,0,0">
                <w:txbxContent>
                  <w:p w:rsidR="00694384" w:rsidRPr="00806140" w:rsidRDefault="00CF2858" w:rsidP="00694384">
                    <w:pPr>
                      <w:jc w:val="right"/>
                      <w:rPr>
                        <w:rFonts w:ascii="汉仪书宋一简" w:eastAsia="汉仪书宋一简"/>
                        <w:sz w:val="15"/>
                        <w:szCs w:val="15"/>
                      </w:rPr>
                    </w:pPr>
                    <w:r>
                      <w:rPr>
                        <w:rFonts w:ascii="汉仪书宋一简" w:eastAsia="汉仪书宋一简" w:hint="eastAsia"/>
                        <w:sz w:val="15"/>
                        <w:szCs w:val="15"/>
                      </w:rPr>
                      <w:t>综　　　　合</w:t>
                    </w:r>
                  </w:p>
                </w:txbxContent>
              </v:textbox>
            </v:shape>
          </w:pict>
        </mc:Fallback>
      </mc:AlternateContent>
    </w:r>
    <w:r>
      <w:rPr>
        <w:rFonts w:hint="eastAsia"/>
        <w:noProof/>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858"/>
    <w:rsid w:val="004973FF"/>
    <w:rsid w:val="00551479"/>
    <w:rsid w:val="005B6696"/>
    <w:rsid w:val="006B75AD"/>
    <w:rsid w:val="00BA4E86"/>
    <w:rsid w:val="00BF5019"/>
    <w:rsid w:val="00CF2858"/>
    <w:rsid w:val="00E26735"/>
    <w:rsid w:val="00F00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1DEE0C54"/>
  <w15:chartTrackingRefBased/>
  <w15:docId w15:val="{C1248D7A-EC91-4F0D-972B-D141D0C3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2858"/>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CF2858"/>
    <w:pPr>
      <w:tabs>
        <w:tab w:val="center" w:pos="4153"/>
        <w:tab w:val="right" w:pos="8306"/>
      </w:tabs>
      <w:snapToGrid w:val="0"/>
      <w:jc w:val="left"/>
    </w:pPr>
    <w:rPr>
      <w:sz w:val="18"/>
      <w:szCs w:val="18"/>
    </w:rPr>
  </w:style>
  <w:style w:type="character" w:customStyle="1" w:styleId="a4">
    <w:name w:val="页脚 字符"/>
    <w:basedOn w:val="a0"/>
    <w:link w:val="a3"/>
    <w:rsid w:val="00CF2858"/>
    <w:rPr>
      <w:rFonts w:ascii="Times New Roman" w:eastAsia="宋体" w:hAnsi="Times New Roman" w:cs="Times New Roman"/>
      <w:sz w:val="18"/>
      <w:szCs w:val="18"/>
    </w:rPr>
  </w:style>
  <w:style w:type="character" w:styleId="a5">
    <w:name w:val="page number"/>
    <w:basedOn w:val="a0"/>
    <w:rsid w:val="00CF2858"/>
  </w:style>
  <w:style w:type="paragraph" w:styleId="a6">
    <w:name w:val="header"/>
    <w:basedOn w:val="a"/>
    <w:link w:val="a7"/>
    <w:rsid w:val="00CF285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CF2858"/>
    <w:rPr>
      <w:rFonts w:ascii="Times New Roman" w:eastAsia="宋体" w:hAnsi="Times New Roman" w:cs="Times New Roman"/>
      <w:sz w:val="18"/>
      <w:szCs w:val="18"/>
    </w:rPr>
  </w:style>
  <w:style w:type="paragraph" w:styleId="a8">
    <w:name w:val="Plain Text"/>
    <w:basedOn w:val="a"/>
    <w:link w:val="a9"/>
    <w:rsid w:val="00CF2858"/>
    <w:rPr>
      <w:rFonts w:ascii="宋体" w:hAnsi="Courier New" w:cs="Courier New"/>
      <w:szCs w:val="21"/>
    </w:rPr>
  </w:style>
  <w:style w:type="character" w:customStyle="1" w:styleId="a9">
    <w:name w:val="纯文本 字符"/>
    <w:basedOn w:val="a0"/>
    <w:link w:val="a8"/>
    <w:rsid w:val="00CF2858"/>
    <w:rPr>
      <w:rFonts w:ascii="宋体" w:eastAsia="宋体" w:hAnsi="Courier New" w:cs="Courier New"/>
      <w:szCs w:val="21"/>
    </w:rPr>
  </w:style>
  <w:style w:type="paragraph" w:customStyle="1" w:styleId="-">
    <w:name w:val="Ó¢-Ö¸±êÄÚÎÄ"/>
    <w:rsid w:val="00CF2858"/>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eastAsia="宋体" w:hAnsi="Times New Roman" w:cs="Times New Roman"/>
      <w:color w:val="000000"/>
      <w:kern w:val="0"/>
      <w:sz w:val="18"/>
      <w:szCs w:val="18"/>
    </w:rPr>
  </w:style>
  <w:style w:type="paragraph" w:customStyle="1" w:styleId="-0">
    <w:name w:val="¨®¡é-?¡Â???¨²??"/>
    <w:rsid w:val="00CF2858"/>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eastAsia="宋体" w:hAnsi="Times New Roman" w:cs="Times New Roman"/>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4005</Words>
  <Characters>22833</Characters>
  <Application>Microsoft Office Word</Application>
  <DocSecurity>0</DocSecurity>
  <Lines>190</Lines>
  <Paragraphs>53</Paragraphs>
  <ScaleCrop>false</ScaleCrop>
  <Company> </Company>
  <LinksUpToDate>false</LinksUpToDate>
  <CharactersWithSpaces>26785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simon parker</cp:lastModifiedBy>
  <cp:revision>6</cp:revision>
  <dcterms:created xsi:type="dcterms:W3CDTF">2016-08-08T02:06:00Z</dcterms:created>
  <dcterms:modified xsi:type="dcterms:W3CDTF">2024-09-03T03:40:00Z</dcterms:modified>
</cp:coreProperties>
</file>