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A86" w:rsidRDefault="00631A86" w:rsidP="003B1F8B">
      <w:pPr>
        <w:shd w:val="clear" w:color="auto" w:fill="B3B3B3"/>
        <w:jc w:val="center"/>
        <w:rPr>
          <w:rFonts w:ascii="汉仪中黑简" w:eastAsia="汉仪中黑简"/>
          <w:outline/>
          <w:color w:val="FFFFFF" w:themeColor="background1"/>
          <w:sz w:val="32"/>
          <w:szCs w:val="32"/>
        </w:rPr>
      </w:pPr>
    </w:p>
    <w:p w:rsidR="003B1F8B" w:rsidRPr="003B1F8B" w:rsidRDefault="003B1F8B" w:rsidP="003B1F8B">
      <w:pPr>
        <w:shd w:val="clear" w:color="auto" w:fill="B3B3B3"/>
        <w:jc w:val="center"/>
        <w:rPr>
          <w:rFonts w:ascii="汉仪中黑简" w:eastAsia="汉仪中黑简"/>
          <w:outline/>
          <w:color w:val="FFFFFF" w:themeColor="background1"/>
          <w:sz w:val="36"/>
          <w:szCs w:val="36"/>
        </w:rPr>
      </w:pPr>
      <w:r w:rsidRPr="003B1F8B">
        <w:rPr>
          <w:rFonts w:ascii="汉仪中黑简" w:eastAsia="汉仪中黑简" w:hint="eastAsia"/>
          <w:outline/>
          <w:color w:val="FFFFFF" w:themeColor="background1"/>
          <w:sz w:val="36"/>
          <w:szCs w:val="36"/>
        </w:rPr>
        <w:t>主要统计指标解释</w:t>
      </w:r>
    </w:p>
    <w:p w:rsidR="003B1F8B" w:rsidRPr="00E602DD" w:rsidRDefault="003B1F8B"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afterLines="50"/>
        <w:jc w:val="center"/>
        <w:rPr>
          <w:rFonts w:ascii="汉仪中黑简" w:eastAsia="汉仪中黑简" w:hAnsi="华文中宋" w:cs="汉仪中黑简"/>
          <w:kern w:val="0"/>
          <w:szCs w:val="21"/>
        </w:rPr>
      </w:pPr>
    </w:p>
    <w:p w:rsidR="003B1F8B" w:rsidRPr="002C3937" w:rsidRDefault="003B1F8B" w:rsidP="003B1F8B">
      <w:pPr>
        <w:pStyle w:val="a5"/>
        <w:rPr>
          <w:rFonts w:hAnsi="宋体" w:cs="宋体"/>
        </w:rPr>
      </w:pP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建筑业统计单位 指从事房屋、构筑物建造和设备安装活动的法人企业。建筑业法人企业应具有建筑业资质并能够独立核算，同时其应具备以下条件：①依法成立，有自己的名称、组织机构和场所，能够承担民事责任；②独立拥有和使用资产，承担负债，有权与其他单位签订合同；③独立核算盈亏，能够编制资产负债表。</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 xml:space="preserve">建筑业总产值 是以货币形式表现的建筑业企业在一定时期内生产的建筑业产品和提供的服务的总和。建筑业总产值包括： </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⑴建筑工程产值：指列入建筑工程预算内的各种工程价值。</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⑵安装工程产值：指设备安装工程价值，不包括被安装设备本身的价值。</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⑶其他产值：建筑业总产值中除建筑工程、安装工程以外的产值。包括房屋构筑物修理产值、非标准设备制造产值、总包企业向分包企业收取的管理费以及不能明确划分的施工活动所完成的产值。</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a.房屋构筑物修理产值：指房屋和构筑物修理所完成的产值，但不包括被修理房屋、构筑物本身价值和生产设备的修理产值。</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b.非标准设备制造产值：指加工制造没有定型的非标准生产设备的加工费和原材料价值(如化工厂、炼油厂用的各种罐、槽，矿井生产统一使用的各种漏斗、三角槽、阀门等)以及附属加工厂为本企业承建工程制作的非标准设备的价值。</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建筑业增加值 指建筑业企业在报告期内以货币形式表现的建筑业生产经营活动的最终成果。</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从2004年第一次全国经济普查开始，建筑业现价增加值按生产法和分配法(收入法)两种方法计算，以收入法的计算结果为准，即从收入的角度出发，根据生产要素在生产过程中应得的收入份额计算。具体计算方法：经济普查年度建筑业增加值按照《经济普查年度GDP核算方案》计算，非经济普查年度建筑业增加值按照《非经济普查年度GDP核算方案》计算。</w:t>
      </w:r>
    </w:p>
    <w:p w:rsidR="00A43DE2" w:rsidRPr="00A43DE2"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hint="eastAsia"/>
          <w:b/>
          <w:kern w:val="0"/>
          <w:sz w:val="18"/>
          <w:szCs w:val="18"/>
        </w:rPr>
      </w:pPr>
      <w:r w:rsidRPr="00A43DE2">
        <w:rPr>
          <w:rFonts w:ascii="汉仪书宋一简" w:eastAsia="汉仪书宋一简" w:hAnsi="宋体" w:cs="汉仪中黑简" w:hint="eastAsia"/>
          <w:b/>
          <w:kern w:val="0"/>
          <w:sz w:val="18"/>
          <w:szCs w:val="18"/>
        </w:rPr>
        <w:t>房屋建筑施工面积 指在报告期内施过工的全部房屋建筑面积，包括本期新开工的房屋面积、上期施工跨入本期继续施工的房屋面积、上期停缓建在本期恢复施工的房屋面积、本期竣工的房屋面积及本期施工后又停缓建的房屋面积。</w:t>
      </w:r>
    </w:p>
    <w:p w:rsidR="00254AAF" w:rsidRDefault="00A43DE2" w:rsidP="00A43DE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A43DE2">
        <w:rPr>
          <w:rFonts w:ascii="汉仪书宋一简" w:eastAsia="汉仪书宋一简" w:hAnsi="宋体" w:cs="汉仪中黑简" w:hint="eastAsia"/>
          <w:b/>
          <w:kern w:val="0"/>
          <w:sz w:val="18"/>
          <w:szCs w:val="18"/>
        </w:rPr>
        <w:t>房屋建筑竣工面积 指在报告期内房屋建筑按照设计要求全部完工，达到了使用条件，经验收鉴定合格，正式移交使用单位的房屋建筑面积。</w:t>
      </w:r>
    </w:p>
    <w:p w:rsidR="003B1F8B"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3B1F8B" w:rsidRDefault="003B1F8B" w:rsidP="003B1F8B">
      <w:pPr>
        <w:snapToGrid w:val="0"/>
        <w:jc w:val="center"/>
        <w:rPr>
          <w:b/>
        </w:rPr>
      </w:pPr>
    </w:p>
    <w:p w:rsidR="003B1F8B" w:rsidRDefault="003B1F8B" w:rsidP="003B1F8B">
      <w:pPr>
        <w:snapToGrid w:val="0"/>
        <w:jc w:val="center"/>
        <w:rPr>
          <w:b/>
        </w:rPr>
      </w:pPr>
      <w:r>
        <w:rPr>
          <w:b/>
        </w:rPr>
        <w:t>Explanatory Notes on Main Statistical Indicators</w:t>
      </w:r>
    </w:p>
    <w:p w:rsidR="003B1F8B" w:rsidRDefault="003B1F8B" w:rsidP="003B1F8B">
      <w:pPr>
        <w:snapToGrid w:val="0"/>
        <w:jc w:val="center"/>
        <w:rPr>
          <w:b/>
        </w:rPr>
      </w:pPr>
    </w:p>
    <w:p w:rsidR="003B1F8B" w:rsidRDefault="003B1F8B" w:rsidP="003B1F8B">
      <w:pPr>
        <w:snapToGrid w:val="0"/>
        <w:jc w:val="center"/>
        <w:rPr>
          <w:b/>
        </w:rPr>
      </w:pPr>
    </w:p>
    <w:p w:rsidR="00A43DE2" w:rsidRPr="00A43DE2" w:rsidRDefault="00A43DE2" w:rsidP="00A43DE2">
      <w:pPr>
        <w:pStyle w:val="a6"/>
        <w:snapToGrid w:val="0"/>
        <w:spacing w:line="280" w:lineRule="exact"/>
        <w:rPr>
          <w:color w:val="auto"/>
        </w:rPr>
      </w:pPr>
      <w:r w:rsidRPr="00A43DE2">
        <w:rPr>
          <w:color w:val="auto"/>
        </w:rPr>
        <w:t>Statistical Unit in Construction refers to corporate enterprise engaged in the construction of buildings and structures and in the installation of equipment. A corporate construction enterprise should have qualification certificates with independent accounting system, and should meet the following 3 requirements: a) being set up in line with relevant legal basis, having its full name, organization and location, and capable of taking civil liabilities; b) independently possessing and using its assets and assuming its liabilities, and entitled to sign contracts with other institutions; and c) making independent accounts of its profits and losses, and capable of compiling its own balance sheet.</w:t>
      </w:r>
    </w:p>
    <w:p w:rsidR="00A43DE2" w:rsidRPr="00A43DE2" w:rsidRDefault="00A43DE2" w:rsidP="00A43DE2">
      <w:pPr>
        <w:pStyle w:val="a6"/>
        <w:snapToGrid w:val="0"/>
        <w:spacing w:line="280" w:lineRule="exact"/>
        <w:rPr>
          <w:color w:val="auto"/>
        </w:rPr>
      </w:pPr>
      <w:r w:rsidRPr="00A43DE2">
        <w:rPr>
          <w:color w:val="auto"/>
        </w:rPr>
        <w:lastRenderedPageBreak/>
        <w:t>Gross Output Value of Construction refers to total of construction products and services, expressed in money terms, produced or rendered by construction and installation enterprises during a given period of time. It includes:</w:t>
      </w:r>
    </w:p>
    <w:p w:rsidR="00A43DE2" w:rsidRPr="00A43DE2" w:rsidRDefault="00A43DE2" w:rsidP="00A43DE2">
      <w:pPr>
        <w:pStyle w:val="a6"/>
        <w:snapToGrid w:val="0"/>
        <w:spacing w:line="280" w:lineRule="exact"/>
        <w:rPr>
          <w:color w:val="auto"/>
        </w:rPr>
      </w:pPr>
      <w:r w:rsidRPr="00A43DE2">
        <w:rPr>
          <w:color w:val="auto"/>
        </w:rPr>
        <w:t>(1) Output value of construction projects, that is the value of projects covered by the project budgets;</w:t>
      </w:r>
    </w:p>
    <w:p w:rsidR="00A43DE2" w:rsidRPr="00A43DE2" w:rsidRDefault="00A43DE2" w:rsidP="00A43DE2">
      <w:pPr>
        <w:pStyle w:val="a6"/>
        <w:snapToGrid w:val="0"/>
        <w:spacing w:line="280" w:lineRule="exact"/>
        <w:rPr>
          <w:color w:val="auto"/>
        </w:rPr>
      </w:pPr>
      <w:r w:rsidRPr="00A43DE2">
        <w:rPr>
          <w:color w:val="auto"/>
        </w:rPr>
        <w:t>(2) Output value of installation projects, that is the value of the installation of equipment, (excluding the value of the equipment to be installed);</w:t>
      </w:r>
    </w:p>
    <w:p w:rsidR="00A43DE2" w:rsidRPr="00A43DE2" w:rsidRDefault="00A43DE2" w:rsidP="00A43DE2">
      <w:pPr>
        <w:pStyle w:val="a6"/>
        <w:snapToGrid w:val="0"/>
        <w:spacing w:line="280" w:lineRule="exact"/>
        <w:rPr>
          <w:color w:val="auto"/>
        </w:rPr>
      </w:pPr>
      <w:r w:rsidRPr="00A43DE2">
        <w:rPr>
          <w:color w:val="auto"/>
        </w:rPr>
        <w:t>(3) Output value of others, that is the output value of construction industry excluding that of construction projects and installation projects. It includes: output value of repair of buildings and structures; output value of non-standard equipment manufacturing; overhead expenses received by contracted enterprises to the sub-contracted enterprises and the completed output value of construction activities that have no clear definition.</w:t>
      </w:r>
    </w:p>
    <w:p w:rsidR="00A43DE2" w:rsidRPr="00A43DE2" w:rsidRDefault="00A43DE2" w:rsidP="00A43DE2">
      <w:pPr>
        <w:pStyle w:val="a6"/>
        <w:snapToGrid w:val="0"/>
        <w:spacing w:line="280" w:lineRule="exact"/>
        <w:rPr>
          <w:color w:val="auto"/>
        </w:rPr>
      </w:pPr>
      <w:r w:rsidRPr="00A43DE2">
        <w:rPr>
          <w:color w:val="auto"/>
        </w:rPr>
        <w:t>a. Output value of repair of buildings and structures, that is the value created through the repairs of buildings or structures, but does not include the value of buildings or structures being repaired and the value of the repair of production equipment;</w:t>
      </w:r>
    </w:p>
    <w:p w:rsidR="00A43DE2" w:rsidRPr="00A43DE2" w:rsidRDefault="00A43DE2" w:rsidP="00A43DE2">
      <w:pPr>
        <w:pStyle w:val="a6"/>
        <w:snapToGrid w:val="0"/>
        <w:spacing w:line="280" w:lineRule="exact"/>
        <w:rPr>
          <w:color w:val="auto"/>
        </w:rPr>
      </w:pPr>
      <w:r w:rsidRPr="00A43DE2">
        <w:rPr>
          <w:color w:val="auto"/>
        </w:rPr>
        <w:t>b. Output value of manufactured non-standard equipment, that is the value of non-standard production equipment including raw materials and manufacturing cost made for the construction project (i.e., chemical plant; kettles or tanks used by refineries; various fillers, triangle tanks, valves used by mines), and the output value of equipment manufactured by subsidiary workshops.</w:t>
      </w:r>
    </w:p>
    <w:p w:rsidR="00A43DE2" w:rsidRPr="00A43DE2" w:rsidRDefault="00A43DE2" w:rsidP="00A43DE2">
      <w:pPr>
        <w:pStyle w:val="a6"/>
        <w:snapToGrid w:val="0"/>
        <w:spacing w:line="280" w:lineRule="exact"/>
        <w:rPr>
          <w:color w:val="auto"/>
        </w:rPr>
      </w:pPr>
      <w:r w:rsidRPr="00A43DE2">
        <w:rPr>
          <w:color w:val="auto"/>
        </w:rPr>
        <w:t xml:space="preserve">Value-added of Construction refers to the final result of the activities of production and management of construction industry in monetary terms in the reference period. </w:t>
      </w:r>
    </w:p>
    <w:p w:rsidR="00A43DE2" w:rsidRPr="00A43DE2" w:rsidRDefault="00A43DE2" w:rsidP="00A43DE2">
      <w:pPr>
        <w:pStyle w:val="a6"/>
        <w:snapToGrid w:val="0"/>
        <w:spacing w:line="280" w:lineRule="exact"/>
        <w:rPr>
          <w:color w:val="auto"/>
        </w:rPr>
      </w:pPr>
      <w:r w:rsidRPr="00A43DE2">
        <w:rPr>
          <w:color w:val="auto"/>
        </w:rPr>
        <w:t>Starting from the 2004 economic census, value-added of construction is calculated by both production approach and income approach, with the income approach as the final approach, where the calculation is based on the share of production factor in the production process. Specifically, value-added of construction for census years is calculated in accordance with the Programme of Compilation of GDP and National Accounts for the Year of Economic Census, and value-added of construction for other years is calculated in accordance with the Programme of Compilation of GDP and National Accounts for the Non Economic Census Years.</w:t>
      </w:r>
    </w:p>
    <w:p w:rsidR="00A43DE2" w:rsidRPr="00A43DE2" w:rsidRDefault="00A43DE2" w:rsidP="00A43DE2">
      <w:pPr>
        <w:pStyle w:val="a6"/>
        <w:snapToGrid w:val="0"/>
        <w:spacing w:line="280" w:lineRule="exact"/>
        <w:rPr>
          <w:color w:val="auto"/>
        </w:rPr>
      </w:pPr>
      <w:r w:rsidRPr="00A43DE2">
        <w:rPr>
          <w:color w:val="auto"/>
        </w:rPr>
        <w:t xml:space="preserve">Floor Space of Buildings Under Construction refers to floor space of buildings under construction during the reference period, including newly started buildings, buildings started earlier and continued during the reference period, and buildings suspended earlier but restarted during the reference period, buildings completed during the reference period, and buildings under construction and then suspended during the reference period. </w:t>
      </w:r>
    </w:p>
    <w:p w:rsidR="004C6226" w:rsidRPr="003B1F8B" w:rsidRDefault="00A43DE2" w:rsidP="00A43DE2">
      <w:pPr>
        <w:pStyle w:val="a6"/>
        <w:snapToGrid w:val="0"/>
        <w:spacing w:line="280" w:lineRule="exact"/>
      </w:pPr>
      <w:r w:rsidRPr="00A43DE2">
        <w:rPr>
          <w:color w:val="auto"/>
        </w:rPr>
        <w:t>Floor Space of Buildings Completed refers to the floor space of buildings that are completed in the reference period in accordance with the requirements of the design, up to the standard for putting them into use, and have been checked and accepted by concerned departments as qualified ones.</w:t>
      </w:r>
    </w:p>
    <w:sectPr w:rsidR="004C6226" w:rsidRPr="003B1F8B" w:rsidSect="00417F44">
      <w:headerReference w:type="even" r:id="rId6"/>
      <w:headerReference w:type="default" r:id="rId7"/>
      <w:footerReference w:type="even" r:id="rId8"/>
      <w:footerReference w:type="default" r:id="rId9"/>
      <w:pgSz w:w="11906" w:h="16838" w:code="9"/>
      <w:pgMar w:top="1021" w:right="1077" w:bottom="1247" w:left="1077" w:header="510" w:footer="624" w:gutter="0"/>
      <w:pgNumType w:start="369"/>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744A" w:rsidRDefault="0080744A">
      <w:r>
        <w:separator/>
      </w:r>
    </w:p>
  </w:endnote>
  <w:endnote w:type="continuationSeparator" w:id="1">
    <w:p w:rsidR="0080744A" w:rsidRDefault="0080744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F2D" w:rsidRPr="009216AE" w:rsidRDefault="00B42DCE" w:rsidP="00862778">
    <w:pPr>
      <w:pStyle w:val="a3"/>
      <w:framePr w:w="458" w:wrap="around" w:vAnchor="text" w:hAnchor="page" w:x="1621" w:y="195"/>
      <w:jc w:val="center"/>
      <w:rPr>
        <w:rStyle w:val="a4"/>
      </w:rPr>
    </w:pPr>
    <w:r w:rsidRPr="009216AE">
      <w:rPr>
        <w:rStyle w:val="a4"/>
      </w:rPr>
      <w:fldChar w:fldCharType="begin"/>
    </w:r>
    <w:r w:rsidR="003B1F8B" w:rsidRPr="009216AE">
      <w:rPr>
        <w:rStyle w:val="a4"/>
      </w:rPr>
      <w:instrText xml:space="preserve">PAGE  </w:instrText>
    </w:r>
    <w:r w:rsidRPr="009216AE">
      <w:rPr>
        <w:rStyle w:val="a4"/>
      </w:rPr>
      <w:fldChar w:fldCharType="separate"/>
    </w:r>
    <w:r w:rsidR="003B1F8B">
      <w:rPr>
        <w:rStyle w:val="a4"/>
        <w:noProof/>
      </w:rPr>
      <w:t>384</w:t>
    </w:r>
    <w:r w:rsidRPr="009216AE">
      <w:rPr>
        <w:rStyle w:val="a4"/>
      </w:rPr>
      <w:fldChar w:fldCharType="end"/>
    </w:r>
  </w:p>
  <w:p w:rsidR="00E91F2D" w:rsidRDefault="003B1F8B" w:rsidP="00D256C6">
    <w:pPr>
      <w:pStyle w:val="a3"/>
      <w:tabs>
        <w:tab w:val="clear" w:pos="4153"/>
        <w:tab w:val="clear" w:pos="8306"/>
      </w:tabs>
      <w:ind w:right="88"/>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F2D" w:rsidRPr="00D56662" w:rsidRDefault="00B42DCE" w:rsidP="00862778">
    <w:pPr>
      <w:pStyle w:val="a3"/>
      <w:framePr w:w="414" w:wrap="around" w:vAnchor="text" w:hAnchor="page" w:x="9849" w:y="210"/>
      <w:jc w:val="center"/>
      <w:rPr>
        <w:rStyle w:val="a4"/>
      </w:rPr>
    </w:pPr>
    <w:r w:rsidRPr="00D56662">
      <w:rPr>
        <w:rStyle w:val="a4"/>
      </w:rPr>
      <w:fldChar w:fldCharType="begin"/>
    </w:r>
    <w:r w:rsidR="003B1F8B" w:rsidRPr="00D56662">
      <w:rPr>
        <w:rStyle w:val="a4"/>
      </w:rPr>
      <w:instrText xml:space="preserve">PAGE  </w:instrText>
    </w:r>
    <w:r w:rsidRPr="00D56662">
      <w:rPr>
        <w:rStyle w:val="a4"/>
      </w:rPr>
      <w:fldChar w:fldCharType="separate"/>
    </w:r>
    <w:r w:rsidR="00A43DE2">
      <w:rPr>
        <w:rStyle w:val="a4"/>
        <w:noProof/>
      </w:rPr>
      <w:t>370</w:t>
    </w:r>
    <w:r w:rsidRPr="00D56662">
      <w:rPr>
        <w:rStyle w:val="a4"/>
      </w:rPr>
      <w:fldChar w:fldCharType="end"/>
    </w:r>
  </w:p>
  <w:p w:rsidR="00E91F2D" w:rsidRDefault="003B1F8B" w:rsidP="00D56662">
    <w:pPr>
      <w:pStyle w:val="a3"/>
      <w:tabs>
        <w:tab w:val="clear" w:pos="4153"/>
        <w:tab w:val="clear" w:pos="8306"/>
      </w:tabs>
      <w:ind w:right="23"/>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744A" w:rsidRDefault="0080744A">
      <w:r>
        <w:separator/>
      </w:r>
    </w:p>
  </w:footnote>
  <w:footnote w:type="continuationSeparator" w:id="1">
    <w:p w:rsidR="0080744A" w:rsidRDefault="008074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6AE" w:rsidRDefault="00B42DCE" w:rsidP="009216AE">
    <w:r>
      <w:rPr>
        <w:noProof/>
      </w:rPr>
      <w:pict>
        <v:shapetype id="_x0000_t202" coordsize="21600,21600" o:spt="202" path="m,l,21600r21600,l21600,xe">
          <v:stroke joinstyle="miter"/>
          <v:path gradientshapeok="t" o:connecttype="rect"/>
        </v:shapetype>
        <v:shape id="文本框 6" o:spid="_x0000_s4098" type="#_x0000_t202" style="position:absolute;left:0;text-align:left;margin-left:35.45pt;margin-top:6.35pt;width:204.15pt;height:8.6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9216AE" w:rsidRPr="009216AE" w:rsidRDefault="003B1F8B" w:rsidP="009216AE">
                <w:pPr>
                  <w:rPr>
                    <w:rFonts w:eastAsia="汉仪报宋简"/>
                    <w:sz w:val="15"/>
                    <w:szCs w:val="15"/>
                  </w:rPr>
                </w:pPr>
                <w:r>
                  <w:rPr>
                    <w:rFonts w:eastAsia="汉仪报宋简" w:hint="eastAsia"/>
                    <w:sz w:val="15"/>
                    <w:szCs w:val="15"/>
                  </w:rPr>
                  <w:t>Transportation, Post and Telecommunication Service</w:t>
                </w:r>
              </w:p>
            </w:txbxContent>
          </v:textbox>
        </v:shape>
      </w:pict>
    </w:r>
    <w:r w:rsidR="003B1F8B">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7EE4" w:rsidRPr="00694384" w:rsidRDefault="00B42DCE" w:rsidP="00694384">
    <w:pPr>
      <w:jc w:val="right"/>
      <w:rPr>
        <w:szCs w:val="18"/>
      </w:rPr>
    </w:pPr>
    <w:r w:rsidRPr="00B42DCE">
      <w:rPr>
        <w:noProof/>
      </w:rPr>
      <w:pict>
        <v:shapetype id="_x0000_t202" coordsize="21600,21600" o:spt="202" path="m,l,21600r21600,l21600,xe">
          <v:stroke joinstyle="miter"/>
          <v:path gradientshapeok="t" o:connecttype="rect"/>
        </v:shapetype>
        <v:shape id="文本框 5" o:spid="_x0000_s4097" type="#_x0000_t202" style="position:absolute;left:0;text-align:left;margin-left:382.9pt;margin-top:6.55pt;width:71.3pt;height:13.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3B1F8B" w:rsidP="00694384">
                <w:pPr>
                  <w:jc w:val="right"/>
                  <w:rPr>
                    <w:rFonts w:ascii="汉仪书宋一简" w:eastAsia="汉仪书宋一简"/>
                    <w:sz w:val="15"/>
                    <w:szCs w:val="15"/>
                  </w:rPr>
                </w:pPr>
                <w:r>
                  <w:rPr>
                    <w:rFonts w:ascii="汉仪书宋一简" w:eastAsia="汉仪书宋一简" w:hint="eastAsia"/>
                    <w:sz w:val="15"/>
                    <w:szCs w:val="15"/>
                  </w:rPr>
                  <w:t>交通运输、邮电</w:t>
                </w:r>
              </w:p>
            </w:txbxContent>
          </v:textbox>
        </v:shape>
      </w:pict>
    </w:r>
    <w:r w:rsidR="003B1F8B">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o:shapelayout v:ext="edit">
      <o:idmap v:ext="edit" data="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B1F8B"/>
    <w:rsid w:val="000F68F3"/>
    <w:rsid w:val="00161E8D"/>
    <w:rsid w:val="001E2574"/>
    <w:rsid w:val="001F5A83"/>
    <w:rsid w:val="00254AAF"/>
    <w:rsid w:val="00293BA1"/>
    <w:rsid w:val="002C50BC"/>
    <w:rsid w:val="003B1F8B"/>
    <w:rsid w:val="00553C91"/>
    <w:rsid w:val="005D4E4E"/>
    <w:rsid w:val="005E1123"/>
    <w:rsid w:val="00606000"/>
    <w:rsid w:val="006146B7"/>
    <w:rsid w:val="00620EBC"/>
    <w:rsid w:val="00631A86"/>
    <w:rsid w:val="00772F48"/>
    <w:rsid w:val="0080744A"/>
    <w:rsid w:val="00942DB0"/>
    <w:rsid w:val="00A43DE2"/>
    <w:rsid w:val="00AB1BD1"/>
    <w:rsid w:val="00B42DCE"/>
    <w:rsid w:val="00BA4E86"/>
    <w:rsid w:val="00BF5019"/>
    <w:rsid w:val="00C422DC"/>
    <w:rsid w:val="00DD42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1F8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3B1F8B"/>
    <w:pPr>
      <w:tabs>
        <w:tab w:val="center" w:pos="4153"/>
        <w:tab w:val="right" w:pos="8306"/>
      </w:tabs>
      <w:snapToGrid w:val="0"/>
      <w:jc w:val="left"/>
    </w:pPr>
    <w:rPr>
      <w:sz w:val="18"/>
      <w:szCs w:val="18"/>
    </w:rPr>
  </w:style>
  <w:style w:type="character" w:customStyle="1" w:styleId="Char">
    <w:name w:val="页脚 Char"/>
    <w:basedOn w:val="a0"/>
    <w:link w:val="a3"/>
    <w:rsid w:val="003B1F8B"/>
    <w:rPr>
      <w:rFonts w:ascii="Times New Roman" w:eastAsia="宋体" w:hAnsi="Times New Roman" w:cs="Times New Roman"/>
      <w:sz w:val="18"/>
      <w:szCs w:val="18"/>
    </w:rPr>
  </w:style>
  <w:style w:type="character" w:styleId="a4">
    <w:name w:val="page number"/>
    <w:basedOn w:val="a0"/>
    <w:rsid w:val="003B1F8B"/>
  </w:style>
  <w:style w:type="paragraph" w:styleId="a5">
    <w:name w:val="Plain Text"/>
    <w:basedOn w:val="a"/>
    <w:link w:val="Char0"/>
    <w:rsid w:val="003B1F8B"/>
    <w:rPr>
      <w:rFonts w:ascii="宋体" w:hAnsi="Courier New" w:cs="Courier New"/>
      <w:szCs w:val="21"/>
    </w:rPr>
  </w:style>
  <w:style w:type="character" w:customStyle="1" w:styleId="Char0">
    <w:name w:val="纯文本 Char"/>
    <w:basedOn w:val="a0"/>
    <w:link w:val="a5"/>
    <w:rsid w:val="003B1F8B"/>
    <w:rPr>
      <w:rFonts w:ascii="宋体" w:eastAsia="宋体" w:hAnsi="Courier New" w:cs="Courier New"/>
      <w:szCs w:val="21"/>
    </w:rPr>
  </w:style>
  <w:style w:type="paragraph" w:customStyle="1" w:styleId="a6">
    <w:name w:val="英指标内文"/>
    <w:rsid w:val="003B1F8B"/>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eastAsia="宋体" w:hAnsi="Times New Roman" w:cs="Times New Roman"/>
      <w:color w:val="000000"/>
      <w:kern w:val="0"/>
      <w:sz w:val="18"/>
      <w:szCs w:val="18"/>
    </w:rPr>
  </w:style>
  <w:style w:type="paragraph" w:styleId="a7">
    <w:name w:val="Balloon Text"/>
    <w:basedOn w:val="a"/>
    <w:link w:val="Char1"/>
    <w:uiPriority w:val="99"/>
    <w:semiHidden/>
    <w:unhideWhenUsed/>
    <w:rsid w:val="00942DB0"/>
    <w:rPr>
      <w:sz w:val="18"/>
      <w:szCs w:val="18"/>
    </w:rPr>
  </w:style>
  <w:style w:type="character" w:customStyle="1" w:styleId="Char1">
    <w:name w:val="批注框文本 Char"/>
    <w:basedOn w:val="a0"/>
    <w:link w:val="a7"/>
    <w:uiPriority w:val="99"/>
    <w:semiHidden/>
    <w:rsid w:val="00942DB0"/>
    <w:rPr>
      <w:rFonts w:ascii="Times New Roman" w:eastAsia="宋体" w:hAnsi="Times New Roman" w:cs="Times New Roman"/>
      <w:sz w:val="18"/>
      <w:szCs w:val="18"/>
    </w:rPr>
  </w:style>
  <w:style w:type="paragraph" w:styleId="a8">
    <w:name w:val="header"/>
    <w:basedOn w:val="a"/>
    <w:link w:val="Char2"/>
    <w:uiPriority w:val="99"/>
    <w:unhideWhenUsed/>
    <w:rsid w:val="002C50BC"/>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8"/>
    <w:uiPriority w:val="99"/>
    <w:rsid w:val="002C50BC"/>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divs>
    <w:div w:id="16609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707</Words>
  <Characters>4033</Characters>
  <Application>Microsoft Office Word</Application>
  <DocSecurity>0</DocSecurity>
  <Lines>33</Lines>
  <Paragraphs>9</Paragraphs>
  <ScaleCrop>false</ScaleCrop>
  <Company> </Company>
  <LinksUpToDate>false</LinksUpToDate>
  <CharactersWithSpaces>4731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微软用户</cp:lastModifiedBy>
  <cp:revision>14</cp:revision>
  <cp:lastPrinted>2019-07-05T02:28:00Z</cp:lastPrinted>
  <dcterms:created xsi:type="dcterms:W3CDTF">2016-08-08T02:36:00Z</dcterms:created>
  <dcterms:modified xsi:type="dcterms:W3CDTF">2020-09-29T03:42:00Z</dcterms:modified>
</cp:coreProperties>
</file>