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jc w:val="right"/>
      </w:pPr>
      <w:r>
        <w:rPr>
          <w:rFonts w:hint="eastAsia" w:ascii="方正黑体_GBK" w:hAnsi="方正黑体_GBK" w:eastAsia="方正黑体_GBK" w:cs="方正黑体_GBK"/>
          <w:sz w:val="32"/>
          <w:szCs w:val="40"/>
        </w:rPr>
        <w:t>主要统计指标解释</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Layout w:type="autofit"/>
        <w:tblCellMar>
          <w:top w:w="0" w:type="dxa"/>
          <w:left w:w="0" w:type="dxa"/>
          <w:bottom w:w="0" w:type="dxa"/>
          <w:right w:w="0" w:type="dxa"/>
        </w:tblCellMar>
      </w:tblPr>
      <w:tblGrid>
        <w:gridCol w:w="5778"/>
        <w:gridCol w:w="3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CellMar>
            <w:top w:w="0" w:type="dxa"/>
            <w:left w:w="0" w:type="dxa"/>
            <w:bottom w:w="0" w:type="dxa"/>
            <w:right w:w="0" w:type="dxa"/>
          </w:tblCellMar>
        </w:tblPrEx>
        <w:trPr>
          <w:trHeight w:val="170" w:hRule="atLeast"/>
        </w:trPr>
        <w:tc>
          <w:tcPr>
            <w:tcW w:w="5778" w:type="dxa"/>
            <w:shd w:val="clear" w:color="auto" w:fill="CFCECE" w:themeFill="background2" w:themeFillShade="E5"/>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c>
          <w:tcPr>
            <w:tcW w:w="3974" w:type="dxa"/>
            <w:shd w:val="clear" w:color="auto" w:fill="7F7F7F" w:themeFill="text1" w:themeFillShade="E5" w:themeFillTint="7F"/>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r>
    </w:tbl>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before="156" w:beforeLines="50" w:after="156" w:afterLines="50"/>
        <w:jc w:val="center"/>
        <w:rPr>
          <w:rFonts w:ascii="汉仪中黑简" w:hAnsi="华文中宋" w:eastAsia="汉仪中黑简" w:cs="汉仪中黑简"/>
          <w:kern w:val="0"/>
          <w:szCs w:val="21"/>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hint="eastAsia" w:ascii="汉仪中黑简" w:hAnsi="宋体" w:eastAsia="汉仪中黑简" w:cs="汉仪中黑简"/>
          <w:b/>
          <w:kern w:val="0"/>
          <w:sz w:val="18"/>
          <w:szCs w:val="18"/>
        </w:rPr>
        <w:sectPr>
          <w:headerReference r:id="rId3" w:type="default"/>
          <w:footerReference r:id="rId5" w:type="default"/>
          <w:headerReference r:id="rId4" w:type="even"/>
          <w:footerReference r:id="rId6" w:type="even"/>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exact"/>
        <w:ind w:firstLine="360" w:firstLineChars="200"/>
        <w:textAlignment w:val="auto"/>
        <w:rPr>
          <w:sz w:val="18"/>
          <w:szCs w:val="18"/>
        </w:rPr>
      </w:pPr>
      <w:r>
        <w:rPr>
          <w:rFonts w:hint="eastAsia" w:ascii="黑体" w:hAnsi="黑体" w:eastAsia="黑体"/>
          <w:sz w:val="18"/>
          <w:szCs w:val="18"/>
        </w:rPr>
        <w:t>工业废水排放量</w:t>
      </w:r>
      <w:r>
        <w:rPr>
          <w:rFonts w:hint="eastAsia"/>
          <w:sz w:val="18"/>
          <w:szCs w:val="18"/>
        </w:rPr>
        <w:t xml:space="preserve">  指经过企业厂区所有排放口排到企业外部的工业废水量。包括生产废水、外排的直接冷却水、超标排放的矿井地下水和与工业废水混排的厂区生活污水，不包括外排的间接冷却水(清污不分流的间接冷却水应计算在内)。</w:t>
      </w:r>
    </w:p>
    <w:p>
      <w:pPr>
        <w:keepNext w:val="0"/>
        <w:keepLines w:val="0"/>
        <w:pageBreakBefore w:val="0"/>
        <w:widowControl w:val="0"/>
        <w:kinsoku/>
        <w:wordWrap/>
        <w:overflowPunct/>
        <w:topLinePunct w:val="0"/>
        <w:autoSpaceDE/>
        <w:autoSpaceDN/>
        <w:bidi w:val="0"/>
        <w:adjustRightInd/>
        <w:snapToGrid/>
        <w:spacing w:line="360" w:lineRule="exact"/>
        <w:ind w:firstLine="360" w:firstLineChars="200"/>
        <w:textAlignment w:val="auto"/>
        <w:rPr>
          <w:rFonts w:hint="eastAsia"/>
          <w:sz w:val="18"/>
          <w:szCs w:val="18"/>
        </w:rPr>
      </w:pPr>
    </w:p>
    <w:p>
      <w:pPr>
        <w:keepNext w:val="0"/>
        <w:keepLines w:val="0"/>
        <w:pageBreakBefore w:val="0"/>
        <w:widowControl w:val="0"/>
        <w:kinsoku/>
        <w:wordWrap/>
        <w:overflowPunct/>
        <w:topLinePunct w:val="0"/>
        <w:autoSpaceDE/>
        <w:autoSpaceDN/>
        <w:bidi w:val="0"/>
        <w:adjustRightInd/>
        <w:snapToGrid/>
        <w:spacing w:line="360" w:lineRule="exact"/>
        <w:ind w:firstLine="360" w:firstLineChars="200"/>
        <w:textAlignment w:val="auto"/>
        <w:rPr>
          <w:rFonts w:hint="eastAsia"/>
          <w:sz w:val="18"/>
          <w:szCs w:val="18"/>
        </w:rPr>
      </w:pPr>
      <w:r>
        <w:rPr>
          <w:rFonts w:hint="eastAsia" w:ascii="黑体" w:hAnsi="黑体" w:eastAsia="黑体"/>
          <w:sz w:val="18"/>
          <w:szCs w:val="18"/>
        </w:rPr>
        <w:t>工业废气排放量</w:t>
      </w:r>
      <w:r>
        <w:rPr>
          <w:rFonts w:hint="eastAsia"/>
          <w:sz w:val="18"/>
          <w:szCs w:val="18"/>
        </w:rPr>
        <w:t xml:space="preserve">  指报告期内企业厂区内燃料燃烧和生产工艺过程中产生的各种排入大气的含有污染物的气体的总量，以标准状态(273K，101325Pa)计算。测算公式为：</w:t>
      </w:r>
    </w:p>
    <w:p>
      <w:pPr>
        <w:keepNext w:val="0"/>
        <w:keepLines w:val="0"/>
        <w:pageBreakBefore w:val="0"/>
        <w:widowControl w:val="0"/>
        <w:kinsoku/>
        <w:wordWrap/>
        <w:overflowPunct/>
        <w:topLinePunct w:val="0"/>
        <w:autoSpaceDE/>
        <w:autoSpaceDN/>
        <w:bidi w:val="0"/>
        <w:adjustRightInd/>
        <w:snapToGrid/>
        <w:spacing w:line="360" w:lineRule="exact"/>
        <w:ind w:firstLine="360" w:firstLineChars="200"/>
        <w:textAlignment w:val="auto"/>
        <w:rPr>
          <w:sz w:val="18"/>
          <w:szCs w:val="18"/>
        </w:rPr>
      </w:pPr>
      <w:r>
        <w:rPr>
          <w:rFonts w:hint="eastAsia"/>
          <w:sz w:val="18"/>
          <w:szCs w:val="18"/>
        </w:rPr>
        <w:t>工业废气排放量 = 燃料燃烧过程中废气排放量 + 生产工艺过程中废气排放量</w:t>
      </w:r>
    </w:p>
    <w:p>
      <w:pPr>
        <w:keepNext w:val="0"/>
        <w:keepLines w:val="0"/>
        <w:pageBreakBefore w:val="0"/>
        <w:widowControl w:val="0"/>
        <w:kinsoku/>
        <w:wordWrap/>
        <w:overflowPunct/>
        <w:topLinePunct w:val="0"/>
        <w:autoSpaceDE/>
        <w:autoSpaceDN/>
        <w:bidi w:val="0"/>
        <w:adjustRightInd/>
        <w:snapToGrid/>
        <w:spacing w:line="360" w:lineRule="exact"/>
        <w:ind w:firstLine="360" w:firstLineChars="200"/>
        <w:textAlignment w:val="auto"/>
        <w:rPr>
          <w:rFonts w:hint="eastAsia"/>
          <w:sz w:val="18"/>
          <w:szCs w:val="18"/>
        </w:rPr>
      </w:pPr>
    </w:p>
    <w:p>
      <w:pPr>
        <w:keepNext w:val="0"/>
        <w:keepLines w:val="0"/>
        <w:pageBreakBefore w:val="0"/>
        <w:widowControl w:val="0"/>
        <w:kinsoku/>
        <w:wordWrap/>
        <w:overflowPunct/>
        <w:topLinePunct w:val="0"/>
        <w:autoSpaceDE/>
        <w:autoSpaceDN/>
        <w:bidi w:val="0"/>
        <w:adjustRightInd/>
        <w:snapToGrid/>
        <w:spacing w:line="360" w:lineRule="exact"/>
        <w:ind w:firstLine="360" w:firstLineChars="200"/>
        <w:textAlignment w:val="auto"/>
        <w:rPr>
          <w:rFonts w:hint="eastAsia"/>
          <w:sz w:val="18"/>
          <w:szCs w:val="18"/>
        </w:rPr>
      </w:pPr>
      <w:r>
        <w:rPr>
          <w:rFonts w:hint="eastAsia" w:ascii="黑体" w:hAnsi="黑体" w:eastAsia="黑体"/>
          <w:sz w:val="18"/>
          <w:szCs w:val="18"/>
        </w:rPr>
        <w:t>工业烟尘排放量</w:t>
      </w:r>
      <w:r>
        <w:rPr>
          <w:rFonts w:hint="eastAsia"/>
          <w:sz w:val="18"/>
          <w:szCs w:val="18"/>
        </w:rPr>
        <w:t xml:space="preserve">  指企业厂区内燃料燃烧过程中产生的烟气中夹带的颗粒物排放量。</w:t>
      </w:r>
    </w:p>
    <w:p>
      <w:pPr>
        <w:keepNext w:val="0"/>
        <w:keepLines w:val="0"/>
        <w:pageBreakBefore w:val="0"/>
        <w:widowControl w:val="0"/>
        <w:kinsoku/>
        <w:wordWrap/>
        <w:overflowPunct/>
        <w:topLinePunct w:val="0"/>
        <w:autoSpaceDE/>
        <w:autoSpaceDN/>
        <w:bidi w:val="0"/>
        <w:adjustRightInd/>
        <w:snapToGrid/>
        <w:spacing w:line="360" w:lineRule="exact"/>
        <w:ind w:firstLine="360" w:firstLineChars="200"/>
        <w:textAlignment w:val="auto"/>
        <w:rPr>
          <w:rFonts w:hint="eastAsia"/>
          <w:sz w:val="18"/>
          <w:szCs w:val="18"/>
        </w:rPr>
      </w:pPr>
      <w:r>
        <w:rPr>
          <w:rFonts w:hint="eastAsia" w:ascii="黑体" w:hAnsi="黑体" w:eastAsia="黑体"/>
          <w:sz w:val="18"/>
          <w:szCs w:val="18"/>
        </w:rPr>
        <w:t>工业粉尘排放量</w:t>
      </w:r>
      <w:r>
        <w:rPr>
          <w:rFonts w:hint="eastAsia"/>
          <w:sz w:val="18"/>
          <w:szCs w:val="18"/>
        </w:rPr>
        <w:t xml:space="preserve">  指企业在生产工艺过程中排放的能在空气中悬浮一定时间的固体颗粒物排放量。如钢铁企业的耐火材料粉尘、焦化企业的筛焦系统粉尘、烧结机的粉尘、石灰窑的粉尘、建材企业的水泥粉尘等。不包括电厂排入大气的烟尘。</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hint="eastAsia" w:ascii="汉仪书宋一简" w:hAnsi="宋体" w:eastAsia="汉仪书宋一简" w:cs="汉仪书宋一简"/>
          <w:kern w:val="0"/>
          <w:sz w:val="18"/>
          <w:szCs w:val="18"/>
        </w:r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equalWidth="0" w:num="2" w:sep="1">
            <w:col w:w="4664" w:space="425"/>
            <w:col w:w="4663"/>
          </w:cols>
          <w:docGrid w:type="lines" w:linePitch="312" w:charSpace="0"/>
        </w:sectPr>
      </w:pPr>
      <w:r>
        <w:rPr>
          <w:rFonts w:hint="eastAsia" w:ascii="黑体" w:hAnsi="黑体" w:eastAsia="黑体"/>
          <w:sz w:val="18"/>
          <w:szCs w:val="18"/>
        </w:rPr>
        <w:t xml:space="preserve">工业固体废物产生量 </w:t>
      </w:r>
      <w:r>
        <w:rPr>
          <w:rFonts w:hint="eastAsia"/>
          <w:sz w:val="18"/>
          <w:szCs w:val="18"/>
        </w:rPr>
        <w:t xml:space="preserve"> 指报告期内企业在生产过程中产生的固体状、半固体状和高浓度液体状废弃物的总量，包括危险废物、冶炼废渣、粉煤灰、炉渣、煤矸石、尾矿、放射性废物和其他废物等；不包括矿山开采的剥离废石和掘进废石(煤矸石和呈酸性或碱性的废石除外)。酸性或碱性废石指采掘的废石其流经水、雨淋水的pH值小于4或pH值大于10.5者。</w:t>
      </w:r>
    </w:p>
    <w:p>
      <w:pPr>
        <w:rPr>
          <w:b/>
          <w:sz w:val="28"/>
          <w:szCs w:val="28"/>
        </w:rPr>
      </w:pPr>
      <w:r>
        <w:rPr>
          <w:b/>
          <w:sz w:val="28"/>
          <w:szCs w:val="28"/>
        </w:rPr>
        <w:br w:type="page"/>
      </w:r>
    </w:p>
    <w:p>
      <w:pPr>
        <w:snapToGrid w:val="0"/>
        <w:spacing w:line="360" w:lineRule="auto"/>
        <w:jc w:val="right"/>
        <w:rPr>
          <w:b/>
          <w:sz w:val="28"/>
          <w:szCs w:val="28"/>
        </w:rPr>
      </w:pPr>
    </w:p>
    <w:p>
      <w:pPr>
        <w:snapToGrid w:val="0"/>
        <w:spacing w:line="360" w:lineRule="auto"/>
        <w:jc w:val="right"/>
        <w:rPr>
          <w:b/>
          <w:sz w:val="28"/>
          <w:szCs w:val="28"/>
        </w:rPr>
      </w:pPr>
      <w:r>
        <w:rPr>
          <w:b/>
          <w:sz w:val="28"/>
          <w:szCs w:val="28"/>
        </w:rPr>
        <w:t>Explanatory Notes on Main Statistical Indicators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Layout w:type="autofit"/>
        <w:tblCellMar>
          <w:top w:w="0" w:type="dxa"/>
          <w:left w:w="0" w:type="dxa"/>
          <w:bottom w:w="0" w:type="dxa"/>
          <w:right w:w="0" w:type="dxa"/>
        </w:tblCellMar>
      </w:tblPr>
      <w:tblGrid>
        <w:gridCol w:w="5778"/>
        <w:gridCol w:w="3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CellMar>
            <w:top w:w="0" w:type="dxa"/>
            <w:left w:w="0" w:type="dxa"/>
            <w:bottom w:w="0" w:type="dxa"/>
            <w:right w:w="0" w:type="dxa"/>
          </w:tblCellMar>
        </w:tblPrEx>
        <w:trPr>
          <w:trHeight w:val="170" w:hRule="atLeast"/>
        </w:trPr>
        <w:tc>
          <w:tcPr>
            <w:tcW w:w="5778" w:type="dxa"/>
            <w:shd w:val="clear" w:color="auto" w:fill="CFCECE" w:themeFill="background2" w:themeFillShade="E5"/>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c>
          <w:tcPr>
            <w:tcW w:w="3974" w:type="dxa"/>
            <w:shd w:val="clear" w:color="auto" w:fill="7F7F7F" w:themeFill="text1" w:themeFillShade="E5" w:themeFillTint="7F"/>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r>
    </w:tbl>
    <w:p>
      <w:pPr>
        <w:snapToGrid w:val="0"/>
        <w:spacing w:line="360" w:lineRule="exact"/>
        <w:jc w:val="center"/>
        <w:rPr>
          <w:b/>
          <w:sz w:val="28"/>
          <w:szCs w:val="28"/>
        </w:rPr>
      </w:pPr>
    </w:p>
    <w:p>
      <w:pPr>
        <w:pStyle w:val="12"/>
        <w:snapToGrid w:val="0"/>
        <w:spacing w:line="360" w:lineRule="exact"/>
        <w:rPr>
          <w:b/>
          <w:bCs/>
          <w:color w:val="auto"/>
        </w:r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40" w:lineRule="exact"/>
        <w:ind w:firstLine="361" w:firstLineChars="200"/>
        <w:textAlignment w:val="auto"/>
        <w:rPr>
          <w:sz w:val="18"/>
          <w:szCs w:val="18"/>
        </w:rPr>
      </w:pPr>
      <w:r>
        <w:rPr>
          <w:b/>
          <w:sz w:val="18"/>
          <w:szCs w:val="18"/>
        </w:rPr>
        <w:t>Waste Water Discharged by Industry</w:t>
      </w:r>
      <w:r>
        <w:rPr>
          <w:sz w:val="18"/>
          <w:szCs w:val="18"/>
        </w:rPr>
        <w:t xml:space="preserve"> refers to the volume of waste water discharged by industrial enterprises through all their outlets, including waste water from production process, directly cooled water, groundwater from mining wells which does not meet discharge standards and sewage from households mixed with waste water produced by industrial activities, but excluding indirectly cooled water discharged (It should be included if the discharge is not separated with waste water).</w:t>
      </w:r>
    </w:p>
    <w:p>
      <w:pPr>
        <w:keepNext w:val="0"/>
        <w:keepLines w:val="0"/>
        <w:pageBreakBefore w:val="0"/>
        <w:widowControl w:val="0"/>
        <w:kinsoku/>
        <w:wordWrap/>
        <w:overflowPunct/>
        <w:topLinePunct w:val="0"/>
        <w:autoSpaceDE/>
        <w:autoSpaceDN/>
        <w:bidi w:val="0"/>
        <w:adjustRightInd/>
        <w:snapToGrid/>
        <w:spacing w:line="340" w:lineRule="exact"/>
        <w:ind w:firstLine="361" w:firstLineChars="200"/>
        <w:textAlignment w:val="auto"/>
        <w:rPr>
          <w:sz w:val="18"/>
          <w:szCs w:val="18"/>
        </w:rPr>
      </w:pPr>
      <w:r>
        <w:rPr>
          <w:b/>
          <w:sz w:val="18"/>
          <w:szCs w:val="18"/>
        </w:rPr>
        <w:t>Industrial Waste Air Emission</w:t>
      </w:r>
      <w:r>
        <w:rPr>
          <w:sz w:val="18"/>
          <w:szCs w:val="18"/>
        </w:rPr>
        <w:t xml:space="preserve"> refers to discharge into atmosphere of waste air containing pollutants generated from fuel burning and production process in enterprises within a given period of time. It is calculated at standard status (273K, 101325Pa) as: </w:t>
      </w:r>
      <w:r>
        <w:rPr>
          <w:sz w:val="18"/>
          <w:szCs w:val="18"/>
        </w:rPr>
        <w:cr/>
      </w:r>
      <w:r>
        <w:rPr>
          <w:sz w:val="18"/>
          <w:szCs w:val="18"/>
        </w:rPr>
        <w:t>Industrial waste air emission = emission through fuel burning + emission through production process</w:t>
      </w:r>
    </w:p>
    <w:p>
      <w:pPr>
        <w:keepNext w:val="0"/>
        <w:keepLines w:val="0"/>
        <w:pageBreakBefore w:val="0"/>
        <w:widowControl w:val="0"/>
        <w:kinsoku/>
        <w:wordWrap/>
        <w:overflowPunct/>
        <w:topLinePunct w:val="0"/>
        <w:autoSpaceDE/>
        <w:autoSpaceDN/>
        <w:bidi w:val="0"/>
        <w:adjustRightInd/>
        <w:snapToGrid/>
        <w:spacing w:line="340" w:lineRule="exact"/>
        <w:ind w:firstLine="361" w:firstLineChars="200"/>
        <w:textAlignment w:val="auto"/>
        <w:rPr>
          <w:sz w:val="18"/>
          <w:szCs w:val="18"/>
        </w:rPr>
      </w:pPr>
      <w:r>
        <w:rPr>
          <w:b/>
          <w:sz w:val="18"/>
          <w:szCs w:val="18"/>
        </w:rPr>
        <w:t>Industrial Soot Emission</w:t>
      </w:r>
      <w:r>
        <w:rPr>
          <w:sz w:val="18"/>
          <w:szCs w:val="18"/>
        </w:rPr>
        <w:t xml:space="preserve"> refers to volume of soot in smoke emitted in process of fuel burning in premises of enterprises.</w:t>
      </w:r>
    </w:p>
    <w:p>
      <w:pPr>
        <w:keepNext w:val="0"/>
        <w:keepLines w:val="0"/>
        <w:pageBreakBefore w:val="0"/>
        <w:widowControl w:val="0"/>
        <w:kinsoku/>
        <w:wordWrap/>
        <w:overflowPunct/>
        <w:topLinePunct w:val="0"/>
        <w:autoSpaceDE/>
        <w:autoSpaceDN/>
        <w:bidi w:val="0"/>
        <w:adjustRightInd/>
        <w:snapToGrid/>
        <w:spacing w:line="340" w:lineRule="exact"/>
        <w:ind w:firstLine="361" w:firstLineChars="200"/>
        <w:textAlignment w:val="auto"/>
        <w:rPr>
          <w:sz w:val="18"/>
          <w:szCs w:val="18"/>
        </w:rPr>
      </w:pPr>
      <w:r>
        <w:rPr>
          <w:b/>
          <w:sz w:val="18"/>
          <w:szCs w:val="18"/>
        </w:rPr>
        <w:t>Industrial Dust Emission</w:t>
      </w:r>
      <w:r>
        <w:rPr>
          <w:sz w:val="18"/>
          <w:szCs w:val="18"/>
        </w:rPr>
        <w:t xml:space="preserve"> refers to volume of dust emitted by production process of enterprises and suspended in the air for a given period of time, including dust from refractory material of iron and steel works, dust from coke-screening systems and sintering machines of coke plants, dust from lime kilns and dust from cement production in building material enterprises, but excluding soot and dust emitted from power plants.</w:t>
      </w:r>
    </w:p>
    <w:p>
      <w:pPr>
        <w:pStyle w:val="13"/>
        <w:snapToGrid w:val="0"/>
        <w:spacing w:line="360" w:lineRule="exact"/>
        <w:rPr>
          <w:b/>
          <w:bCs/>
          <w:color w:val="auto"/>
        </w:rPr>
      </w:pPr>
      <w:r>
        <w:rPr>
          <w:b/>
          <w:sz w:val="18"/>
          <w:szCs w:val="18"/>
        </w:rPr>
        <w:t xml:space="preserve">Industrial Solid Wastes Produced </w:t>
      </w:r>
      <w:r>
        <w:rPr>
          <w:sz w:val="18"/>
          <w:szCs w:val="18"/>
        </w:rPr>
        <w:t>refers to total volume of solid, semi-solid and high concentration liquid residues produced by industrial enter</w:t>
      </w:r>
      <w:bookmarkStart w:id="0" w:name="_GoBack"/>
      <w:bookmarkEnd w:id="0"/>
      <w:r>
        <w:rPr>
          <w:sz w:val="18"/>
          <w:szCs w:val="18"/>
        </w:rPr>
        <w:t>prises from production process in a given period of time, including hazardous wastes, slag, coal ash, gangue, tailings, radioactive residues and other wastes, but excluding stones stripped or dug out in mining (gangue and acid or alkaline stones not included). A stone is acid or alkaline depending on the pH value of the water below 4 or above 10.5 when the stone is in, or soaked by, the water.</w:t>
      </w:r>
    </w:p>
    <w:p>
      <w:pPr>
        <w:pStyle w:val="2"/>
        <w:spacing w:line="360" w:lineRule="exact"/>
      </w:pPr>
    </w:p>
    <w:p>
      <w:p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equalWidth="0" w:num="2" w:sep="1">
            <w:col w:w="4664" w:space="425"/>
            <w:col w:w="4663"/>
          </w:cols>
          <w:docGrid w:type="lines" w:linePitch="312" w:charSpace="0"/>
        </w:sectPr>
      </w:pPr>
    </w:p>
    <w:p/>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方正黑体_GBK">
    <w:panose1 w:val="02000000000000000000"/>
    <w:charset w:val="86"/>
    <w:family w:val="auto"/>
    <w:pitch w:val="default"/>
    <w:sig w:usb0="00000001" w:usb1="08000000" w:usb2="00000000" w:usb3="00000000" w:csb0="00040000" w:csb1="00000000"/>
  </w:font>
  <w:font w:name="汉仪中黑简">
    <w:panose1 w:val="02010609000101010101"/>
    <w:charset w:val="86"/>
    <w:family w:val="modern"/>
    <w:pitch w:val="default"/>
    <w:sig w:usb0="00000001" w:usb1="080E0800" w:usb2="00000002" w:usb3="00000000" w:csb0="00040000" w:csb1="00000000"/>
  </w:font>
  <w:font w:name="华文中宋">
    <w:panose1 w:val="02010600040101010101"/>
    <w:charset w:val="86"/>
    <w:family w:val="auto"/>
    <w:pitch w:val="default"/>
    <w:sig w:usb0="00000287" w:usb1="080F0000" w:usb2="00000000" w:usb3="00000000" w:csb0="0004009F" w:csb1="DFD70000"/>
  </w:font>
  <w:font w:name="汉仪书宋一简">
    <w:panose1 w:val="02010609000101010101"/>
    <w:charset w:val="86"/>
    <w:family w:val="modern"/>
    <w:pitch w:val="default"/>
    <w:sig w:usb0="00000001" w:usb1="080E0800" w:usb2="00000002" w:usb3="00000000" w:csb0="00040000" w:csb1="00000000"/>
  </w:font>
  <w:font w:name="汉仪报宋简">
    <w:panose1 w:val="02010609000101010101"/>
    <w:charset w:val="86"/>
    <w:family w:val="modern"/>
    <w:pitch w:val="default"/>
    <w:sig w:usb0="00000001" w:usb1="080E08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414" w:wrap="around" w:vAnchor="text" w:hAnchor="page" w:x="9849" w:y="210"/>
      <w:jc w:val="center"/>
      <w:rPr>
        <w:rStyle w:val="8"/>
      </w:rPr>
    </w:pPr>
    <w:r>
      <w:rPr>
        <w:rStyle w:val="8"/>
      </w:rPr>
      <w:fldChar w:fldCharType="begin"/>
    </w:r>
    <w:r>
      <w:rPr>
        <w:rStyle w:val="8"/>
      </w:rPr>
      <w:instrText xml:space="preserve">PAGE  </w:instrText>
    </w:r>
    <w:r>
      <w:rPr>
        <w:rStyle w:val="8"/>
      </w:rPr>
      <w:fldChar w:fldCharType="separate"/>
    </w:r>
    <w:r>
      <w:rPr>
        <w:rStyle w:val="8"/>
      </w:rPr>
      <w:t>22</w:t>
    </w:r>
    <w:r>
      <w:rPr>
        <w:rStyle w:val="8"/>
      </w:rPr>
      <w:fldChar w:fldCharType="end"/>
    </w:r>
  </w:p>
  <w:p>
    <w:pPr>
      <w:pStyle w:val="3"/>
      <w:tabs>
        <w:tab w:val="clear" w:pos="4153"/>
        <w:tab w:val="clear" w:pos="8306"/>
      </w:tabs>
      <w:ind w:right="23"/>
      <w:jc w:val="right"/>
    </w:pPr>
    <w:r>
      <w:rPr>
        <w:rFonts w:hint="eastAsia"/>
      </w:rPr>
      <w:drawing>
        <wp:inline distT="0" distB="0" distL="0" distR="0">
          <wp:extent cx="790575" cy="390525"/>
          <wp:effectExtent l="0" t="0" r="9525" b="9525"/>
          <wp:docPr id="1" name="图片 1" descr="右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右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458" w:wrap="around" w:vAnchor="text" w:hAnchor="page" w:x="1621" w:y="195"/>
      <w:jc w:val="center"/>
      <w:rPr>
        <w:rStyle w:val="8"/>
      </w:rPr>
    </w:pPr>
    <w:r>
      <w:rPr>
        <w:rStyle w:val="8"/>
      </w:rPr>
      <w:fldChar w:fldCharType="begin"/>
    </w:r>
    <w:r>
      <w:rPr>
        <w:rStyle w:val="8"/>
      </w:rPr>
      <w:instrText xml:space="preserve">PAGE  </w:instrText>
    </w:r>
    <w:r>
      <w:rPr>
        <w:rStyle w:val="8"/>
      </w:rPr>
      <w:fldChar w:fldCharType="separate"/>
    </w:r>
    <w:r>
      <w:rPr>
        <w:rStyle w:val="8"/>
      </w:rPr>
      <w:t>52</w:t>
    </w:r>
    <w:r>
      <w:rPr>
        <w:rStyle w:val="8"/>
      </w:rPr>
      <w:fldChar w:fldCharType="end"/>
    </w:r>
  </w:p>
  <w:p>
    <w:pPr>
      <w:pStyle w:val="3"/>
      <w:tabs>
        <w:tab w:val="clear" w:pos="4153"/>
        <w:tab w:val="clear" w:pos="8306"/>
      </w:tabs>
      <w:ind w:right="88"/>
    </w:pPr>
    <w:r>
      <w:drawing>
        <wp:inline distT="0" distB="0" distL="0" distR="0">
          <wp:extent cx="790575" cy="390525"/>
          <wp:effectExtent l="0" t="0" r="9525" b="9525"/>
          <wp:docPr id="2" name="图片 2" descr="左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左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szCs w:val="18"/>
      </w:rPr>
    </w:pPr>
    <w:r>
      <w:rPr>
        <w:rFonts w:hint="eastAsia"/>
      </w:rPr>
      <mc:AlternateContent>
        <mc:Choice Requires="wps">
          <w:drawing>
            <wp:anchor distT="0" distB="0" distL="114300" distR="114300" simplePos="0" relativeHeight="251659264" behindDoc="0" locked="0" layoutInCell="1" allowOverlap="1">
              <wp:simplePos x="0" y="0"/>
              <wp:positionH relativeFrom="column">
                <wp:posOffset>4862830</wp:posOffset>
              </wp:positionH>
              <wp:positionV relativeFrom="paragraph">
                <wp:posOffset>83185</wp:posOffset>
              </wp:positionV>
              <wp:extent cx="905510" cy="165735"/>
              <wp:effectExtent l="0" t="0" r="3810" b="2540"/>
              <wp:wrapNone/>
              <wp:docPr id="5" name="文本框 5"/>
              <wp:cNvGraphicFramePr/>
              <a:graphic xmlns:a="http://schemas.openxmlformats.org/drawingml/2006/main">
                <a:graphicData uri="http://schemas.microsoft.com/office/word/2010/wordprocessingShape">
                  <wps:wsp>
                    <wps:cNvSpPr txBox="1">
                      <a:spLocks noChangeArrowheads="1"/>
                    </wps:cNvSpPr>
                    <wps:spPr bwMode="auto">
                      <a:xfrm>
                        <a:off x="0" y="0"/>
                        <a:ext cx="905510" cy="165735"/>
                      </a:xfrm>
                      <a:prstGeom prst="rect">
                        <a:avLst/>
                      </a:prstGeom>
                      <a:noFill/>
                      <a:ln>
                        <a:noFill/>
                      </a:ln>
                    </wps:spPr>
                    <wps:txbx>
                      <w:txbxContent>
                        <w:p>
                          <w:pPr>
                            <w:jc w:val="right"/>
                            <w:rPr>
                              <w:rFonts w:hint="eastAsia" w:ascii="汉仪书宋一简" w:eastAsia="汉仪书宋一简"/>
                              <w:sz w:val="15"/>
                              <w:szCs w:val="15"/>
                            </w:rPr>
                          </w:pPr>
                          <w:r>
                            <w:rPr>
                              <w:rFonts w:hint="eastAsia" w:ascii="汉仪书宋一简" w:eastAsia="汉仪书宋一简"/>
                              <w:sz w:val="15"/>
                              <w:szCs w:val="15"/>
                            </w:rPr>
                            <w:t>资源和环境</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82.9pt;margin-top:6.55pt;height:13.05pt;width:71.3pt;z-index:251659264;mso-width-relative:page;mso-height-relative:page;" filled="f" stroked="f" coordsize="21600,21600" o:gfxdata="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vQrgW1gAAAAkBAAAPAAAAAAAAAAEAIAAAACIA&#10;AABkcnMvZG93bnJldi54bWxQSwECFAAUAAAACACHTuJAEmEMewsCAAAEBAAADgAAAAAAAAABACAA&#10;AAAlAQAAZHJzL2Uyb0RvYy54bWxQSwUGAAAAAAYABgBZAQAAogUAAAAA&#10;">
              <v:fill on="f" focussize="0,0"/>
              <v:stroke on="f"/>
              <v:imagedata o:title=""/>
              <o:lock v:ext="edit" aspectratio="f"/>
              <v:textbox inset="0mm,0mm,0mm,0mm" style="mso-fit-shape-to-text:t;">
                <w:txbxContent>
                  <w:p>
                    <w:pPr>
                      <w:jc w:val="right"/>
                      <w:rPr>
                        <w:rFonts w:hint="eastAsia" w:ascii="汉仪书宋一简" w:eastAsia="汉仪书宋一简"/>
                        <w:sz w:val="15"/>
                        <w:szCs w:val="15"/>
                      </w:rPr>
                    </w:pPr>
                    <w:r>
                      <w:rPr>
                        <w:rFonts w:hint="eastAsia" w:ascii="汉仪书宋一简" w:eastAsia="汉仪书宋一简"/>
                        <w:sz w:val="15"/>
                        <w:szCs w:val="15"/>
                      </w:rPr>
                      <w:t>资源和环境</w:t>
                    </w:r>
                  </w:p>
                </w:txbxContent>
              </v:textbox>
            </v:shape>
          </w:pict>
        </mc:Fallback>
      </mc:AlternateContent>
    </w:r>
    <w:r>
      <w:rPr>
        <w:rFonts w:hint="eastAsia"/>
      </w:rPr>
      <w:drawing>
        <wp:inline distT="0" distB="0" distL="0" distR="0">
          <wp:extent cx="266700" cy="247650"/>
          <wp:effectExtent l="0" t="0" r="0" b="0"/>
          <wp:docPr id="3" name="图片 3"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mc:AlternateContent>
        <mc:Choice Requires="wps">
          <w:drawing>
            <wp:anchor distT="0" distB="0" distL="114300" distR="114300" simplePos="0" relativeHeight="251660288" behindDoc="0" locked="0" layoutInCell="1" allowOverlap="1">
              <wp:simplePos x="0" y="0"/>
              <wp:positionH relativeFrom="column">
                <wp:posOffset>450215</wp:posOffset>
              </wp:positionH>
              <wp:positionV relativeFrom="paragraph">
                <wp:posOffset>80645</wp:posOffset>
              </wp:positionV>
              <wp:extent cx="2592705" cy="109220"/>
              <wp:effectExtent l="2540" t="4445" r="0" b="635"/>
              <wp:wrapNone/>
              <wp:docPr id="6" name="文本框 6"/>
              <wp:cNvGraphicFramePr/>
              <a:graphic xmlns:a="http://schemas.openxmlformats.org/drawingml/2006/main">
                <a:graphicData uri="http://schemas.microsoft.com/office/word/2010/wordprocessingShape">
                  <wps:wsp>
                    <wps:cNvSpPr txBox="1">
                      <a:spLocks noChangeArrowheads="1"/>
                    </wps:cNvSpPr>
                    <wps:spPr bwMode="auto">
                      <a:xfrm>
                        <a:off x="0" y="0"/>
                        <a:ext cx="2592705" cy="109220"/>
                      </a:xfrm>
                      <a:prstGeom prst="rect">
                        <a:avLst/>
                      </a:prstGeom>
                      <a:noFill/>
                      <a:ln>
                        <a:noFill/>
                      </a:ln>
                    </wps:spPr>
                    <wps:txbx>
                      <w:txbxContent>
                        <w:p>
                          <w:pPr>
                            <w:rPr>
                              <w:rFonts w:eastAsia="汉仪报宋简"/>
                              <w:sz w:val="15"/>
                              <w:szCs w:val="15"/>
                            </w:rPr>
                          </w:pPr>
                          <w:r>
                            <w:rPr>
                              <w:rFonts w:hint="eastAsia" w:eastAsia="汉仪报宋简"/>
                              <w:sz w:val="15"/>
                              <w:szCs w:val="15"/>
                            </w:rPr>
                            <w:t>General Survey</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5.45pt;margin-top:6.35pt;height:8.6pt;width:204.15pt;z-index:251660288;mso-width-relative:page;mso-height-relative:page;" filled="f" stroked="f" coordsize="21600,21600" o:gfxdata="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qgDGAdUAAAAIAQAADwAAAAAAAAABACAAAAAi&#10;AAAAZHJzL2Rvd25yZXYueG1sUEsBAhQAFAAAAAgAh07iQKt5o3QNAgAABQQAAA4AAAAAAAAAAQAg&#10;AAAAJAEAAGRycy9lMm9Eb2MueG1sUEsFBgAAAAAGAAYAWQEAAKMFAAAAAA==&#10;">
              <v:fill on="f" focussize="0,0"/>
              <v:stroke on="f"/>
              <v:imagedata o:title=""/>
              <o:lock v:ext="edit" aspectratio="f"/>
              <v:textbox inset="0mm,0mm,0mm,0mm" style="mso-fit-shape-to-text:t;">
                <w:txbxContent>
                  <w:p>
                    <w:pPr>
                      <w:rPr>
                        <w:rFonts w:eastAsia="汉仪报宋简"/>
                        <w:sz w:val="15"/>
                        <w:szCs w:val="15"/>
                      </w:rPr>
                    </w:pPr>
                    <w:r>
                      <w:rPr>
                        <w:rFonts w:hint="eastAsia" w:eastAsia="汉仪报宋简"/>
                        <w:sz w:val="15"/>
                        <w:szCs w:val="15"/>
                      </w:rPr>
                      <w:t>General Survey</w:t>
                    </w:r>
                  </w:p>
                </w:txbxContent>
              </v:textbox>
            </v:shape>
          </w:pict>
        </mc:Fallback>
      </mc:AlternateContent>
    </w:r>
    <w:r>
      <w:rPr>
        <w:rFonts w:hint="eastAsia"/>
      </w:rPr>
      <w:drawing>
        <wp:inline distT="0" distB="0" distL="0" distR="0">
          <wp:extent cx="266700" cy="247650"/>
          <wp:effectExtent l="0" t="0" r="0" b="0"/>
          <wp:docPr id="4" name="图片 4"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858"/>
    <w:rsid w:val="004973FF"/>
    <w:rsid w:val="00551479"/>
    <w:rsid w:val="006B75AD"/>
    <w:rsid w:val="00BA4E86"/>
    <w:rsid w:val="00BF5019"/>
    <w:rsid w:val="00CF2858"/>
    <w:rsid w:val="00F00E53"/>
    <w:rsid w:val="128C7019"/>
    <w:rsid w:val="137E27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Plain Text"/>
    <w:basedOn w:val="1"/>
    <w:link w:val="11"/>
    <w:uiPriority w:val="0"/>
    <w:rPr>
      <w:rFonts w:ascii="宋体" w:hAnsi="Courier New" w:cs="Courier New"/>
      <w:szCs w:val="21"/>
    </w:rPr>
  </w:style>
  <w:style w:type="paragraph" w:styleId="3">
    <w:name w:val="footer"/>
    <w:basedOn w:val="1"/>
    <w:link w:val="9"/>
    <w:uiPriority w:val="0"/>
    <w:pPr>
      <w:tabs>
        <w:tab w:val="center" w:pos="4153"/>
        <w:tab w:val="right" w:pos="8306"/>
      </w:tabs>
      <w:snapToGrid w:val="0"/>
      <w:jc w:val="left"/>
    </w:pPr>
    <w:rPr>
      <w:sz w:val="18"/>
      <w:szCs w:val="18"/>
    </w:rPr>
  </w:style>
  <w:style w:type="paragraph" w:styleId="4">
    <w:name w:val="header"/>
    <w:basedOn w:val="1"/>
    <w:link w:val="10"/>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uiPriority w:val="0"/>
  </w:style>
  <w:style w:type="character" w:customStyle="1" w:styleId="9">
    <w:name w:val="页脚 Char"/>
    <w:basedOn w:val="7"/>
    <w:link w:val="3"/>
    <w:uiPriority w:val="0"/>
    <w:rPr>
      <w:rFonts w:ascii="Times New Roman" w:hAnsi="Times New Roman" w:eastAsia="宋体" w:cs="Times New Roman"/>
      <w:sz w:val="18"/>
      <w:szCs w:val="18"/>
    </w:rPr>
  </w:style>
  <w:style w:type="character" w:customStyle="1" w:styleId="10">
    <w:name w:val="页眉 Char"/>
    <w:basedOn w:val="7"/>
    <w:link w:val="4"/>
    <w:uiPriority w:val="0"/>
    <w:rPr>
      <w:rFonts w:ascii="Times New Roman" w:hAnsi="Times New Roman" w:eastAsia="宋体" w:cs="Times New Roman"/>
      <w:sz w:val="18"/>
      <w:szCs w:val="18"/>
    </w:rPr>
  </w:style>
  <w:style w:type="character" w:customStyle="1" w:styleId="11">
    <w:name w:val="纯文本 Char"/>
    <w:basedOn w:val="7"/>
    <w:link w:val="2"/>
    <w:uiPriority w:val="0"/>
    <w:rPr>
      <w:rFonts w:ascii="宋体" w:hAnsi="Courier New" w:eastAsia="宋体" w:cs="Courier New"/>
      <w:szCs w:val="21"/>
    </w:rPr>
  </w:style>
  <w:style w:type="paragraph" w:customStyle="1" w:styleId="12">
    <w:name w:val="Ó¢-Ö¸±êÄÚÎÄ"/>
    <w:qFormat/>
    <w:uiPriority w:val="0"/>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pacing w:line="290" w:lineRule="atLeast"/>
      <w:ind w:firstLine="425"/>
      <w:jc w:val="both"/>
    </w:pPr>
    <w:rPr>
      <w:rFonts w:ascii="Times New Roman" w:hAnsi="Times New Roman" w:eastAsia="宋体" w:cs="Times New Roman"/>
      <w:color w:val="000000"/>
      <w:kern w:val="0"/>
      <w:sz w:val="18"/>
      <w:szCs w:val="18"/>
      <w:lang w:val="en-US" w:eastAsia="zh-CN" w:bidi="ar-SA"/>
    </w:rPr>
  </w:style>
  <w:style w:type="paragraph" w:customStyle="1" w:styleId="13">
    <w:name w:val="¨®¡é-?¡Â???¨²??"/>
    <w:qFormat/>
    <w:uiPriority w:val="0"/>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pacing w:line="290" w:lineRule="atLeast"/>
      <w:ind w:firstLine="397"/>
      <w:jc w:val="both"/>
    </w:pPr>
    <w:rPr>
      <w:rFonts w:ascii="Times New Roman" w:hAnsi="Times New Roman" w:eastAsia="宋体" w:cs="Times New Roman"/>
      <w:color w:val="000000"/>
      <w:kern w:val="0"/>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Company>
  <Pages>8</Pages>
  <Words>4005</Words>
  <Characters>22829</Characters>
  <Lines>190</Lines>
  <Paragraphs>53</Paragraphs>
  <TotalTime>1</TotalTime>
  <ScaleCrop>false</ScaleCrop>
  <LinksUpToDate>false</LinksUpToDate>
  <CharactersWithSpaces>26781</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2016-08-08T02:06:00Z</dcterms:created>
  <dc:creator>lenovo</dc:creator>
  <cp:lastModifiedBy>周莎</cp:lastModifiedBy>
  <dcterms:modified xsi:type="dcterms:W3CDTF">2021-09-06T14:08:17Z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E2F478BCF19141B0AA5EA7422484A0A1</vt:lpwstr>
  </property>
</Properties>
</file>