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
      <w:pPr>
        <w:jc w:val="right"/>
      </w:pPr>
      <w:r>
        <w:rPr>
          <w:rFonts w:hint="eastAsia" w:ascii="方正黑体_GBK" w:hAnsi="方正黑体_GBK" w:eastAsia="方正黑体_GBK" w:cs="方正黑体_GBK"/>
          <w:sz w:val="32"/>
          <w:szCs w:val="40"/>
        </w:rPr>
        <w:t>主要统计指标解释</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CFCECE" w:themeFill="background2" w:themeFillShade="E5"/>
        <w:tblLayout w:type="autofit"/>
        <w:tblCellMar>
          <w:top w:w="0" w:type="dxa"/>
          <w:left w:w="0" w:type="dxa"/>
          <w:bottom w:w="0" w:type="dxa"/>
          <w:right w:w="0" w:type="dxa"/>
        </w:tblCellMar>
      </w:tblPr>
      <w:tblGrid>
        <w:gridCol w:w="5778"/>
        <w:gridCol w:w="397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CFCECE" w:themeFill="background2" w:themeFillShade="E5"/>
          <w:tblCellMar>
            <w:top w:w="0" w:type="dxa"/>
            <w:left w:w="0" w:type="dxa"/>
            <w:bottom w:w="0" w:type="dxa"/>
            <w:right w:w="0" w:type="dxa"/>
          </w:tblCellMar>
        </w:tblPrEx>
        <w:trPr>
          <w:trHeight w:val="170" w:hRule="atLeast"/>
        </w:trPr>
        <w:tc>
          <w:tcPr>
            <w:tcW w:w="5778" w:type="dxa"/>
            <w:shd w:val="clear" w:color="auto" w:fill="CFCECE" w:themeFill="background2" w:themeFillShade="E5"/>
            <w:vAlign w:val="top"/>
          </w:tcPr>
          <w:p>
            <w:pPr>
              <w:keepNext w:val="0"/>
              <w:keepLines w:val="0"/>
              <w:pageBreakBefore w:val="0"/>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kinsoku/>
              <w:wordWrap/>
              <w:overflowPunct/>
              <w:topLinePunct w:val="0"/>
              <w:autoSpaceDE/>
              <w:autoSpaceDN/>
              <w:bidi w:val="0"/>
              <w:adjustRightInd w:val="0"/>
              <w:snapToGrid w:val="0"/>
              <w:spacing w:line="80" w:lineRule="atLeast"/>
              <w:jc w:val="center"/>
              <w:textAlignment w:val="auto"/>
              <w:rPr>
                <w:rFonts w:ascii="汉仪中黑简" w:hAnsi="华文中宋" w:eastAsia="汉仪中黑简" w:cs="汉仪中黑简"/>
                <w:kern w:val="0"/>
                <w:sz w:val="11"/>
                <w:szCs w:val="11"/>
                <w:vertAlign w:val="baseline"/>
              </w:rPr>
            </w:pPr>
          </w:p>
        </w:tc>
        <w:tc>
          <w:tcPr>
            <w:tcW w:w="3974" w:type="dxa"/>
            <w:shd w:val="clear" w:color="auto" w:fill="7F7F7F" w:themeFill="text1" w:themeFillShade="E5" w:themeFillTint="7F"/>
            <w:vAlign w:val="top"/>
          </w:tcPr>
          <w:p>
            <w:pPr>
              <w:keepNext w:val="0"/>
              <w:keepLines w:val="0"/>
              <w:pageBreakBefore w:val="0"/>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kinsoku/>
              <w:wordWrap/>
              <w:overflowPunct/>
              <w:topLinePunct w:val="0"/>
              <w:autoSpaceDE/>
              <w:autoSpaceDN/>
              <w:bidi w:val="0"/>
              <w:adjustRightInd w:val="0"/>
              <w:snapToGrid w:val="0"/>
              <w:spacing w:line="80" w:lineRule="atLeast"/>
              <w:jc w:val="center"/>
              <w:textAlignment w:val="auto"/>
              <w:rPr>
                <w:rFonts w:ascii="汉仪中黑简" w:hAnsi="华文中宋" w:eastAsia="汉仪中黑简" w:cs="汉仪中黑简"/>
                <w:kern w:val="0"/>
                <w:sz w:val="11"/>
                <w:szCs w:val="11"/>
                <w:vertAlign w:val="baseline"/>
              </w:rPr>
            </w:pPr>
          </w:p>
        </w:tc>
      </w:tr>
    </w:tbl>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before="156" w:beforeLines="50" w:after="156" w:afterLines="50"/>
        <w:jc w:val="center"/>
        <w:rPr>
          <w:rFonts w:ascii="汉仪中黑简" w:hAnsi="华文中宋" w:eastAsia="汉仪中黑简" w:cs="汉仪中黑简"/>
          <w:kern w:val="0"/>
          <w:szCs w:val="21"/>
        </w:rPr>
      </w:pP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hint="eastAsia" w:ascii="汉仪中黑简" w:hAnsi="宋体" w:eastAsia="汉仪中黑简" w:cs="汉仪中黑简"/>
          <w:b/>
          <w:kern w:val="0"/>
          <w:sz w:val="18"/>
          <w:szCs w:val="18"/>
        </w:rPr>
        <w:sectPr>
          <w:headerReference r:id="rId3" w:type="default"/>
          <w:footerReference r:id="rId5" w:type="default"/>
          <w:headerReference r:id="rId4" w:type="even"/>
          <w:footerReference r:id="rId6" w:type="even"/>
          <w:pgSz w:w="11906" w:h="16838"/>
          <w:pgMar w:top="1021" w:right="1077" w:bottom="1247" w:left="1077" w:header="510" w:footer="624" w:gutter="0"/>
          <w:pgBorders>
            <w:top w:val="none" w:sz="0" w:space="0"/>
            <w:left w:val="none" w:sz="0" w:space="0"/>
            <w:bottom w:val="none" w:sz="0" w:space="0"/>
            <w:right w:val="none" w:sz="0" w:space="0"/>
          </w:pgBorders>
          <w:pgNumType w:start="15"/>
          <w:cols w:space="425" w:num="1"/>
          <w:docGrid w:type="lines" w:linePitch="312" w:charSpace="0"/>
        </w:sectPr>
      </w:pP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中黑简"/>
          <w:b/>
          <w:kern w:val="0"/>
          <w:sz w:val="18"/>
          <w:szCs w:val="18"/>
        </w:rPr>
        <w:t>农林牧渔业总产值</w:t>
      </w:r>
      <w:r>
        <w:rPr>
          <w:rFonts w:hint="eastAsia" w:ascii="汉仪书宋一简" w:hAnsi="宋体" w:eastAsia="汉仪书宋一简" w:cs="汉仪书宋一简"/>
          <w:kern w:val="0"/>
          <w:sz w:val="18"/>
          <w:szCs w:val="18"/>
        </w:rPr>
        <w:t xml:space="preserve">  指以货币表现的农、林、牧、渔业全部产品和对农林牧渔业生产活动进行的各种支持性服务活动的价值总量，它反映一定时期内农林牧渔业生产总规模和总成果。1957年以前的农林牧渔业总产值中包括了厩肥和农民自给性手工业(如农民自制衣服、鞋、袜，自己从事粮食初步加工等)。1958年及以后，林业中增加了村及村以下竹木采伐产值；牧业中取消了厩肥产值；副业中取消了农民自给性手工业产值，增加了村及村以下办的工业产值； 渔业中增加了海洋捕捞水产品产值。1980年及以后，在副业中增加了农民家庭兼营工业商品部分的产值。从1984年起村及村以下工业产值划归工业。从1993年起取消副业，将野生动物的捕猎划入牧业，野生植物采集和农民家庭兼营商品性工业划归农业。从2003年起，执行新的国民经济行业分类标准，农林牧渔业总产值中包括了农林牧渔服务业产值。林业中增加了森林采运业产值。农业中取消了家庭兼营商品性工业产值，将野生林产品的采集划归林业。第一次农业普查以后，由于畜牧业产品年报数据与普查数据之间存在一定的差距，国家统计局农调总队对畜牧业年报数据与普查数据进行衔接，对畜牧业产值进行相应调整。</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书宋一简"/>
          <w:kern w:val="0"/>
          <w:sz w:val="18"/>
          <w:szCs w:val="18"/>
        </w:rPr>
        <w:t>农林牧渔业总产值的计算方法通常是按农、林、牧、渔业产品及其副产品的产量分别乘以各自单位产品价格求得；少数生产周期较长，当年没有产品或产品产量不易统计的，则采用间接方法匡算其产值；然后将四业产品产值相加即为农林牧渔业总产值。</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中黑简"/>
          <w:b/>
          <w:kern w:val="0"/>
          <w:sz w:val="18"/>
          <w:szCs w:val="18"/>
        </w:rPr>
        <w:t>粮食产量</w:t>
      </w:r>
      <w:r>
        <w:rPr>
          <w:rFonts w:hint="eastAsia" w:ascii="汉仪书宋一简" w:hAnsi="宋体" w:eastAsia="汉仪书宋一简" w:cs="汉仪书宋一简"/>
          <w:b/>
          <w:kern w:val="0"/>
          <w:sz w:val="18"/>
          <w:szCs w:val="18"/>
        </w:rPr>
        <w:t xml:space="preserve"> </w:t>
      </w:r>
      <w:r>
        <w:rPr>
          <w:rFonts w:hint="eastAsia" w:ascii="汉仪书宋一简" w:hAnsi="宋体" w:eastAsia="汉仪书宋一简" w:cs="汉仪书宋一简"/>
          <w:kern w:val="0"/>
          <w:sz w:val="18"/>
          <w:szCs w:val="18"/>
        </w:rPr>
        <w:t xml:space="preserve"> 指全社会的产量。包括国有经济经营的、集体统一经营的和农民家庭经营的粮食产量，还包括工矿企业办的农场和其他生产单位的产量。粮食除包括稻谷、小麦、玉米、高粱、谷子及其他杂粮外，还包括薯类和豆类。其产量计算方法，豆类按去豆荚后的干豆计算；薯类(包括甘薯和马铃薯，不包括芋头和木薯)1963年以前按每4公斤鲜薯折1公斤粮食计算，从1964年开始改为按5公斤鲜薯折1公斤粮食计算。城市郊区作为蔬菜的薯类(如马铃薯等)按鲜品计算，并且不作粮食统计。其他粮食一律按脱粒后的原粮计算。1989年以前全国粮食产量数据主要靠全面报表取得，1989年开始使用抽样调查数据。</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中黑简"/>
          <w:b/>
          <w:kern w:val="0"/>
          <w:sz w:val="18"/>
          <w:szCs w:val="18"/>
        </w:rPr>
        <w:t>棉花产量</w:t>
      </w:r>
      <w:r>
        <w:rPr>
          <w:rFonts w:hint="eastAsia" w:ascii="汉仪书宋一简" w:hAnsi="宋体" w:eastAsia="汉仪书宋一简" w:cs="汉仪书宋一简"/>
          <w:kern w:val="0"/>
          <w:sz w:val="18"/>
          <w:szCs w:val="18"/>
        </w:rPr>
        <w:t xml:space="preserve">  指全社会的产量。包括春播棉和夏播棉。产量按皮棉计算。不包括木棉。</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中黑简"/>
          <w:b/>
          <w:kern w:val="0"/>
          <w:sz w:val="18"/>
          <w:szCs w:val="18"/>
        </w:rPr>
        <w:t>油料产量</w:t>
      </w:r>
      <w:r>
        <w:rPr>
          <w:rFonts w:hint="eastAsia" w:ascii="汉仪书宋一简" w:hAnsi="宋体" w:eastAsia="汉仪书宋一简" w:cs="汉仪书宋一简"/>
          <w:kern w:val="0"/>
          <w:sz w:val="18"/>
          <w:szCs w:val="18"/>
        </w:rPr>
        <w:t xml:space="preserve">  指全部油料作物的生产量。包括花生、油菜籽、芝麻、向日葵籽、胡麻籽（亚麻籽）和其他油料。不包括大豆、木本油料和野生油料。花生以带壳干花生计算。</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中黑简"/>
          <w:b/>
          <w:kern w:val="0"/>
          <w:sz w:val="18"/>
          <w:szCs w:val="18"/>
        </w:rPr>
        <w:t>水产品产量</w:t>
      </w:r>
      <w:r>
        <w:rPr>
          <w:rFonts w:hint="eastAsia" w:ascii="汉仪书宋一简" w:hAnsi="宋体" w:eastAsia="汉仪书宋一简" w:cs="汉仪书宋一简"/>
          <w:b/>
          <w:kern w:val="0"/>
          <w:sz w:val="18"/>
          <w:szCs w:val="18"/>
        </w:rPr>
        <w:t xml:space="preserve"> </w:t>
      </w:r>
      <w:r>
        <w:rPr>
          <w:rFonts w:hint="eastAsia" w:ascii="汉仪书宋一简" w:hAnsi="宋体" w:eastAsia="汉仪书宋一简" w:cs="汉仪书宋一简"/>
          <w:kern w:val="0"/>
          <w:sz w:val="18"/>
          <w:szCs w:val="18"/>
        </w:rPr>
        <w:t xml:space="preserve"> 指人工养殖的水产品和天然生长的水产品的捕捞量。包括海水的鱼类、虾蟹类、贝类和藻类以及内陆水域的鱼类、虾蟹类和贝类，不包括淡水生植物。水产品产量是通过各级水产和统计部门逐级上报取得数据。1995年及以前，贝类中牡蛎按鲜肉计算；蚶、蛤、蛙按５斤鲜品折１斤计算。1996年以后则统一按鲜品计算。</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中黑简"/>
          <w:b/>
          <w:kern w:val="0"/>
          <w:sz w:val="18"/>
          <w:szCs w:val="18"/>
        </w:rPr>
        <w:t>猪、牛、羊肉产量</w:t>
      </w:r>
      <w:r>
        <w:rPr>
          <w:rFonts w:hint="eastAsia" w:ascii="汉仪书宋一简" w:hAnsi="宋体" w:eastAsia="汉仪书宋一简" w:cs="汉仪书宋一简"/>
          <w:b/>
          <w:kern w:val="0"/>
          <w:sz w:val="18"/>
          <w:szCs w:val="18"/>
        </w:rPr>
        <w:t xml:space="preserve">  </w:t>
      </w:r>
      <w:r>
        <w:rPr>
          <w:rFonts w:hint="eastAsia" w:ascii="汉仪书宋一简" w:hAnsi="宋体" w:eastAsia="汉仪书宋一简" w:cs="汉仪书宋一简"/>
          <w:kern w:val="0"/>
          <w:sz w:val="18"/>
          <w:szCs w:val="18"/>
        </w:rPr>
        <w:t>指当年出栏并已屠宰、除去头蹄下水后带骨肉(即胴体重)的重量。包括全社会范围内的产量。1996年前为各级逐级上报数据。1996年第一次农业普查以后，由于畜牧业产品年报数据与普查数据之间存在一定的差距，国家统计局农调总队对畜牧业年报数据与普查数据进行衔接。1999年以后，国家统计局开展了猪、牛、羊、禽等主要畜禽品种的抽样调查，并用抽样数据作为国家定案数据使用。未开展抽样调查的品种，仍使用各级统计部门逐级上报数据。</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中黑简"/>
          <w:b/>
          <w:kern w:val="0"/>
          <w:sz w:val="18"/>
          <w:szCs w:val="18"/>
        </w:rPr>
        <w:t>期初(末)畜禽存栏头(只)数</w:t>
      </w:r>
      <w:r>
        <w:rPr>
          <w:rFonts w:hint="eastAsia" w:ascii="汉仪书宋一简" w:hAnsi="宋体" w:eastAsia="汉仪书宋一简" w:cs="汉仪书宋一简"/>
          <w:kern w:val="0"/>
          <w:sz w:val="18"/>
          <w:szCs w:val="18"/>
        </w:rPr>
        <w:t xml:space="preserve">  指报告期初(末)农村各种合作经济组织和国营农场、农民个人、机关、团体、学校、工矿企业、部队等单位以及城镇居民饲养的大牲畜、猪、羊、家禽等畜禽的存栏数。数据上报方式及数据调整情况同猪、牛、羊肉产量。</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中黑简"/>
          <w:b/>
          <w:kern w:val="0"/>
          <w:sz w:val="18"/>
          <w:szCs w:val="18"/>
        </w:rPr>
        <w:t>常用耕地</w:t>
      </w:r>
      <w:r>
        <w:rPr>
          <w:rFonts w:hint="eastAsia" w:ascii="汉仪书宋一简" w:hAnsi="宋体" w:eastAsia="汉仪书宋一简" w:cs="汉仪书宋一简"/>
          <w:kern w:val="0"/>
          <w:sz w:val="18"/>
          <w:szCs w:val="18"/>
        </w:rPr>
        <w:t xml:space="preserve">  是指耕地总资源中专门种植农作物并经常进行耕种、能够正常收获的土地。包括当年实际耕种的熟地；弃耕、休闲不满三年，随时可以复耕的地；开荒利用三年以上的土地。在统计口径上包括南方小于1米、北方小于2米宽的沟、渠、路和田埂。不包括临时种植农作物的坡度在25度以上的陡坡地；在河套、湖畔、库区临时开发的成片或零星土地；也不包括已列为国家和省（区、市）退耕计划但临时耕种的土地。常用耕地是国家需要重点保护的耕地，是反映我国农业综合生产能力的一个重要指标。</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中黑简"/>
          <w:b/>
          <w:kern w:val="0"/>
          <w:sz w:val="18"/>
          <w:szCs w:val="18"/>
        </w:rPr>
        <w:t>农作物播种面积</w:t>
      </w:r>
      <w:r>
        <w:rPr>
          <w:rFonts w:hint="eastAsia" w:ascii="汉仪书宋一简" w:hAnsi="宋体" w:eastAsia="汉仪书宋一简" w:cs="汉仪中黑简"/>
          <w:kern w:val="0"/>
          <w:sz w:val="18"/>
          <w:szCs w:val="18"/>
        </w:rPr>
        <w:t xml:space="preserve"> </w:t>
      </w:r>
      <w:r>
        <w:rPr>
          <w:rFonts w:hint="eastAsia" w:ascii="汉仪书宋一简" w:hAnsi="宋体" w:eastAsia="汉仪书宋一简" w:cs="汉仪书宋一简"/>
          <w:kern w:val="0"/>
          <w:sz w:val="18"/>
          <w:szCs w:val="18"/>
        </w:rPr>
        <w:t xml:space="preserve"> 指实际播种或移植有农作物的面积。凡是实际种植有农作物的面积，不论种植在耕地上还是种植在非耕地上，均包括在农作物播种面积中。在播种季节基本结束后，因遭灾而重新改种和补种的农作物面积，也包括在内。它是反映我国耕地面积利用情况的一个重要指标。目前，农作物播种面积主要包括粮食、棉花、油料、糖料、麻类、烟叶、蔬菜和瓜类、药材和其他农作物九大类。</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中黑简"/>
          <w:b/>
          <w:kern w:val="0"/>
          <w:sz w:val="18"/>
          <w:szCs w:val="18"/>
        </w:rPr>
        <w:t>有效灌溉面积</w:t>
      </w:r>
      <w:r>
        <w:rPr>
          <w:rFonts w:hint="eastAsia" w:ascii="汉仪书宋一简" w:hAnsi="宋体" w:eastAsia="汉仪书宋一简" w:cs="汉仪书宋一简"/>
          <w:kern w:val="0"/>
          <w:sz w:val="18"/>
          <w:szCs w:val="18"/>
        </w:rPr>
        <w:t xml:space="preserve">  指具有一定的水源，地块比较平整，灌溉工程或设备已经配套，在一般年景下，当年能够进行正常灌溉的耕地面积。在一般情况下，有效灌溉面积应等于灌溉工程或设备已经配备，能够进行正常灌溉的水田和水浇地面积之和。它是反映我国耕地抗旱能力的一个重要指标。</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中黑简"/>
          <w:b/>
          <w:kern w:val="0"/>
          <w:sz w:val="18"/>
          <w:szCs w:val="18"/>
        </w:rPr>
        <w:t>农用化肥施用量</w:t>
      </w:r>
      <w:r>
        <w:rPr>
          <w:rFonts w:hint="eastAsia" w:ascii="汉仪书宋一简" w:hAnsi="宋体" w:eastAsia="汉仪书宋一简" w:cs="汉仪书宋一简"/>
          <w:kern w:val="0"/>
          <w:sz w:val="18"/>
          <w:szCs w:val="18"/>
        </w:rPr>
        <w:t xml:space="preserve">  指本年内实际用于农业生产的化肥数量，包括氮肥、磷肥、钾肥和复合肥。化肥施用量要求按折纯量计算数量。折纯量是指把氮肥、磷肥、钾肥分别按含氮、含五氧化二磷、含氧化钾的百分之百成份进行折算后的数量。复合肥按其所含主要成分折算。公式为：</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书宋一简"/>
          <w:kern w:val="0"/>
          <w:sz w:val="18"/>
          <w:szCs w:val="18"/>
        </w:rPr>
        <w:t>折纯量=实物量×某种化肥有效成份含量的百分比</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ascii="汉仪书宋一简" w:hAnsi="宋体" w:eastAsia="汉仪书宋一简" w:cs="汉仪书宋一简"/>
          <w:kern w:val="0"/>
          <w:sz w:val="18"/>
          <w:szCs w:val="18"/>
        </w:rPr>
      </w:pPr>
      <w:r>
        <w:rPr>
          <w:rFonts w:hint="eastAsia" w:ascii="汉仪书宋一简" w:hAnsi="宋体" w:eastAsia="汉仪书宋一简" w:cs="汉仪中黑简"/>
          <w:b/>
          <w:kern w:val="0"/>
          <w:sz w:val="18"/>
          <w:szCs w:val="18"/>
        </w:rPr>
        <w:t>农业机械总动力</w:t>
      </w:r>
      <w:r>
        <w:rPr>
          <w:rFonts w:hint="eastAsia" w:ascii="汉仪书宋一简" w:hAnsi="宋体" w:eastAsia="汉仪书宋一简" w:cs="汉仪书宋一简"/>
          <w:kern w:val="0"/>
          <w:sz w:val="18"/>
          <w:szCs w:val="18"/>
        </w:rPr>
        <w:t xml:space="preserve">  指主要用于农、林、牧、渔业的各种动力机械的动力总和。包括耕作机械、排灌机械、收获机械、农用运输机械、植物保护机械、牧业机械、林业机械、渔业机械和其他农业机械〔内燃机按引擎马力折成瓦(特)计算、电动机按功率折成瓦(特)计算〕。不包括专门用于乡、镇、村、组办工业、基本建设、非农业运输、科学试验和教学等非农业生产方面用的动力机械与作业机械。这个指标的统计数据主要来源于农机部门。</w:t>
      </w:r>
    </w:p>
    <w:p>
      <w:pPr>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adjustRightInd w:val="0"/>
        <w:snapToGrid w:val="0"/>
        <w:spacing w:line="360" w:lineRule="exact"/>
        <w:ind w:firstLine="397"/>
        <w:rPr>
          <w:rFonts w:hint="eastAsia" w:ascii="汉仪书宋一简" w:hAnsi="宋体" w:eastAsia="汉仪书宋一简" w:cs="汉仪书宋一简"/>
          <w:kern w:val="0"/>
          <w:sz w:val="18"/>
          <w:szCs w:val="18"/>
        </w:rPr>
        <w:sectPr>
          <w:type w:val="continuous"/>
          <w:pgSz w:w="11906" w:h="16838"/>
          <w:pgMar w:top="1021" w:right="1077" w:bottom="1247" w:left="1077" w:header="510" w:footer="624" w:gutter="0"/>
          <w:pgBorders>
            <w:top w:val="none" w:sz="0" w:space="0"/>
            <w:left w:val="none" w:sz="0" w:space="0"/>
            <w:bottom w:val="none" w:sz="0" w:space="0"/>
            <w:right w:val="none" w:sz="0" w:space="0"/>
          </w:pgBorders>
          <w:pgNumType w:start="15"/>
          <w:cols w:equalWidth="0" w:num="2" w:sep="1">
            <w:col w:w="4664" w:space="425"/>
            <w:col w:w="4663"/>
          </w:cols>
          <w:docGrid w:type="lines" w:linePitch="312" w:charSpace="0"/>
        </w:sectPr>
      </w:pPr>
      <w:r>
        <w:rPr>
          <w:rFonts w:hint="eastAsia" w:ascii="汉仪书宋一简" w:hAnsi="宋体" w:eastAsia="汉仪书宋一简" w:cs="汉仪中黑简"/>
          <w:b/>
          <w:kern w:val="0"/>
          <w:sz w:val="18"/>
          <w:szCs w:val="18"/>
        </w:rPr>
        <w:t>乡村从业人员</w:t>
      </w:r>
      <w:r>
        <w:rPr>
          <w:rFonts w:hint="eastAsia" w:ascii="汉仪书宋一简" w:hAnsi="宋体" w:eastAsia="汉仪书宋一简" w:cs="汉仪书宋一简"/>
          <w:kern w:val="0"/>
          <w:sz w:val="18"/>
          <w:szCs w:val="18"/>
        </w:rPr>
        <w:t xml:space="preserve">  指乡村人口中劳动年龄在16周岁以上实际参加生产经营活动并取得实物或货币收入的人员，包括劳动年龄内经常参加劳动的人员，也包括超过劳动年龄但经常参加劳动的人员，但不包括户口在家的在外学生、现役军人和丧失劳动能力的人，也不包括待业人员和家务劳动者。从业人员按从事主业时间最长（时间相同按收入）分为农林牧渔业从业人员、工业从业人员、建筑业从业人员、交通运输业、仓储及邮电通信业从业人员、批零贸易业、餐饮业从业人员、其他非农行业从业人员。</w:t>
      </w:r>
    </w:p>
    <w:p>
      <w:pPr>
        <w:rPr>
          <w:b/>
          <w:sz w:val="28"/>
          <w:szCs w:val="28"/>
        </w:rPr>
      </w:pPr>
      <w:r>
        <w:rPr>
          <w:b/>
          <w:sz w:val="28"/>
          <w:szCs w:val="28"/>
        </w:rPr>
        <w:br w:type="page"/>
      </w:r>
    </w:p>
    <w:p>
      <w:pPr>
        <w:snapToGrid w:val="0"/>
        <w:spacing w:line="360" w:lineRule="auto"/>
        <w:jc w:val="right"/>
        <w:rPr>
          <w:b/>
          <w:sz w:val="28"/>
          <w:szCs w:val="28"/>
        </w:rPr>
      </w:pPr>
    </w:p>
    <w:p>
      <w:pPr>
        <w:snapToGrid w:val="0"/>
        <w:spacing w:line="360" w:lineRule="auto"/>
        <w:jc w:val="right"/>
        <w:rPr>
          <w:b/>
          <w:sz w:val="28"/>
          <w:szCs w:val="28"/>
        </w:rPr>
      </w:pPr>
      <w:r>
        <w:rPr>
          <w:b/>
          <w:sz w:val="28"/>
          <w:szCs w:val="28"/>
        </w:rPr>
        <w:t>Explanatory Notes on Main Statistical Indicators</w:t>
      </w:r>
    </w:p>
    <w:tbl>
      <w:tblPr>
        <w:tblStyle w:val="6"/>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CFCECE" w:themeFill="background2" w:themeFillShade="E5"/>
        <w:tblLayout w:type="autofit"/>
        <w:tblCellMar>
          <w:top w:w="0" w:type="dxa"/>
          <w:left w:w="0" w:type="dxa"/>
          <w:bottom w:w="0" w:type="dxa"/>
          <w:right w:w="0" w:type="dxa"/>
        </w:tblCellMar>
      </w:tblPr>
      <w:tblGrid>
        <w:gridCol w:w="5778"/>
        <w:gridCol w:w="397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CFCECE" w:themeFill="background2" w:themeFillShade="E5"/>
          <w:tblCellMar>
            <w:top w:w="0" w:type="dxa"/>
            <w:left w:w="0" w:type="dxa"/>
            <w:bottom w:w="0" w:type="dxa"/>
            <w:right w:w="0" w:type="dxa"/>
          </w:tblCellMar>
        </w:tblPrEx>
        <w:trPr>
          <w:trHeight w:val="170" w:hRule="atLeast"/>
        </w:trPr>
        <w:tc>
          <w:tcPr>
            <w:tcW w:w="5778" w:type="dxa"/>
            <w:shd w:val="clear" w:color="auto" w:fill="CFCECE" w:themeFill="background2" w:themeFillShade="E5"/>
            <w:vAlign w:val="top"/>
          </w:tcPr>
          <w:p>
            <w:pPr>
              <w:keepNext w:val="0"/>
              <w:keepLines w:val="0"/>
              <w:pageBreakBefore w:val="0"/>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kinsoku/>
              <w:wordWrap/>
              <w:overflowPunct/>
              <w:topLinePunct w:val="0"/>
              <w:autoSpaceDE/>
              <w:autoSpaceDN/>
              <w:bidi w:val="0"/>
              <w:adjustRightInd w:val="0"/>
              <w:snapToGrid w:val="0"/>
              <w:spacing w:line="80" w:lineRule="atLeast"/>
              <w:jc w:val="center"/>
              <w:textAlignment w:val="auto"/>
              <w:rPr>
                <w:rFonts w:ascii="汉仪中黑简" w:hAnsi="华文中宋" w:eastAsia="汉仪中黑简" w:cs="汉仪中黑简"/>
                <w:kern w:val="0"/>
                <w:sz w:val="11"/>
                <w:szCs w:val="11"/>
                <w:vertAlign w:val="baseline"/>
              </w:rPr>
            </w:pPr>
          </w:p>
        </w:tc>
        <w:tc>
          <w:tcPr>
            <w:tcW w:w="3974" w:type="dxa"/>
            <w:shd w:val="clear" w:color="auto" w:fill="7F7F7F" w:themeFill="text1" w:themeFillShade="E5" w:themeFillTint="7F"/>
            <w:vAlign w:val="top"/>
          </w:tcPr>
          <w:p>
            <w:pPr>
              <w:keepNext w:val="0"/>
              <w:keepLines w:val="0"/>
              <w:pageBreakBefore w:val="0"/>
              <w:widowControl w:val="0"/>
              <w:tabs>
                <w:tab w:val="left" w:pos="420"/>
                <w:tab w:val="left" w:pos="840"/>
                <w:tab w:val="left" w:pos="1260"/>
                <w:tab w:val="left" w:pos="1680"/>
                <w:tab w:val="left" w:pos="2100"/>
                <w:tab w:val="left" w:pos="2520"/>
                <w:tab w:val="left" w:pos="2940"/>
                <w:tab w:val="left" w:pos="3360"/>
                <w:tab w:val="left" w:pos="3780"/>
                <w:tab w:val="left" w:pos="4200"/>
                <w:tab w:val="left" w:pos="4620"/>
                <w:tab w:val="left" w:pos="5040"/>
                <w:tab w:val="left" w:pos="5460"/>
                <w:tab w:val="left" w:pos="5880"/>
                <w:tab w:val="left" w:pos="6300"/>
                <w:tab w:val="left" w:pos="6720"/>
                <w:tab w:val="left" w:pos="7140"/>
                <w:tab w:val="left" w:pos="7560"/>
                <w:tab w:val="left" w:pos="7980"/>
                <w:tab w:val="left" w:pos="8400"/>
                <w:tab w:val="left" w:pos="8820"/>
                <w:tab w:val="left" w:pos="9240"/>
                <w:tab w:val="left" w:pos="9660"/>
                <w:tab w:val="left" w:pos="10080"/>
                <w:tab w:val="left" w:pos="10500"/>
                <w:tab w:val="left" w:pos="10920"/>
                <w:tab w:val="left" w:pos="11340"/>
                <w:tab w:val="left" w:pos="11760"/>
                <w:tab w:val="left" w:pos="12180"/>
                <w:tab w:val="left" w:pos="12600"/>
                <w:tab w:val="left" w:pos="13020"/>
                <w:tab w:val="left" w:pos="13440"/>
                <w:tab w:val="left" w:pos="13860"/>
                <w:tab w:val="left" w:pos="14280"/>
                <w:tab w:val="left" w:pos="14700"/>
                <w:tab w:val="left" w:pos="15120"/>
                <w:tab w:val="left" w:pos="15540"/>
                <w:tab w:val="left" w:pos="15960"/>
                <w:tab w:val="left" w:pos="16380"/>
                <w:tab w:val="left" w:pos="16800"/>
              </w:tabs>
              <w:kinsoku/>
              <w:wordWrap/>
              <w:overflowPunct/>
              <w:topLinePunct w:val="0"/>
              <w:autoSpaceDE/>
              <w:autoSpaceDN/>
              <w:bidi w:val="0"/>
              <w:adjustRightInd w:val="0"/>
              <w:snapToGrid w:val="0"/>
              <w:spacing w:line="80" w:lineRule="atLeast"/>
              <w:jc w:val="center"/>
              <w:textAlignment w:val="auto"/>
              <w:rPr>
                <w:rFonts w:ascii="汉仪中黑简" w:hAnsi="华文中宋" w:eastAsia="汉仪中黑简" w:cs="汉仪中黑简"/>
                <w:kern w:val="0"/>
                <w:sz w:val="11"/>
                <w:szCs w:val="11"/>
                <w:vertAlign w:val="baseline"/>
              </w:rPr>
            </w:pPr>
          </w:p>
        </w:tc>
      </w:tr>
    </w:tbl>
    <w:p>
      <w:pPr>
        <w:snapToGrid w:val="0"/>
        <w:spacing w:line="360" w:lineRule="exact"/>
        <w:jc w:val="center"/>
        <w:rPr>
          <w:b/>
          <w:sz w:val="28"/>
          <w:szCs w:val="28"/>
        </w:rPr>
      </w:pPr>
    </w:p>
    <w:p>
      <w:pPr>
        <w:pStyle w:val="12"/>
        <w:snapToGrid w:val="0"/>
        <w:spacing w:line="360" w:lineRule="exact"/>
        <w:rPr>
          <w:b/>
          <w:bCs/>
          <w:color w:val="auto"/>
        </w:rPr>
        <w:sectPr>
          <w:type w:val="continuous"/>
          <w:pgSz w:w="11906" w:h="16838"/>
          <w:pgMar w:top="1021" w:right="1077" w:bottom="1247" w:left="1077" w:header="510" w:footer="624" w:gutter="0"/>
          <w:pgBorders>
            <w:top w:val="none" w:sz="0" w:space="0"/>
            <w:left w:val="none" w:sz="0" w:space="0"/>
            <w:bottom w:val="none" w:sz="0" w:space="0"/>
            <w:right w:val="none" w:sz="0" w:space="0"/>
          </w:pgBorders>
          <w:pgNumType w:start="15"/>
          <w:cols w:space="425" w:num="1"/>
          <w:docGrid w:type="lines" w:linePitch="312" w:charSpace="0"/>
        </w:sectPr>
      </w:pPr>
    </w:p>
    <w:p>
      <w:pPr>
        <w:pStyle w:val="14"/>
        <w:snapToGrid w:val="0"/>
        <w:spacing w:line="360" w:lineRule="exact"/>
        <w:rPr>
          <w:color w:val="auto"/>
        </w:rPr>
      </w:pPr>
      <w:r>
        <w:rPr>
          <w:b/>
          <w:bCs/>
          <w:color w:val="auto"/>
        </w:rPr>
        <w:t>Gross Output Value of Farming, Forestry, Animal Husbandry and Fishery</w:t>
      </w:r>
      <w:r>
        <w:rPr>
          <w:color w:val="auto"/>
        </w:rPr>
        <w:t xml:space="preserve"> refers to the total value of products of farming, forestry, animal husbandry and fishery, and total value of services rendered to support farming, forestry, animal husbandry and fishery activities. It reflects the total scale and results of agricultural production during a given period. Prior to 1957, </w:t>
      </w:r>
      <w:r>
        <w:rPr>
          <w:rFonts w:hint="eastAsia"/>
          <w:color w:val="auto"/>
        </w:rPr>
        <w:t>Chinese</w:t>
      </w:r>
      <w:bookmarkStart w:id="0" w:name="_GoBack"/>
      <w:bookmarkEnd w:id="0"/>
      <w:r>
        <w:rPr>
          <w:color w:val="auto"/>
        </w:rPr>
        <w:t xml:space="preserve"> gross agricultural output value included barnyard manure and handicraft products for self-consumption (clothes, shoes, stockings, and initial grain processing undertaken by peasants). Since 1958, cutting and felling of bamboo and trees by villages and other cooperative organizations under villages have been included in forestry; value of barnyard manure has been excluded from animal husbandry; self consumed handicrafts has been excluded from sideline occupations, while the output value of industries run by villages and cooperative organizations under village had been included in sideline occupations and the output value of fish catches by motor fishing boats has been added to fishery. Since 1980, the value of handicraft products made for sale by individuals in households had been added to sideline occupations. Since 1984, industries run by villages and under villages have been included in the sector of industry. Since 1993, the subdivision of sideline occupations has been canceled, and the hunting of wild animals has been classified into animal husbandry, and the gathering of wild plants and commodity industry run by rural household have been included in farming. A new industrial classification of economic activities was introduced in 2003. Under the new classification, value of services to farming, forestry, animal husbandry and fishery is included in the gross output value of agriculture, value of wood felling and transport is included in forestry, value of industrial output by rural households is not included in agriculture, and the collection of wild forest products is taken from agriculture and included in the forestry. The first agriculture census of China revealed some discrepancy between the production of animal products from the annual reports and that from the census. Efforts were made by the Rural Socio-economic Survey Organization of NBS to adjust the output value of animal husbandry to make the figures from the annual reports consistent with the census data.</w:t>
      </w:r>
    </w:p>
    <w:p>
      <w:pPr>
        <w:pStyle w:val="14"/>
        <w:snapToGrid w:val="0"/>
        <w:spacing w:line="360" w:lineRule="exact"/>
        <w:rPr>
          <w:color w:val="auto"/>
        </w:rPr>
      </w:pPr>
      <w:r>
        <w:rPr>
          <w:color w:val="auto"/>
        </w:rPr>
        <w:t>Gross output value of agriculture is obtained by first multiplying the output of each product or by product by its price, resulting in the output value of each single item. For a small number of products, annual output of which is not available or difficult to get due to the long production (growing) process involved, the output value is estimated through an indirect approach. The sum of output value of all products of farming, forestry, animal husbandry and fishery is then equal to the gross output value of agriculture.</w:t>
      </w:r>
    </w:p>
    <w:p>
      <w:pPr>
        <w:pStyle w:val="14"/>
        <w:snapToGrid w:val="0"/>
        <w:spacing w:line="360" w:lineRule="exact"/>
        <w:rPr>
          <w:color w:val="auto"/>
        </w:rPr>
      </w:pPr>
      <w:r>
        <w:rPr>
          <w:b/>
          <w:bCs/>
          <w:color w:val="auto"/>
        </w:rPr>
        <w:t>Grain Output</w:t>
      </w:r>
      <w:r>
        <w:rPr>
          <w:color w:val="auto"/>
        </w:rPr>
        <w:t xml:space="preserve">  refers to the total output in the whole country including grains produced by state farms, collective units, rural households, as well as by farms affiliated to industrial and mining enterprises and other production units. Grain includes rice, wheat, corn, sorghum, millet and other miscellaneous grains as well as tubers and bean. Output of beans refers to dry beans without pods. The output of tubers (sweet potatoes and potatoes, not including taros and cassava) was converted into that of grain at the ratio 4:1, i.e. 4 kilograms of fresh tubers was equivalent to 1 kilogram of grain up to 1963. Since 1964 the ratio for conversion has been 5:1. Tubers supplied as vegetables (such as potatoes) in cities and suburbs are calculated as fresh vegetables and their output is not included in the output of grain. Output of all other grains refers to husked grain. Data on grain production before 1989 were obtained through Comprehensive Statistical Reporting System. Since 1989, data from sample surveys are used.</w:t>
      </w:r>
    </w:p>
    <w:p>
      <w:pPr>
        <w:pStyle w:val="14"/>
        <w:snapToGrid w:val="0"/>
        <w:spacing w:line="360" w:lineRule="exact"/>
        <w:rPr>
          <w:color w:val="auto"/>
        </w:rPr>
      </w:pPr>
      <w:r>
        <w:rPr>
          <w:b/>
          <w:bCs/>
          <w:color w:val="auto"/>
        </w:rPr>
        <w:t>Cotton Output</w:t>
      </w:r>
      <w:r>
        <w:rPr>
          <w:color w:val="auto"/>
        </w:rPr>
        <w:t xml:space="preserve">  refers to the cotton production in the whole country including cotton sown in spring and in autumn. Output is measured as the weight of ginned cotton. Ceiba is not included.</w:t>
      </w:r>
    </w:p>
    <w:p>
      <w:pPr>
        <w:pStyle w:val="14"/>
        <w:snapToGrid w:val="0"/>
        <w:spacing w:line="360" w:lineRule="exact"/>
        <w:rPr>
          <w:color w:val="auto"/>
        </w:rPr>
      </w:pPr>
      <w:r>
        <w:rPr>
          <w:b/>
          <w:bCs/>
          <w:color w:val="auto"/>
        </w:rPr>
        <w:t>Output of Oil-bearing Crops</w:t>
      </w:r>
      <w:r>
        <w:rPr>
          <w:color w:val="auto"/>
        </w:rPr>
        <w:t xml:space="preserve">  refers to the total production of oil-bearing crops of various kinds, including peanuts, (dry, in shell) rapeseeds, sesame, sunflower seeds, flax seeds, and other oil-bearing crops. Soybeans, oil-bearing woody plants, and wild oil-bearing crops are not included.</w:t>
      </w:r>
    </w:p>
    <w:p>
      <w:pPr>
        <w:pStyle w:val="14"/>
        <w:snapToGrid w:val="0"/>
        <w:spacing w:line="360" w:lineRule="exact"/>
        <w:rPr>
          <w:color w:val="auto"/>
        </w:rPr>
      </w:pPr>
      <w:r>
        <w:rPr>
          <w:b/>
          <w:bCs/>
          <w:color w:val="auto"/>
        </w:rPr>
        <w:t>Output of Aquatic Products</w:t>
      </w:r>
      <w:r>
        <w:rPr>
          <w:color w:val="auto"/>
        </w:rPr>
        <w:t xml:space="preserve">  refers to catches of both artificially cultured and naturally grown aquatic products, including fish, shrimps, crabs and shellfish in sea and inland water as well as seaweed. Freshwater plants are not included.  Data on output of aquatic products are reported by aquatic product and statistical agencies level by level. Before 1995, among the shellfish, the oyster was counted as fresh meat; 5 kilograms of ark shell, clams and frogs are equivalent to 1 kilogram of fresh aquatic products; they are all counted as fresh aquatic products since 1996.</w:t>
      </w:r>
    </w:p>
    <w:p>
      <w:pPr>
        <w:pStyle w:val="14"/>
        <w:snapToGrid w:val="0"/>
        <w:spacing w:line="360" w:lineRule="exact"/>
        <w:rPr>
          <w:color w:val="auto"/>
        </w:rPr>
      </w:pPr>
      <w:r>
        <w:rPr>
          <w:b/>
          <w:bCs/>
          <w:color w:val="auto"/>
        </w:rPr>
        <w:t>Output of Pork, Beef, and Mutton</w:t>
      </w:r>
      <w:r>
        <w:rPr>
          <w:color w:val="auto"/>
        </w:rPr>
        <w:t xml:space="preserve">   refers to the meat of slaughtered hogs, cattle, sheep and goats with head, feet, and offal taken away. Data refers to the production of the whole country. The first agriculture census of China in 1996 revealed some discrepancy between the production of animal products from the annual reports and that from the census. Efforts were made by the Rural Socio-economic Survey Organization of NBS to adjust the output value of animal husbandry to make the figures from the annual reports consistent with the census data. Since 1999, NBS conducted sample survey for the major animal husbandry products, such as hogs, cattle, sheep and goats and fowls, and the data from sample surveys are used as national finalized data. Those products, which are not covered by the sample survey, are still reported by statistical agencies level by level.</w:t>
      </w:r>
    </w:p>
    <w:p>
      <w:pPr>
        <w:pStyle w:val="14"/>
        <w:snapToGrid w:val="0"/>
        <w:spacing w:line="360" w:lineRule="exact"/>
        <w:rPr>
          <w:color w:val="auto"/>
        </w:rPr>
      </w:pPr>
      <w:r>
        <w:rPr>
          <w:b/>
          <w:bCs/>
          <w:color w:val="auto"/>
        </w:rPr>
        <w:t>Number of Livestock or Poultry in Stock at Beginning (or End)</w:t>
      </w:r>
      <w:r>
        <w:rPr>
          <w:color w:val="auto"/>
        </w:rPr>
        <w:t xml:space="preserve"> refers to the total number of large animals, pigs, sheep, fowls, etc. raised by rural cooperative organizations, state farms, rural individuals, government agencies, schools, industrial and mining enterprises, army, and urban residents at the beginning (or end) of the reference period. Data reporting system and data adjustment are the same as that in the output of pork, beef and mutton. </w:t>
      </w:r>
    </w:p>
    <w:p>
      <w:pPr>
        <w:pStyle w:val="14"/>
        <w:snapToGrid w:val="0"/>
        <w:spacing w:line="360" w:lineRule="exact"/>
        <w:rPr>
          <w:color w:val="auto"/>
        </w:rPr>
      </w:pPr>
      <w:r>
        <w:rPr>
          <w:b/>
          <w:bCs/>
          <w:color w:val="auto"/>
        </w:rPr>
        <w:t>Regularly Cultivated Land</w:t>
      </w:r>
      <w:r>
        <w:rPr>
          <w:color w:val="auto"/>
        </w:rPr>
        <w:t xml:space="preserve"> refers to farmland among the total land resources, which is exclusively used for farming and is under regular cultivation with harvest in normal years. Included are currently cultivated land, land that has been abandoned or put in idle for less than 3 years and could be re-used for cultivation at any time, and new-claimed land that has been put into cultivation for more than 3 years. According to statistical coverage, it includes the gouges, dykes, roads and ridges of field with 1 meter wide in Southern areas and 2 meters wide in Northern areas. Excluded under this category are steep slope land over 25 degrees under temporary cultivation, land (large or small plots) that is claimed along river bends, lake sides or banks of reservoirs, as well as land that has been designated under the “Green for Grain” programme of the state and provincial governments but is still temporarily under cultivation. The regularly cultivated land is the key protection land of the nation, an important indicator reflecting the comprehensive productivity of agriculture of China. </w:t>
      </w:r>
    </w:p>
    <w:p>
      <w:pPr>
        <w:pStyle w:val="14"/>
        <w:snapToGrid w:val="0"/>
        <w:spacing w:line="360" w:lineRule="exact"/>
        <w:rPr>
          <w:color w:val="auto"/>
        </w:rPr>
      </w:pPr>
      <w:r>
        <w:rPr>
          <w:b/>
          <w:bCs/>
          <w:color w:val="auto"/>
        </w:rPr>
        <w:t>Sown Area of Crops</w:t>
      </w:r>
      <w:r>
        <w:rPr>
          <w:color w:val="auto"/>
        </w:rPr>
        <w:t xml:space="preserve">  refers to area of land sown or transplanted with crops regardless of being in cultivated area or non-cultivated area. Area of land re-sown due to natural disasters is also included. This is an important indicator that can reflect the utilization condition of the cultivated land in China. At present, the sown area of crops mainly include the following 9 categories of crops: grain, cotton, oil-bearing crops, sugar crops, fiber crops, Tobacco, Vegetables and melons, medicinal materials and other farm crops.</w:t>
      </w:r>
    </w:p>
    <w:p>
      <w:pPr>
        <w:pStyle w:val="14"/>
        <w:snapToGrid w:val="0"/>
        <w:spacing w:line="360" w:lineRule="exact"/>
        <w:rPr>
          <w:color w:val="auto"/>
        </w:rPr>
      </w:pPr>
      <w:r>
        <w:rPr>
          <w:b/>
          <w:bCs/>
          <w:color w:val="auto"/>
        </w:rPr>
        <w:t>Irrigated Area</w:t>
      </w:r>
      <w:r>
        <w:rPr>
          <w:color w:val="auto"/>
        </w:rPr>
        <w:t xml:space="preserve">  refers to areas that are effectively irrigated, i.e. level land, which has water source and complete sets of irrigation facilities to lift and move adequate water for irrigation purpose under normal conditions. Under normal conditions, irrigated area is the sum of watered fields and irrigated fields where irrigation systems or equipment have been installed for regular irrigation purpose. This important indicator reflects drought resistance capacity of the cultivated land in China. </w:t>
      </w:r>
    </w:p>
    <w:p>
      <w:pPr>
        <w:pStyle w:val="14"/>
        <w:snapToGrid w:val="0"/>
        <w:spacing w:line="360" w:lineRule="exact"/>
        <w:rPr>
          <w:color w:val="auto"/>
        </w:rPr>
      </w:pPr>
      <w:r>
        <w:rPr>
          <w:b/>
          <w:bCs/>
          <w:color w:val="auto"/>
        </w:rPr>
        <w:t>Consumption of Chemical Fertilizers in Agriculture</w:t>
      </w:r>
      <w:r>
        <w:rPr>
          <w:color w:val="auto"/>
        </w:rPr>
        <w:t xml:space="preserve">  refers to the quantity of chemical fertilizers applied in agriculture in the year, including nitrogenous fertilizer, phosphate fertilizer, potash fertilizer, and compound fertilizer. The consumption of chemical fertilizers is required in calculation to convert the gross weight into weight containing 100% effective component (e.g. 100% nitrogen content in nitrogenous fertilizer, 100% phosphorous pent oxide contents in phosphate fertilizer, 100% potassium oxide contents in potash fertilizer). Compound fertilizer is converted with its major component. The formula is :</w:t>
      </w:r>
    </w:p>
    <w:p>
      <w:pPr>
        <w:pStyle w:val="14"/>
        <w:snapToGrid w:val="0"/>
        <w:spacing w:line="360" w:lineRule="exact"/>
        <w:rPr>
          <w:color w:val="auto"/>
        </w:rPr>
      </w:pPr>
      <w:r>
        <w:rPr>
          <w:color w:val="auto"/>
        </w:rPr>
        <w:t>Volume of effective component= physical quantity x effective component of certain chemical fertilizer (%)</w:t>
      </w:r>
    </w:p>
    <w:p>
      <w:pPr>
        <w:pStyle w:val="14"/>
        <w:snapToGrid w:val="0"/>
        <w:spacing w:line="360" w:lineRule="exact"/>
        <w:rPr>
          <w:color w:val="auto"/>
        </w:rPr>
      </w:pPr>
      <w:r>
        <w:rPr>
          <w:b/>
          <w:bCs/>
          <w:color w:val="auto"/>
        </w:rPr>
        <w:t>Total Power of Farm Machinery</w:t>
      </w:r>
      <w:r>
        <w:rPr>
          <w:color w:val="auto"/>
        </w:rPr>
        <w:t xml:space="preserve">   refers to total mechanical power of machinery used in farming, forestry, animal husbandry, and fishery, including ploughing, irrigation and drainage, harvesting, transport, plant protection, stock breeding, forestry and fishery. The power of internal combustion engines is required to convert horsepower into watts and the power of electric motors is required to be converted into watts. Machinery employed for non-agricultural purposes, such as the machines used in township run and village-run industry, construction, non-agricultural transport, scientific experiments and teaching, is excluded. Data are mainly from agricultural machinery agencies.</w:t>
      </w:r>
    </w:p>
    <w:p>
      <w:pPr>
        <w:pStyle w:val="13"/>
        <w:snapToGrid w:val="0"/>
        <w:spacing w:line="360" w:lineRule="exact"/>
      </w:pPr>
      <w:r>
        <w:rPr>
          <w:b/>
          <w:bCs/>
        </w:rPr>
        <w:t>Rural Employed Persons</w:t>
      </w:r>
      <w:r>
        <w:t xml:space="preserve">  refer to rural labor forces aged over 16 years old who are engaged in real production and management activities and receive payment in kind or wages, including those covered within the age frame and regularly participating in production activities, and those who are out of the range of age frame and also participating in production activities regularly. Excluding students studying in other places with their permanent residence registered in local areas, servicemen and persons incapable of working; also excluding those who are waiting for jobs and those engaged in household work. Persons employed are classified as persons engaged in agriculture, forestry, animal husbandry or fishery activities; persons engaged in industrial activities; persons engaged in construction activities; persons engaged in transport, storage and telecommunications activities; persons engaged in whole sales and retail sales trade and catering activities; and persons engaged in other non-agriculture activities, depending upon the longest period of employment in major activities (or using income indicator when period of employment is the same).</w:t>
      </w:r>
    </w:p>
    <w:p>
      <w:pPr>
        <w:sectPr>
          <w:type w:val="continuous"/>
          <w:pgSz w:w="11906" w:h="16838"/>
          <w:pgMar w:top="1021" w:right="1077" w:bottom="1247" w:left="1077" w:header="510" w:footer="624" w:gutter="0"/>
          <w:pgBorders>
            <w:top w:val="none" w:sz="0" w:space="0"/>
            <w:left w:val="none" w:sz="0" w:space="0"/>
            <w:bottom w:val="none" w:sz="0" w:space="0"/>
            <w:right w:val="none" w:sz="0" w:space="0"/>
          </w:pgBorders>
          <w:pgNumType w:start="15"/>
          <w:cols w:equalWidth="0" w:num="2" w:sep="1">
            <w:col w:w="4664" w:space="425"/>
            <w:col w:w="4663"/>
          </w:cols>
          <w:docGrid w:type="lines" w:linePitch="312" w:charSpace="0"/>
        </w:sectPr>
      </w:pPr>
    </w:p>
    <w:p/>
    <w:sectPr>
      <w:type w:val="continuous"/>
      <w:pgSz w:w="11906" w:h="16838"/>
      <w:pgMar w:top="1021" w:right="1077" w:bottom="1247" w:left="1077" w:header="510" w:footer="624" w:gutter="0"/>
      <w:pgBorders>
        <w:top w:val="none" w:sz="0" w:space="0"/>
        <w:left w:val="none" w:sz="0" w:space="0"/>
        <w:bottom w:val="none" w:sz="0" w:space="0"/>
        <w:right w:val="none" w:sz="0" w:space="0"/>
      </w:pgBorders>
      <w:pgNumType w:start="15"/>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0030101010101"/>
    <w:charset w:val="86"/>
    <w:family w:val="auto"/>
    <w:pitch w:val="default"/>
    <w:sig w:usb0="00000001" w:usb1="080E0000" w:usb2="00000000" w:usb3="00000000" w:csb0="00040000"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A00002EF" w:usb1="4000207B" w:usb2="00000000" w:usb3="00000000" w:csb0="2000009F" w:csb1="00000000"/>
  </w:font>
  <w:font w:name="方正黑体_GBK">
    <w:panose1 w:val="02000000000000000000"/>
    <w:charset w:val="86"/>
    <w:family w:val="auto"/>
    <w:pitch w:val="default"/>
    <w:sig w:usb0="00000001" w:usb1="08000000" w:usb2="00000000" w:usb3="00000000" w:csb0="00040000" w:csb1="00000000"/>
  </w:font>
  <w:font w:name="汉仪中黑简">
    <w:panose1 w:val="02010609000101010101"/>
    <w:charset w:val="86"/>
    <w:family w:val="modern"/>
    <w:pitch w:val="default"/>
    <w:sig w:usb0="00000001" w:usb1="080E0800" w:usb2="00000002" w:usb3="00000000" w:csb0="00040000" w:csb1="00000000"/>
  </w:font>
  <w:font w:name="华文中宋">
    <w:panose1 w:val="02010600040101010101"/>
    <w:charset w:val="86"/>
    <w:family w:val="auto"/>
    <w:pitch w:val="default"/>
    <w:sig w:usb0="00000287" w:usb1="080F0000" w:usb2="00000000" w:usb3="00000000" w:csb0="0004009F" w:csb1="DFD70000"/>
  </w:font>
  <w:font w:name="汉仪书宋一简">
    <w:panose1 w:val="02010609000101010101"/>
    <w:charset w:val="86"/>
    <w:family w:val="modern"/>
    <w:pitch w:val="default"/>
    <w:sig w:usb0="00000001" w:usb1="080E0800" w:usb2="00000002" w:usb3="00000000" w:csb0="00040000" w:csb1="00000000"/>
  </w:font>
  <w:font w:name="汉仪报宋简">
    <w:panose1 w:val="02010609000101010101"/>
    <w:charset w:val="86"/>
    <w:family w:val="modern"/>
    <w:pitch w:val="default"/>
    <w:sig w:usb0="00000001" w:usb1="080E0800" w:usb2="00000002"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framePr w:w="414" w:wrap="around" w:vAnchor="text" w:hAnchor="page" w:x="9849" w:y="210"/>
      <w:jc w:val="center"/>
      <w:rPr>
        <w:rStyle w:val="8"/>
      </w:rPr>
    </w:pPr>
    <w:r>
      <w:rPr>
        <w:rStyle w:val="8"/>
      </w:rPr>
      <w:fldChar w:fldCharType="begin"/>
    </w:r>
    <w:r>
      <w:rPr>
        <w:rStyle w:val="8"/>
      </w:rPr>
      <w:instrText xml:space="preserve">PAGE  </w:instrText>
    </w:r>
    <w:r>
      <w:rPr>
        <w:rStyle w:val="8"/>
      </w:rPr>
      <w:fldChar w:fldCharType="separate"/>
    </w:r>
    <w:r>
      <w:rPr>
        <w:rStyle w:val="8"/>
      </w:rPr>
      <w:t>22</w:t>
    </w:r>
    <w:r>
      <w:rPr>
        <w:rStyle w:val="8"/>
      </w:rPr>
      <w:fldChar w:fldCharType="end"/>
    </w:r>
  </w:p>
  <w:p>
    <w:pPr>
      <w:pStyle w:val="3"/>
      <w:tabs>
        <w:tab w:val="clear" w:pos="4153"/>
        <w:tab w:val="clear" w:pos="8306"/>
      </w:tabs>
      <w:ind w:right="23"/>
      <w:jc w:val="right"/>
    </w:pPr>
    <w:r>
      <w:rPr>
        <w:rFonts w:hint="eastAsia"/>
      </w:rPr>
      <w:drawing>
        <wp:inline distT="0" distB="0" distL="0" distR="0">
          <wp:extent cx="790575" cy="390525"/>
          <wp:effectExtent l="0" t="0" r="9525" b="9525"/>
          <wp:docPr id="1" name="图片 1" descr="右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右页"/>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390525"/>
                  </a:xfrm>
                  <a:prstGeom prst="rect">
                    <a:avLst/>
                  </a:prstGeom>
                  <a:noFill/>
                  <a:ln>
                    <a:noFill/>
                  </a:ln>
                </pic:spPr>
              </pic:pic>
            </a:graphicData>
          </a:graphic>
        </wp:inline>
      </w:drawing>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framePr w:w="458" w:wrap="around" w:vAnchor="text" w:hAnchor="page" w:x="1621" w:y="195"/>
      <w:jc w:val="center"/>
      <w:rPr>
        <w:rStyle w:val="8"/>
      </w:rPr>
    </w:pPr>
    <w:r>
      <w:rPr>
        <w:rStyle w:val="8"/>
      </w:rPr>
      <w:fldChar w:fldCharType="begin"/>
    </w:r>
    <w:r>
      <w:rPr>
        <w:rStyle w:val="8"/>
      </w:rPr>
      <w:instrText xml:space="preserve">PAGE  </w:instrText>
    </w:r>
    <w:r>
      <w:rPr>
        <w:rStyle w:val="8"/>
      </w:rPr>
      <w:fldChar w:fldCharType="separate"/>
    </w:r>
    <w:r>
      <w:rPr>
        <w:rStyle w:val="8"/>
      </w:rPr>
      <w:t>52</w:t>
    </w:r>
    <w:r>
      <w:rPr>
        <w:rStyle w:val="8"/>
      </w:rPr>
      <w:fldChar w:fldCharType="end"/>
    </w:r>
  </w:p>
  <w:p>
    <w:pPr>
      <w:pStyle w:val="3"/>
      <w:tabs>
        <w:tab w:val="clear" w:pos="4153"/>
        <w:tab w:val="clear" w:pos="8306"/>
      </w:tabs>
      <w:ind w:right="88"/>
    </w:pPr>
    <w:r>
      <w:drawing>
        <wp:inline distT="0" distB="0" distL="0" distR="0">
          <wp:extent cx="790575" cy="390525"/>
          <wp:effectExtent l="0" t="0" r="9525" b="9525"/>
          <wp:docPr id="2" name="图片 2" descr="左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左页"/>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790575" cy="390525"/>
                  </a:xfrm>
                  <a:prstGeom prst="rect">
                    <a:avLst/>
                  </a:prstGeom>
                  <a:noFill/>
                  <a:ln>
                    <a:noFill/>
                  </a:ln>
                </pic:spPr>
              </pic:pic>
            </a:graphicData>
          </a:graphic>
        </wp:inline>
      </w:drawing>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jc w:val="right"/>
      <w:rPr>
        <w:szCs w:val="18"/>
      </w:rPr>
    </w:pPr>
    <w:r>
      <w:rPr>
        <w:rFonts w:hint="eastAsia"/>
      </w:rPr>
      <mc:AlternateContent>
        <mc:Choice Requires="wps">
          <w:drawing>
            <wp:anchor distT="0" distB="0" distL="114300" distR="114300" simplePos="0" relativeHeight="251659264" behindDoc="0" locked="0" layoutInCell="1" allowOverlap="1">
              <wp:simplePos x="0" y="0"/>
              <wp:positionH relativeFrom="column">
                <wp:posOffset>4862830</wp:posOffset>
              </wp:positionH>
              <wp:positionV relativeFrom="paragraph">
                <wp:posOffset>83185</wp:posOffset>
              </wp:positionV>
              <wp:extent cx="905510" cy="165735"/>
              <wp:effectExtent l="0" t="0" r="3810" b="2540"/>
              <wp:wrapNone/>
              <wp:docPr id="5" name="文本框 5"/>
              <wp:cNvGraphicFramePr/>
              <a:graphic xmlns:a="http://schemas.openxmlformats.org/drawingml/2006/main">
                <a:graphicData uri="http://schemas.microsoft.com/office/word/2010/wordprocessingShape">
                  <wps:wsp>
                    <wps:cNvSpPr txBox="1">
                      <a:spLocks noChangeArrowheads="1"/>
                    </wps:cNvSpPr>
                    <wps:spPr bwMode="auto">
                      <a:xfrm>
                        <a:off x="0" y="0"/>
                        <a:ext cx="905510" cy="165735"/>
                      </a:xfrm>
                      <a:prstGeom prst="rect">
                        <a:avLst/>
                      </a:prstGeom>
                      <a:noFill/>
                      <a:ln>
                        <a:noFill/>
                      </a:ln>
                    </wps:spPr>
                    <wps:txbx>
                      <w:txbxContent>
                        <w:p>
                          <w:pPr>
                            <w:wordWrap w:val="0"/>
                            <w:jc w:val="right"/>
                            <w:rPr>
                              <w:rFonts w:hint="eastAsia"/>
                            </w:rPr>
                          </w:pPr>
                          <w:r>
                            <w:rPr>
                              <w:rFonts w:hint="eastAsia" w:ascii="汉仪书宋一简" w:eastAsia="汉仪书宋一简"/>
                              <w:sz w:val="15"/>
                              <w:szCs w:val="15"/>
                            </w:rPr>
                            <w:t>农    业</w:t>
                          </w:r>
                        </w:p>
                      </w:txbxContent>
                    </wps:txbx>
                    <wps:bodyPr rot="0" vert="horz" wrap="square" lIns="0" tIns="0" rIns="0" bIns="0" anchor="t" anchorCtr="0" upright="1">
                      <a:spAutoFit/>
                    </wps:bodyPr>
                  </wps:wsp>
                </a:graphicData>
              </a:graphic>
            </wp:anchor>
          </w:drawing>
        </mc:Choice>
        <mc:Fallback>
          <w:pict>
            <v:shape id="_x0000_s1026" o:spid="_x0000_s1026" o:spt="202" type="#_x0000_t202" style="position:absolute;left:0pt;margin-left:382.9pt;margin-top:6.55pt;height:13.05pt;width:71.3pt;z-index:251659264;mso-width-relative:page;mso-height-relative:page;" filled="f" stroked="f" coordsize="21600,21600" o:gfxdata="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BvQrgW1gAAAAkBAAAPAAAAAAAAAAEAIAAAACIA&#10;AABkcnMvZG93bnJldi54bWxQSwECFAAUAAAACACHTuJAEmEMewsCAAAEBAAADgAAAAAAAAABACAA&#10;AAAlAQAAZHJzL2Uyb0RvYy54bWxQSwUGAAAAAAYABgBZAQAAogUAAAAA&#10;">
              <v:fill on="f" focussize="0,0"/>
              <v:stroke on="f"/>
              <v:imagedata o:title=""/>
              <o:lock v:ext="edit" aspectratio="f"/>
              <v:textbox inset="0mm,0mm,0mm,0mm" style="mso-fit-shape-to-text:t;">
                <w:txbxContent>
                  <w:p>
                    <w:pPr>
                      <w:wordWrap w:val="0"/>
                      <w:jc w:val="right"/>
                      <w:rPr>
                        <w:rFonts w:hint="eastAsia"/>
                      </w:rPr>
                    </w:pPr>
                    <w:r>
                      <w:rPr>
                        <w:rFonts w:hint="eastAsia" w:ascii="汉仪书宋一简" w:eastAsia="汉仪书宋一简"/>
                        <w:sz w:val="15"/>
                        <w:szCs w:val="15"/>
                      </w:rPr>
                      <w:t>农    业</w:t>
                    </w:r>
                  </w:p>
                </w:txbxContent>
              </v:textbox>
            </v:shape>
          </w:pict>
        </mc:Fallback>
      </mc:AlternateContent>
    </w:r>
    <w:r>
      <w:rPr>
        <w:rFonts w:hint="eastAsia"/>
      </w:rPr>
      <w:drawing>
        <wp:inline distT="0" distB="0" distL="0" distR="0">
          <wp:extent cx="266700" cy="247650"/>
          <wp:effectExtent l="0" t="0" r="0" b="0"/>
          <wp:docPr id="3" name="图片 3" descr="Untitled-1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Untitled-1 cop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66700" cy="247650"/>
                  </a:xfrm>
                  <a:prstGeom prst="rect">
                    <a:avLst/>
                  </a:prstGeom>
                  <a:noFill/>
                  <a:ln>
                    <a:noFill/>
                  </a:ln>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r>
      <mc:AlternateContent>
        <mc:Choice Requires="wps">
          <w:drawing>
            <wp:anchor distT="0" distB="0" distL="114300" distR="114300" simplePos="0" relativeHeight="251660288" behindDoc="0" locked="0" layoutInCell="1" allowOverlap="1">
              <wp:simplePos x="0" y="0"/>
              <wp:positionH relativeFrom="column">
                <wp:posOffset>450215</wp:posOffset>
              </wp:positionH>
              <wp:positionV relativeFrom="paragraph">
                <wp:posOffset>80645</wp:posOffset>
              </wp:positionV>
              <wp:extent cx="2592705" cy="109220"/>
              <wp:effectExtent l="2540" t="4445" r="0" b="635"/>
              <wp:wrapNone/>
              <wp:docPr id="6" name="文本框 6"/>
              <wp:cNvGraphicFramePr/>
              <a:graphic xmlns:a="http://schemas.openxmlformats.org/drawingml/2006/main">
                <a:graphicData uri="http://schemas.microsoft.com/office/word/2010/wordprocessingShape">
                  <wps:wsp>
                    <wps:cNvSpPr txBox="1">
                      <a:spLocks noChangeArrowheads="1"/>
                    </wps:cNvSpPr>
                    <wps:spPr bwMode="auto">
                      <a:xfrm>
                        <a:off x="0" y="0"/>
                        <a:ext cx="2592705" cy="109220"/>
                      </a:xfrm>
                      <a:prstGeom prst="rect">
                        <a:avLst/>
                      </a:prstGeom>
                      <a:noFill/>
                      <a:ln>
                        <a:noFill/>
                      </a:ln>
                    </wps:spPr>
                    <wps:txbx>
                      <w:txbxContent>
                        <w:p>
                          <w:pPr>
                            <w:rPr>
                              <w:rFonts w:eastAsia="汉仪报宋简"/>
                              <w:sz w:val="15"/>
                              <w:szCs w:val="15"/>
                            </w:rPr>
                          </w:pPr>
                          <w:r>
                            <w:rPr>
                              <w:rFonts w:hint="eastAsia" w:eastAsia="汉仪报宋简"/>
                              <w:sz w:val="15"/>
                              <w:szCs w:val="15"/>
                            </w:rPr>
                            <w:t>General Survey</w:t>
                          </w:r>
                        </w:p>
                      </w:txbxContent>
                    </wps:txbx>
                    <wps:bodyPr rot="0" vert="horz" wrap="square" lIns="0" tIns="0" rIns="0" bIns="0" anchor="t" anchorCtr="0" upright="1">
                      <a:spAutoFit/>
                    </wps:bodyPr>
                  </wps:wsp>
                </a:graphicData>
              </a:graphic>
            </wp:anchor>
          </w:drawing>
        </mc:Choice>
        <mc:Fallback>
          <w:pict>
            <v:shape id="_x0000_s1026" o:spid="_x0000_s1026" o:spt="202" type="#_x0000_t202" style="position:absolute;left:0pt;margin-left:35.45pt;margin-top:6.35pt;height:8.6pt;width:204.15pt;z-index:251660288;mso-width-relative:page;mso-height-relative:page;" filled="f" stroked="f" coordsize="21600,21600" o:gfxdata="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qgDGAdUAAAAIAQAADwAAAAAAAAABACAAAAAi&#10;AAAAZHJzL2Rvd25yZXYueG1sUEsBAhQAFAAAAAgAh07iQKt5o3QNAgAABQQAAA4AAAAAAAAAAQAg&#10;AAAAJAEAAGRycy9lMm9Eb2MueG1sUEsFBgAAAAAGAAYAWQEAAKMFAAAAAA==&#10;">
              <v:fill on="f" focussize="0,0"/>
              <v:stroke on="f"/>
              <v:imagedata o:title=""/>
              <o:lock v:ext="edit" aspectratio="f"/>
              <v:textbox inset="0mm,0mm,0mm,0mm" style="mso-fit-shape-to-text:t;">
                <w:txbxContent>
                  <w:p>
                    <w:pPr>
                      <w:rPr>
                        <w:rFonts w:eastAsia="汉仪报宋简"/>
                        <w:sz w:val="15"/>
                        <w:szCs w:val="15"/>
                      </w:rPr>
                    </w:pPr>
                    <w:r>
                      <w:rPr>
                        <w:rFonts w:hint="eastAsia" w:eastAsia="汉仪报宋简"/>
                        <w:sz w:val="15"/>
                        <w:szCs w:val="15"/>
                      </w:rPr>
                      <w:t>General Survey</w:t>
                    </w:r>
                  </w:p>
                </w:txbxContent>
              </v:textbox>
            </v:shape>
          </w:pict>
        </mc:Fallback>
      </mc:AlternateContent>
    </w:r>
    <w:r>
      <w:rPr>
        <w:rFonts w:hint="eastAsia"/>
      </w:rPr>
      <w:drawing>
        <wp:inline distT="0" distB="0" distL="0" distR="0">
          <wp:extent cx="266700" cy="247650"/>
          <wp:effectExtent l="0" t="0" r="0" b="0"/>
          <wp:docPr id="4" name="图片 4" descr="Untitled-1 cop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Untitled-1 copy"/>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266700" cy="247650"/>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F2858"/>
    <w:rsid w:val="004973FF"/>
    <w:rsid w:val="00551479"/>
    <w:rsid w:val="006B75AD"/>
    <w:rsid w:val="00BA4E86"/>
    <w:rsid w:val="00BF5019"/>
    <w:rsid w:val="00CF2858"/>
    <w:rsid w:val="00F00E53"/>
    <w:rsid w:val="137E2745"/>
    <w:rsid w:val="437F3D4B"/>
    <w:rsid w:val="44FF4D95"/>
    <w:rsid w:val="7FEA74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nhideWhenUsed="0" w:uiPriority="0"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qFormat="1" w:unhideWhenUsed="0" w:uiPriority="0"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Plain Text"/>
    <w:basedOn w:val="1"/>
    <w:link w:val="11"/>
    <w:qFormat/>
    <w:uiPriority w:val="0"/>
    <w:rPr>
      <w:rFonts w:ascii="宋体" w:hAnsi="Courier New" w:cs="Courier New"/>
      <w:szCs w:val="21"/>
    </w:rPr>
  </w:style>
  <w:style w:type="paragraph" w:styleId="3">
    <w:name w:val="footer"/>
    <w:basedOn w:val="1"/>
    <w:link w:val="9"/>
    <w:qFormat/>
    <w:uiPriority w:val="0"/>
    <w:pPr>
      <w:tabs>
        <w:tab w:val="center" w:pos="4153"/>
        <w:tab w:val="right" w:pos="8306"/>
      </w:tabs>
      <w:snapToGrid w:val="0"/>
      <w:jc w:val="left"/>
    </w:pPr>
    <w:rPr>
      <w:sz w:val="18"/>
      <w:szCs w:val="18"/>
    </w:rPr>
  </w:style>
  <w:style w:type="paragraph" w:styleId="4">
    <w:name w:val="header"/>
    <w:basedOn w:val="1"/>
    <w:link w:val="10"/>
    <w:qFormat/>
    <w:uiPriority w:val="0"/>
    <w:pPr>
      <w:pBdr>
        <w:bottom w:val="single" w:color="auto" w:sz="6" w:space="1"/>
      </w:pBdr>
      <w:tabs>
        <w:tab w:val="center" w:pos="4153"/>
        <w:tab w:val="right" w:pos="8306"/>
      </w:tabs>
      <w:snapToGrid w:val="0"/>
      <w:jc w:val="center"/>
    </w:pPr>
    <w:rPr>
      <w:sz w:val="18"/>
      <w:szCs w:val="18"/>
    </w:rPr>
  </w:style>
  <w:style w:type="table" w:styleId="6">
    <w:name w:val="Table Grid"/>
    <w:basedOn w:val="5"/>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page number"/>
    <w:basedOn w:val="7"/>
    <w:qFormat/>
    <w:uiPriority w:val="0"/>
  </w:style>
  <w:style w:type="character" w:customStyle="1" w:styleId="9">
    <w:name w:val="页脚 Char"/>
    <w:basedOn w:val="7"/>
    <w:link w:val="3"/>
    <w:qFormat/>
    <w:uiPriority w:val="0"/>
    <w:rPr>
      <w:rFonts w:ascii="Times New Roman" w:hAnsi="Times New Roman" w:eastAsia="宋体" w:cs="Times New Roman"/>
      <w:sz w:val="18"/>
      <w:szCs w:val="18"/>
    </w:rPr>
  </w:style>
  <w:style w:type="character" w:customStyle="1" w:styleId="10">
    <w:name w:val="页眉 Char"/>
    <w:basedOn w:val="7"/>
    <w:link w:val="4"/>
    <w:qFormat/>
    <w:uiPriority w:val="0"/>
    <w:rPr>
      <w:rFonts w:ascii="Times New Roman" w:hAnsi="Times New Roman" w:eastAsia="宋体" w:cs="Times New Roman"/>
      <w:sz w:val="18"/>
      <w:szCs w:val="18"/>
    </w:rPr>
  </w:style>
  <w:style w:type="character" w:customStyle="1" w:styleId="11">
    <w:name w:val="纯文本 Char"/>
    <w:basedOn w:val="7"/>
    <w:link w:val="2"/>
    <w:qFormat/>
    <w:uiPriority w:val="0"/>
    <w:rPr>
      <w:rFonts w:ascii="宋体" w:hAnsi="Courier New" w:eastAsia="宋体" w:cs="Courier New"/>
      <w:szCs w:val="21"/>
    </w:rPr>
  </w:style>
  <w:style w:type="paragraph" w:customStyle="1" w:styleId="12">
    <w:name w:val="Ó¢-Ö¸±êÄÚÎÄ"/>
    <w:qFormat/>
    <w:uiPriority w:val="0"/>
    <w:pPr>
      <w:widowControl w:val="0"/>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pacing w:line="290" w:lineRule="atLeast"/>
      <w:ind w:firstLine="425"/>
      <w:jc w:val="both"/>
    </w:pPr>
    <w:rPr>
      <w:rFonts w:ascii="Times New Roman" w:hAnsi="Times New Roman" w:eastAsia="宋体" w:cs="Times New Roman"/>
      <w:color w:val="000000"/>
      <w:kern w:val="0"/>
      <w:sz w:val="18"/>
      <w:szCs w:val="18"/>
      <w:lang w:val="en-US" w:eastAsia="zh-CN" w:bidi="ar-SA"/>
    </w:rPr>
  </w:style>
  <w:style w:type="paragraph" w:customStyle="1" w:styleId="13">
    <w:name w:val="¨®¡é-?¡Â???¨²??"/>
    <w:qFormat/>
    <w:uiPriority w:val="0"/>
    <w:pPr>
      <w:widowControl w:val="0"/>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spacing w:line="290" w:lineRule="atLeast"/>
      <w:ind w:firstLine="397"/>
      <w:jc w:val="both"/>
    </w:pPr>
    <w:rPr>
      <w:rFonts w:ascii="Times New Roman" w:hAnsi="Times New Roman" w:eastAsia="宋体" w:cs="Times New Roman"/>
      <w:color w:val="000000"/>
      <w:kern w:val="0"/>
      <w:sz w:val="18"/>
      <w:szCs w:val="18"/>
      <w:lang w:val="en-US" w:eastAsia="zh-CN" w:bidi="ar-SA"/>
    </w:rPr>
  </w:style>
  <w:style w:type="paragraph" w:customStyle="1" w:styleId="14">
    <w:name w:val="Ó¢Ö¸±êÄÚÎÄ"/>
    <w:qFormat/>
    <w:uiPriority w:val="0"/>
    <w:pPr>
      <w:widowControl w:val="0"/>
      <w:tabs>
        <w:tab w:val="left" w:pos="425"/>
        <w:tab w:val="left" w:pos="850"/>
        <w:tab w:val="left" w:pos="1275"/>
        <w:tab w:val="left" w:pos="1700"/>
        <w:tab w:val="left" w:pos="2125"/>
        <w:tab w:val="left" w:pos="2550"/>
        <w:tab w:val="left" w:pos="2975"/>
        <w:tab w:val="left" w:pos="3400"/>
        <w:tab w:val="left" w:pos="3825"/>
        <w:tab w:val="left" w:pos="4250"/>
        <w:tab w:val="left" w:pos="4675"/>
        <w:tab w:val="left" w:pos="5100"/>
        <w:tab w:val="left" w:pos="5525"/>
        <w:tab w:val="left" w:pos="5950"/>
        <w:tab w:val="left" w:pos="6375"/>
        <w:tab w:val="left" w:pos="6800"/>
        <w:tab w:val="left" w:pos="7225"/>
        <w:tab w:val="left" w:pos="7650"/>
        <w:tab w:val="left" w:pos="8075"/>
        <w:tab w:val="left" w:pos="8500"/>
        <w:tab w:val="left" w:pos="8925"/>
        <w:tab w:val="left" w:pos="9350"/>
        <w:tab w:val="left" w:pos="9775"/>
        <w:tab w:val="left" w:pos="10200"/>
        <w:tab w:val="left" w:pos="10625"/>
        <w:tab w:val="left" w:pos="11050"/>
        <w:tab w:val="left" w:pos="11475"/>
        <w:tab w:val="left" w:pos="11900"/>
        <w:tab w:val="left" w:pos="12325"/>
        <w:tab w:val="left" w:pos="12750"/>
        <w:tab w:val="left" w:pos="13175"/>
        <w:tab w:val="left" w:pos="13600"/>
        <w:tab w:val="left" w:pos="14025"/>
        <w:tab w:val="left" w:pos="14450"/>
        <w:tab w:val="left" w:pos="14875"/>
        <w:tab w:val="left" w:pos="15300"/>
        <w:tab w:val="left" w:pos="15725"/>
        <w:tab w:val="left" w:pos="16150"/>
        <w:tab w:val="left" w:pos="16575"/>
        <w:tab w:val="left" w:pos="17000"/>
      </w:tabs>
      <w:autoSpaceDE w:val="0"/>
      <w:autoSpaceDN w:val="0"/>
      <w:adjustRightInd w:val="0"/>
      <w:ind w:firstLine="425"/>
      <w:jc w:val="both"/>
    </w:pPr>
    <w:rPr>
      <w:rFonts w:ascii="Times New Roman" w:hAnsi="Times New Roman" w:eastAsia="宋体" w:cs="Times New Roman"/>
      <w:color w:val="000000"/>
      <w:kern w:val="0"/>
      <w:sz w:val="18"/>
      <w:szCs w:val="18"/>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 </Company>
  <Pages>8</Pages>
  <Words>4005</Words>
  <Characters>22829</Characters>
  <Lines>190</Lines>
  <Paragraphs>53</Paragraphs>
  <TotalTime>0</TotalTime>
  <ScaleCrop>false</ScaleCrop>
  <LinksUpToDate>false</LinksUpToDate>
  <CharactersWithSpaces>26781</CharactersWithSpaces>
  <Application>WPS Office_11.1.0.10700_F1E327BC-269C-435d-A152-05C5408002CA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2016-08-08T02:06:00Z</dcterms:created>
  <dc:creator>lenovo</dc:creator>
  <cp:lastModifiedBy>周莎</cp:lastModifiedBy>
  <dcterms:modified xsi:type="dcterms:W3CDTF">2021-09-11T02:54:58Z</dcterms:modified>
  <cp:revision>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2052-11.1.0.10700</vt:lpwstr>
  </property>
  <property fmtid="{D5CDD505-2E9C-101B-9397-08002B2CF9AE}" pid="3" name="ICV">
    <vt:lpwstr>54833939CA4F4850A7FC89E2CD9FA318</vt:lpwstr>
  </property>
</Properties>
</file>