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Pr>
        <w:jc w:val="right"/>
      </w:pPr>
      <w:r>
        <w:rPr>
          <w:rFonts w:hint="eastAsia" w:ascii="方正黑体_GBK" w:hAnsi="方正黑体_GBK" w:eastAsia="方正黑体_GBK" w:cs="方正黑体_GBK"/>
          <w:sz w:val="32"/>
          <w:szCs w:val="40"/>
        </w:rPr>
        <w:t>主要统计指标解释</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FCECE" w:themeFill="background2" w:themeFillShade="E5"/>
        <w:tblLayout w:type="autofit"/>
        <w:tblCellMar>
          <w:top w:w="0" w:type="dxa"/>
          <w:left w:w="0" w:type="dxa"/>
          <w:bottom w:w="0" w:type="dxa"/>
          <w:right w:w="0" w:type="dxa"/>
        </w:tblCellMar>
      </w:tblPr>
      <w:tblGrid>
        <w:gridCol w:w="5778"/>
        <w:gridCol w:w="397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FCECE" w:themeFill="background2" w:themeFillShade="E5"/>
          <w:tblCellMar>
            <w:top w:w="0" w:type="dxa"/>
            <w:left w:w="0" w:type="dxa"/>
            <w:bottom w:w="0" w:type="dxa"/>
            <w:right w:w="0" w:type="dxa"/>
          </w:tblCellMar>
        </w:tblPrEx>
        <w:trPr>
          <w:trHeight w:val="170" w:hRule="atLeast"/>
        </w:trPr>
        <w:tc>
          <w:tcPr>
            <w:tcW w:w="5778" w:type="dxa"/>
            <w:shd w:val="clear" w:color="auto" w:fill="CFCECE" w:themeFill="background2" w:themeFillShade="E5"/>
            <w:vAlign w:val="top"/>
          </w:tcPr>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val="0"/>
              <w:spacing w:line="80" w:lineRule="atLeast"/>
              <w:jc w:val="center"/>
              <w:textAlignment w:val="auto"/>
              <w:rPr>
                <w:rFonts w:ascii="汉仪中黑简" w:hAnsi="华文中宋" w:eastAsia="汉仪中黑简" w:cs="汉仪中黑简"/>
                <w:kern w:val="0"/>
                <w:sz w:val="11"/>
                <w:szCs w:val="11"/>
                <w:vertAlign w:val="baseline"/>
              </w:rPr>
            </w:pPr>
          </w:p>
        </w:tc>
        <w:tc>
          <w:tcPr>
            <w:tcW w:w="3974" w:type="dxa"/>
            <w:shd w:val="clear" w:color="auto" w:fill="7F7F7F" w:themeFill="text1" w:themeFillShade="E5" w:themeFillTint="7F"/>
            <w:vAlign w:val="top"/>
          </w:tcPr>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val="0"/>
              <w:spacing w:line="80" w:lineRule="atLeast"/>
              <w:jc w:val="center"/>
              <w:textAlignment w:val="auto"/>
              <w:rPr>
                <w:rFonts w:ascii="汉仪中黑简" w:hAnsi="华文中宋" w:eastAsia="汉仪中黑简" w:cs="汉仪中黑简"/>
                <w:kern w:val="0"/>
                <w:sz w:val="11"/>
                <w:szCs w:val="11"/>
                <w:vertAlign w:val="baseline"/>
              </w:rPr>
            </w:pPr>
          </w:p>
        </w:tc>
      </w:tr>
    </w:tbl>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before="156" w:beforeLines="50" w:after="156" w:afterLines="50"/>
        <w:jc w:val="center"/>
        <w:rPr>
          <w:rFonts w:ascii="汉仪中黑简" w:hAnsi="华文中宋" w:eastAsia="汉仪中黑简" w:cs="汉仪中黑简"/>
          <w:kern w:val="0"/>
          <w:szCs w:val="21"/>
        </w:rPr>
      </w:pP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hint="eastAsia" w:ascii="汉仪中黑简" w:hAnsi="宋体" w:eastAsia="汉仪中黑简" w:cs="汉仪中黑简"/>
          <w:b/>
          <w:kern w:val="0"/>
          <w:sz w:val="18"/>
          <w:szCs w:val="18"/>
        </w:rPr>
        <w:sectPr>
          <w:headerReference r:id="rId3" w:type="default"/>
          <w:footerReference r:id="rId5" w:type="default"/>
          <w:headerReference r:id="rId4" w:type="even"/>
          <w:footerReference r:id="rId6" w:type="even"/>
          <w:pgSz w:w="11906" w:h="16838"/>
          <w:pgMar w:top="1021" w:right="1077" w:bottom="1247" w:left="1077" w:header="510" w:footer="624" w:gutter="0"/>
          <w:pgBorders>
            <w:top w:val="none" w:sz="0" w:space="0"/>
            <w:left w:val="none" w:sz="0" w:space="0"/>
            <w:bottom w:val="none" w:sz="0" w:space="0"/>
            <w:right w:val="none" w:sz="0" w:space="0"/>
          </w:pgBorders>
          <w:pgNumType w:start="15"/>
          <w:cols w:space="425" w:num="1"/>
          <w:docGrid w:type="lines" w:linePitch="312" w:charSpace="0"/>
        </w:sectPr>
      </w:pP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20" w:lineRule="exact"/>
        <w:ind w:firstLine="397"/>
        <w:rPr>
          <w:rFonts w:hint="eastAsia" w:ascii="汉仪书宋一简" w:hAnsi="宋体" w:eastAsia="汉仪书宋一简" w:cs="汉仪中黑简"/>
          <w:b w:val="0"/>
          <w:bCs/>
          <w:kern w:val="0"/>
          <w:sz w:val="18"/>
          <w:szCs w:val="18"/>
        </w:rPr>
      </w:pPr>
      <w:r>
        <w:rPr>
          <w:rFonts w:hint="eastAsia" w:ascii="汉仪书宋一简" w:hAnsi="宋体" w:eastAsia="汉仪书宋一简" w:cs="汉仪中黑简"/>
          <w:b/>
          <w:bCs w:val="0"/>
          <w:kern w:val="0"/>
          <w:sz w:val="18"/>
          <w:szCs w:val="18"/>
        </w:rPr>
        <w:t>建筑业统计单位</w:t>
      </w:r>
      <w:r>
        <w:rPr>
          <w:rFonts w:hint="eastAsia" w:ascii="汉仪书宋一简" w:hAnsi="宋体" w:eastAsia="汉仪书宋一简" w:cs="汉仪中黑简"/>
          <w:b/>
          <w:bCs w:val="0"/>
          <w:kern w:val="0"/>
          <w:sz w:val="18"/>
          <w:szCs w:val="18"/>
          <w:lang w:val="en-US" w:eastAsia="zh-CN"/>
        </w:rPr>
        <w:t xml:space="preserve"> </w:t>
      </w:r>
      <w:r>
        <w:rPr>
          <w:rFonts w:hint="eastAsia" w:ascii="汉仪书宋一简" w:hAnsi="宋体" w:eastAsia="汉仪书宋一简" w:cs="汉仪中黑简"/>
          <w:b w:val="0"/>
          <w:bCs/>
          <w:kern w:val="0"/>
          <w:sz w:val="18"/>
          <w:szCs w:val="18"/>
        </w:rPr>
        <w:t xml:space="preserve"> 指从事房屋、构筑物建造和设备安装活动的法人企业。建筑业法人企业应具有建筑业资质并能够独立核算，同时其应具备以下条件：①依法成立，有自己的名称、组织机构和场所，能够承担民事责任；②独立拥有和使用资产，承担负债，有权与其他单位签订合同；③独立核算盈亏，能够编制资产负债表。</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20" w:lineRule="exact"/>
        <w:ind w:firstLine="397"/>
        <w:rPr>
          <w:rFonts w:hint="eastAsia" w:ascii="汉仪书宋一简" w:hAnsi="宋体" w:eastAsia="汉仪书宋一简" w:cs="汉仪中黑简"/>
          <w:b w:val="0"/>
          <w:bCs/>
          <w:kern w:val="0"/>
          <w:sz w:val="18"/>
          <w:szCs w:val="18"/>
        </w:rPr>
      </w:pPr>
      <w:r>
        <w:rPr>
          <w:rFonts w:hint="eastAsia" w:ascii="汉仪书宋一简" w:hAnsi="宋体" w:eastAsia="汉仪书宋一简" w:cs="汉仪中黑简"/>
          <w:b/>
          <w:bCs w:val="0"/>
          <w:kern w:val="0"/>
          <w:sz w:val="18"/>
          <w:szCs w:val="18"/>
        </w:rPr>
        <w:t>建筑业总产值</w:t>
      </w:r>
      <w:r>
        <w:rPr>
          <w:rFonts w:hint="eastAsia" w:ascii="汉仪书宋一简" w:hAnsi="宋体" w:eastAsia="汉仪书宋一简" w:cs="汉仪中黑简"/>
          <w:b w:val="0"/>
          <w:bCs/>
          <w:kern w:val="0"/>
          <w:sz w:val="18"/>
          <w:szCs w:val="18"/>
        </w:rPr>
        <w:t xml:space="preserve"> </w:t>
      </w:r>
      <w:r>
        <w:rPr>
          <w:rFonts w:hint="eastAsia" w:ascii="汉仪书宋一简" w:hAnsi="宋体" w:eastAsia="汉仪书宋一简" w:cs="汉仪中黑简"/>
          <w:b w:val="0"/>
          <w:bCs/>
          <w:kern w:val="0"/>
          <w:sz w:val="18"/>
          <w:szCs w:val="18"/>
          <w:lang w:val="en-US" w:eastAsia="zh-CN"/>
        </w:rPr>
        <w:t xml:space="preserve"> </w:t>
      </w:r>
      <w:r>
        <w:rPr>
          <w:rFonts w:hint="eastAsia" w:ascii="汉仪书宋一简" w:hAnsi="宋体" w:eastAsia="汉仪书宋一简" w:cs="汉仪中黑简"/>
          <w:b w:val="0"/>
          <w:bCs/>
          <w:kern w:val="0"/>
          <w:sz w:val="18"/>
          <w:szCs w:val="18"/>
        </w:rPr>
        <w:t xml:space="preserve">是以货币形式表现的建筑业企业在一定时期内生产的建筑业产品和提供的服务的总和。建筑业总产值包括： </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20" w:lineRule="exact"/>
        <w:ind w:firstLine="397"/>
        <w:rPr>
          <w:rFonts w:hint="eastAsia" w:ascii="汉仪书宋一简" w:hAnsi="宋体" w:eastAsia="汉仪书宋一简" w:cs="汉仪中黑简"/>
          <w:b w:val="0"/>
          <w:bCs/>
          <w:kern w:val="0"/>
          <w:sz w:val="18"/>
          <w:szCs w:val="18"/>
        </w:rPr>
      </w:pPr>
      <w:r>
        <w:rPr>
          <w:rFonts w:hint="eastAsia" w:ascii="汉仪书宋一简" w:hAnsi="宋体" w:eastAsia="汉仪书宋一简" w:cs="汉仪中黑简"/>
          <w:b w:val="0"/>
          <w:bCs/>
          <w:kern w:val="0"/>
          <w:sz w:val="18"/>
          <w:szCs w:val="18"/>
        </w:rPr>
        <w:t>⑴建筑工程产值：指列入建筑工程预算内的各种工程价值。</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20" w:lineRule="exact"/>
        <w:ind w:firstLine="397"/>
        <w:rPr>
          <w:rFonts w:hint="eastAsia" w:ascii="汉仪书宋一简" w:hAnsi="宋体" w:eastAsia="汉仪书宋一简" w:cs="汉仪中黑简"/>
          <w:b w:val="0"/>
          <w:bCs/>
          <w:kern w:val="0"/>
          <w:sz w:val="18"/>
          <w:szCs w:val="18"/>
        </w:rPr>
      </w:pPr>
      <w:r>
        <w:rPr>
          <w:rFonts w:hint="eastAsia" w:ascii="汉仪书宋一简" w:hAnsi="宋体" w:eastAsia="汉仪书宋一简" w:cs="汉仪中黑简"/>
          <w:b w:val="0"/>
          <w:bCs/>
          <w:kern w:val="0"/>
          <w:sz w:val="18"/>
          <w:szCs w:val="18"/>
        </w:rPr>
        <w:t>⑵安装工程产值：指设备安装工程价值，不包括被安装设备本身的价值。</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20" w:lineRule="exact"/>
        <w:ind w:firstLine="397"/>
        <w:rPr>
          <w:rFonts w:hint="eastAsia" w:ascii="汉仪书宋一简" w:hAnsi="宋体" w:eastAsia="汉仪书宋一简" w:cs="汉仪中黑简"/>
          <w:b w:val="0"/>
          <w:bCs/>
          <w:kern w:val="0"/>
          <w:sz w:val="18"/>
          <w:szCs w:val="18"/>
        </w:rPr>
      </w:pPr>
      <w:r>
        <w:rPr>
          <w:rFonts w:hint="eastAsia" w:ascii="汉仪书宋一简" w:hAnsi="宋体" w:eastAsia="汉仪书宋一简" w:cs="汉仪中黑简"/>
          <w:b w:val="0"/>
          <w:bCs/>
          <w:kern w:val="0"/>
          <w:sz w:val="18"/>
          <w:szCs w:val="18"/>
        </w:rPr>
        <w:t>⑶其他产值：建筑业总产值中除建筑工程、安装工程以外的产值。包括房屋构筑物修理产值、非标准设备制造产值、总包企业向分包企业收取的管理费以及不能明确划分的施工活动所完成的产值。</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20" w:lineRule="exact"/>
        <w:ind w:firstLine="397"/>
        <w:rPr>
          <w:rFonts w:hint="eastAsia" w:ascii="汉仪书宋一简" w:hAnsi="宋体" w:eastAsia="汉仪书宋一简" w:cs="汉仪中黑简"/>
          <w:b w:val="0"/>
          <w:bCs/>
          <w:kern w:val="0"/>
          <w:sz w:val="18"/>
          <w:szCs w:val="18"/>
        </w:rPr>
      </w:pPr>
      <w:r>
        <w:rPr>
          <w:rFonts w:hint="eastAsia" w:ascii="汉仪书宋一简" w:hAnsi="宋体" w:eastAsia="汉仪书宋一简" w:cs="汉仪中黑简"/>
          <w:b w:val="0"/>
          <w:bCs/>
          <w:kern w:val="0"/>
          <w:sz w:val="18"/>
          <w:szCs w:val="18"/>
        </w:rPr>
        <w:t>a.房屋构筑物修理产值：指房屋和构筑物修理所完成的产值，但不包括被修理房屋、构筑物本身价值和生产设备的修理产值。</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20" w:lineRule="exact"/>
        <w:ind w:firstLine="397"/>
        <w:rPr>
          <w:rFonts w:hint="eastAsia" w:ascii="汉仪书宋一简" w:hAnsi="宋体" w:eastAsia="汉仪书宋一简" w:cs="汉仪中黑简"/>
          <w:b w:val="0"/>
          <w:bCs/>
          <w:kern w:val="0"/>
          <w:sz w:val="18"/>
          <w:szCs w:val="18"/>
        </w:rPr>
      </w:pPr>
      <w:r>
        <w:rPr>
          <w:rFonts w:hint="eastAsia" w:ascii="汉仪书宋一简" w:hAnsi="宋体" w:eastAsia="汉仪书宋一简" w:cs="汉仪中黑简"/>
          <w:b w:val="0"/>
          <w:bCs/>
          <w:kern w:val="0"/>
          <w:sz w:val="18"/>
          <w:szCs w:val="18"/>
        </w:rPr>
        <w:t>b.非标准设备制造产值：指加工制造没有定型的非标准生产设备的加工费和原材料价值(如化工厂、炼油厂用的各种罐、槽，矿井生产统一使用的各种漏斗、三角槽、阀门等)以及附属加工厂为本企业承建工程制作的非标准设备的价值。</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20" w:lineRule="exact"/>
        <w:ind w:firstLine="397"/>
        <w:rPr>
          <w:rFonts w:hint="eastAsia" w:ascii="汉仪书宋一简" w:hAnsi="宋体" w:eastAsia="汉仪书宋一简" w:cs="汉仪中黑简"/>
          <w:b w:val="0"/>
          <w:bCs/>
          <w:kern w:val="0"/>
          <w:sz w:val="18"/>
          <w:szCs w:val="18"/>
        </w:rPr>
      </w:pPr>
      <w:r>
        <w:rPr>
          <w:rFonts w:hint="eastAsia" w:ascii="汉仪书宋一简" w:hAnsi="宋体" w:eastAsia="汉仪书宋一简" w:cs="汉仪中黑简"/>
          <w:b/>
          <w:bCs w:val="0"/>
          <w:kern w:val="0"/>
          <w:sz w:val="18"/>
          <w:szCs w:val="18"/>
        </w:rPr>
        <w:t>房屋建筑施工面积</w:t>
      </w:r>
      <w:r>
        <w:rPr>
          <w:rFonts w:hint="eastAsia" w:ascii="汉仪书宋一简" w:hAnsi="宋体" w:eastAsia="汉仪书宋一简" w:cs="汉仪中黑简"/>
          <w:b w:val="0"/>
          <w:bCs/>
          <w:kern w:val="0"/>
          <w:sz w:val="18"/>
          <w:szCs w:val="18"/>
        </w:rPr>
        <w:t xml:space="preserve"> </w:t>
      </w:r>
      <w:r>
        <w:rPr>
          <w:rFonts w:hint="eastAsia" w:ascii="汉仪书宋一简" w:hAnsi="宋体" w:eastAsia="汉仪书宋一简" w:cs="汉仪中黑简"/>
          <w:b w:val="0"/>
          <w:bCs/>
          <w:kern w:val="0"/>
          <w:sz w:val="18"/>
          <w:szCs w:val="18"/>
          <w:lang w:val="en-US" w:eastAsia="zh-CN"/>
        </w:rPr>
        <w:t xml:space="preserve"> </w:t>
      </w:r>
      <w:r>
        <w:rPr>
          <w:rFonts w:hint="eastAsia" w:ascii="汉仪书宋一简" w:hAnsi="宋体" w:eastAsia="汉仪书宋一简" w:cs="汉仪中黑简"/>
          <w:b w:val="0"/>
          <w:bCs/>
          <w:kern w:val="0"/>
          <w:sz w:val="18"/>
          <w:szCs w:val="18"/>
        </w:rPr>
        <w:t>指在报告期内施过工的全部房屋建筑面积，包括本期新开工的房屋面积、上期施工跨入本期继续施工的房屋面积、上期停缓建在本期恢复施工的房屋面积、本期竣工的房屋面积及本期施工后又停缓建的房屋面积。</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hint="eastAsia" w:ascii="汉仪书宋一简" w:hAnsi="宋体" w:eastAsia="汉仪书宋一简" w:cs="汉仪书宋一简"/>
          <w:kern w:val="0"/>
          <w:sz w:val="18"/>
          <w:szCs w:val="18"/>
        </w:rPr>
        <w:sectPr>
          <w:type w:val="continuous"/>
          <w:pgSz w:w="11906" w:h="16838"/>
          <w:pgMar w:top="1021" w:right="1077" w:bottom="1247" w:left="1077" w:header="510" w:footer="624" w:gutter="0"/>
          <w:pgBorders>
            <w:top w:val="none" w:sz="0" w:space="0"/>
            <w:left w:val="none" w:sz="0" w:space="0"/>
            <w:bottom w:val="none" w:sz="0" w:space="0"/>
            <w:right w:val="none" w:sz="0" w:space="0"/>
          </w:pgBorders>
          <w:pgNumType w:start="15"/>
          <w:cols w:equalWidth="0" w:num="2" w:sep="1">
            <w:col w:w="4664" w:space="425"/>
            <w:col w:w="4663"/>
          </w:cols>
          <w:docGrid w:type="lines" w:linePitch="312" w:charSpace="0"/>
        </w:sectPr>
      </w:pPr>
      <w:r>
        <w:rPr>
          <w:rFonts w:hint="eastAsia" w:ascii="汉仪书宋一简" w:hAnsi="宋体" w:eastAsia="汉仪书宋一简" w:cs="汉仪中黑简"/>
          <w:b/>
          <w:bCs w:val="0"/>
          <w:kern w:val="0"/>
          <w:sz w:val="18"/>
          <w:szCs w:val="18"/>
        </w:rPr>
        <w:t>房屋建筑竣工面积</w:t>
      </w:r>
      <w:r>
        <w:rPr>
          <w:rFonts w:hint="eastAsia" w:ascii="汉仪书宋一简" w:hAnsi="宋体" w:eastAsia="汉仪书宋一简" w:cs="汉仪中黑简"/>
          <w:b w:val="0"/>
          <w:bCs/>
          <w:kern w:val="0"/>
          <w:sz w:val="18"/>
          <w:szCs w:val="18"/>
        </w:rPr>
        <w:t xml:space="preserve"> </w:t>
      </w:r>
      <w:r>
        <w:rPr>
          <w:rFonts w:hint="eastAsia" w:ascii="汉仪书宋一简" w:hAnsi="宋体" w:eastAsia="汉仪书宋一简" w:cs="汉仪中黑简"/>
          <w:b w:val="0"/>
          <w:bCs/>
          <w:kern w:val="0"/>
          <w:sz w:val="18"/>
          <w:szCs w:val="18"/>
          <w:lang w:val="en-US" w:eastAsia="zh-CN"/>
        </w:rPr>
        <w:t xml:space="preserve"> </w:t>
      </w:r>
      <w:r>
        <w:rPr>
          <w:rFonts w:hint="eastAsia" w:ascii="汉仪书宋一简" w:hAnsi="宋体" w:eastAsia="汉仪书宋一简" w:cs="汉仪中黑简"/>
          <w:b w:val="0"/>
          <w:bCs/>
          <w:kern w:val="0"/>
          <w:sz w:val="18"/>
          <w:szCs w:val="18"/>
        </w:rPr>
        <w:t>指在报告期内房屋建筑按照设计要求全部完工，达到了使用条件，经验收鉴定合格，正式移交使用单位的房屋建筑面积。</w:t>
      </w:r>
    </w:p>
    <w:p>
      <w:pPr>
        <w:rPr>
          <w:b/>
          <w:sz w:val="28"/>
          <w:szCs w:val="28"/>
        </w:rPr>
      </w:pPr>
      <w:r>
        <w:rPr>
          <w:b/>
          <w:sz w:val="28"/>
          <w:szCs w:val="28"/>
        </w:rPr>
        <w:br w:type="page"/>
      </w:r>
    </w:p>
    <w:p>
      <w:pPr>
        <w:snapToGrid w:val="0"/>
        <w:spacing w:line="360" w:lineRule="auto"/>
        <w:jc w:val="right"/>
        <w:rPr>
          <w:b/>
          <w:sz w:val="28"/>
          <w:szCs w:val="28"/>
        </w:rPr>
      </w:pPr>
    </w:p>
    <w:p>
      <w:pPr>
        <w:snapToGrid w:val="0"/>
        <w:spacing w:line="360" w:lineRule="auto"/>
        <w:jc w:val="right"/>
        <w:rPr>
          <w:b/>
          <w:sz w:val="28"/>
          <w:szCs w:val="28"/>
        </w:rPr>
      </w:pPr>
      <w:r>
        <w:rPr>
          <w:b/>
          <w:sz w:val="28"/>
          <w:szCs w:val="28"/>
        </w:rPr>
        <w:t>Explanatory Notes on Main Statistical Indicators</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FCECE" w:themeFill="background2" w:themeFillShade="E5"/>
        <w:tblLayout w:type="autofit"/>
        <w:tblCellMar>
          <w:top w:w="0" w:type="dxa"/>
          <w:left w:w="0" w:type="dxa"/>
          <w:bottom w:w="0" w:type="dxa"/>
          <w:right w:w="0" w:type="dxa"/>
        </w:tblCellMar>
      </w:tblPr>
      <w:tblGrid>
        <w:gridCol w:w="5778"/>
        <w:gridCol w:w="397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FCECE" w:themeFill="background2" w:themeFillShade="E5"/>
          <w:tblCellMar>
            <w:top w:w="0" w:type="dxa"/>
            <w:left w:w="0" w:type="dxa"/>
            <w:bottom w:w="0" w:type="dxa"/>
            <w:right w:w="0" w:type="dxa"/>
          </w:tblCellMar>
        </w:tblPrEx>
        <w:trPr>
          <w:trHeight w:val="170" w:hRule="atLeast"/>
        </w:trPr>
        <w:tc>
          <w:tcPr>
            <w:tcW w:w="5778" w:type="dxa"/>
            <w:shd w:val="clear" w:color="auto" w:fill="CFCECE" w:themeFill="background2" w:themeFillShade="E5"/>
            <w:vAlign w:val="top"/>
          </w:tcPr>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val="0"/>
              <w:spacing w:line="80" w:lineRule="atLeast"/>
              <w:jc w:val="center"/>
              <w:textAlignment w:val="auto"/>
              <w:rPr>
                <w:rFonts w:ascii="汉仪中黑简" w:hAnsi="华文中宋" w:eastAsia="汉仪中黑简" w:cs="汉仪中黑简"/>
                <w:kern w:val="0"/>
                <w:sz w:val="11"/>
                <w:szCs w:val="11"/>
                <w:vertAlign w:val="baseline"/>
              </w:rPr>
            </w:pPr>
          </w:p>
        </w:tc>
        <w:tc>
          <w:tcPr>
            <w:tcW w:w="3974" w:type="dxa"/>
            <w:shd w:val="clear" w:color="auto" w:fill="7F7F7F" w:themeFill="text1" w:themeFillShade="E5" w:themeFillTint="7F"/>
            <w:vAlign w:val="top"/>
          </w:tcPr>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val="0"/>
              <w:spacing w:line="80" w:lineRule="atLeast"/>
              <w:jc w:val="center"/>
              <w:textAlignment w:val="auto"/>
              <w:rPr>
                <w:rFonts w:ascii="汉仪中黑简" w:hAnsi="华文中宋" w:eastAsia="汉仪中黑简" w:cs="汉仪中黑简"/>
                <w:kern w:val="0"/>
                <w:sz w:val="11"/>
                <w:szCs w:val="11"/>
                <w:vertAlign w:val="baseline"/>
              </w:rPr>
            </w:pPr>
          </w:p>
        </w:tc>
      </w:tr>
    </w:tbl>
    <w:p>
      <w:pPr>
        <w:snapToGrid w:val="0"/>
        <w:spacing w:line="360" w:lineRule="exact"/>
        <w:jc w:val="center"/>
        <w:rPr>
          <w:b/>
          <w:sz w:val="28"/>
          <w:szCs w:val="28"/>
        </w:rPr>
      </w:pPr>
    </w:p>
    <w:p>
      <w:pPr>
        <w:pStyle w:val="12"/>
        <w:snapToGrid w:val="0"/>
        <w:spacing w:line="360" w:lineRule="exact"/>
        <w:rPr>
          <w:b/>
          <w:bCs/>
          <w:color w:val="auto"/>
        </w:rPr>
        <w:sectPr>
          <w:type w:val="continuous"/>
          <w:pgSz w:w="11906" w:h="16838"/>
          <w:pgMar w:top="1021" w:right="1077" w:bottom="1247" w:left="1077" w:header="510" w:footer="624" w:gutter="0"/>
          <w:pgBorders>
            <w:top w:val="none" w:sz="0" w:space="0"/>
            <w:left w:val="none" w:sz="0" w:space="0"/>
            <w:bottom w:val="none" w:sz="0" w:space="0"/>
            <w:right w:val="none" w:sz="0" w:space="0"/>
          </w:pgBorders>
          <w:pgNumType w:start="15"/>
          <w:cols w:space="425" w:num="1"/>
          <w:docGrid w:type="lines" w:linePitch="312" w:charSpace="0"/>
        </w:sectPr>
      </w:pPr>
    </w:p>
    <w:p>
      <w:pPr>
        <w:pStyle w:val="14"/>
        <w:snapToGrid w:val="0"/>
        <w:spacing w:line="280" w:lineRule="exact"/>
        <w:rPr>
          <w:color w:val="auto"/>
        </w:rPr>
      </w:pPr>
      <w:r>
        <w:rPr>
          <w:b/>
          <w:bCs/>
          <w:color w:val="auto"/>
        </w:rPr>
        <w:t>Statistical Unit in Construction</w:t>
      </w:r>
      <w:r>
        <w:rPr>
          <w:color w:val="auto"/>
        </w:rPr>
        <w:t xml:space="preserve"> </w:t>
      </w:r>
      <w:r>
        <w:rPr>
          <w:rFonts w:hint="eastAsia"/>
          <w:color w:val="auto"/>
          <w:lang w:val="en-US" w:eastAsia="zh-CN"/>
        </w:rPr>
        <w:t xml:space="preserve"> </w:t>
      </w:r>
      <w:r>
        <w:rPr>
          <w:color w:val="auto"/>
        </w:rPr>
        <w:t>refers to corporate enterprise engaged in the construction of buildings and structures and in the installation of equipment. A corporate construction enterprise should have qualification certificates with independent accounting system, and should meet the following 3 requirements: a) being set up in line with relevant legal basis, having its full name, organization and location, and capable of taking civil liabilities; b) independently possessing and using its assets and assuming its liabilities, and entitled to sign contracts with other institutions; and c) making independent accounts of its profits and losses, and capable of compiling its own balance sheet.</w:t>
      </w:r>
    </w:p>
    <w:p>
      <w:pPr>
        <w:pStyle w:val="14"/>
        <w:snapToGrid w:val="0"/>
        <w:spacing w:line="280" w:lineRule="exact"/>
        <w:rPr>
          <w:color w:val="auto"/>
        </w:rPr>
      </w:pPr>
      <w:r>
        <w:rPr>
          <w:b/>
          <w:bCs/>
          <w:color w:val="auto"/>
        </w:rPr>
        <w:t>Gross Output Value of Construction</w:t>
      </w:r>
      <w:r>
        <w:rPr>
          <w:color w:val="auto"/>
        </w:rPr>
        <w:t xml:space="preserve"> </w:t>
      </w:r>
      <w:r>
        <w:rPr>
          <w:rFonts w:hint="eastAsia"/>
          <w:color w:val="auto"/>
          <w:lang w:val="en-US" w:eastAsia="zh-CN"/>
        </w:rPr>
        <w:t xml:space="preserve"> </w:t>
      </w:r>
      <w:r>
        <w:rPr>
          <w:color w:val="auto"/>
        </w:rPr>
        <w:t>refers to total of construction products and services, expressed in money terms, produced or rendered by construction and installation enterprises during a given period of time. It includes:</w:t>
      </w:r>
    </w:p>
    <w:p>
      <w:pPr>
        <w:pStyle w:val="14"/>
        <w:snapToGrid w:val="0"/>
        <w:spacing w:line="280" w:lineRule="exact"/>
        <w:rPr>
          <w:color w:val="auto"/>
        </w:rPr>
      </w:pPr>
      <w:r>
        <w:rPr>
          <w:color w:val="auto"/>
        </w:rPr>
        <w:t>(1) Output value of construction projects, that is the value of projects covered by the project budgets;</w:t>
      </w:r>
    </w:p>
    <w:p>
      <w:pPr>
        <w:pStyle w:val="14"/>
        <w:snapToGrid w:val="0"/>
        <w:spacing w:line="280" w:lineRule="exact"/>
        <w:rPr>
          <w:color w:val="auto"/>
        </w:rPr>
      </w:pPr>
      <w:r>
        <w:rPr>
          <w:color w:val="auto"/>
        </w:rPr>
        <w:t>(2) Output value of installation projects, that is the value of the installation of equipment, (excluding the value of the equipment to be installed);</w:t>
      </w:r>
    </w:p>
    <w:p>
      <w:pPr>
        <w:pStyle w:val="14"/>
        <w:snapToGrid w:val="0"/>
        <w:spacing w:line="280" w:lineRule="exact"/>
        <w:rPr>
          <w:color w:val="auto"/>
        </w:rPr>
      </w:pPr>
      <w:r>
        <w:rPr>
          <w:color w:val="auto"/>
        </w:rPr>
        <w:t>(3) Output value of others, that is the output value of construction industry excluding that of construction projects and installation projects. It includes: output value of repair of buildings and structures; output value</w:t>
      </w:r>
      <w:bookmarkStart w:id="0" w:name="_GoBack"/>
      <w:bookmarkEnd w:id="0"/>
      <w:r>
        <w:rPr>
          <w:color w:val="auto"/>
        </w:rPr>
        <w:t xml:space="preserve"> of non-standard equipment manufacturing; overhead expenses received by contracted enterprises to the sub-contracted enterprises and the completed output value of construction activities that have no clear definition.</w:t>
      </w:r>
    </w:p>
    <w:p>
      <w:pPr>
        <w:pStyle w:val="14"/>
        <w:snapToGrid w:val="0"/>
        <w:spacing w:line="280" w:lineRule="exact"/>
        <w:rPr>
          <w:color w:val="auto"/>
        </w:rPr>
      </w:pPr>
      <w:r>
        <w:rPr>
          <w:color w:val="auto"/>
        </w:rPr>
        <w:t>a. Output value of repair of buildings and structures, that is the value created through the repairs of buildings or structures, but does not include the value of buildings or structures being repaired and the value of the repair of production equipment;</w:t>
      </w:r>
    </w:p>
    <w:p>
      <w:pPr>
        <w:pStyle w:val="14"/>
        <w:snapToGrid w:val="0"/>
        <w:spacing w:line="280" w:lineRule="exact"/>
        <w:rPr>
          <w:color w:val="auto"/>
        </w:rPr>
      </w:pPr>
      <w:r>
        <w:rPr>
          <w:color w:val="auto"/>
        </w:rPr>
        <w:t>b. Output value of manufactured non-standard equipment, that is the value of non-standard production equipment including raw materials and manufacturing cost made for the construction project (i.e., chemical plant; kettles or tanks used by refineries; various fillers, triangle tanks, valves used by mines), and the output value of equipment manufactured by subsidiary workshops.</w:t>
      </w:r>
    </w:p>
    <w:p>
      <w:pPr>
        <w:pStyle w:val="14"/>
        <w:snapToGrid w:val="0"/>
        <w:spacing w:line="280" w:lineRule="exact"/>
        <w:rPr>
          <w:color w:val="auto"/>
        </w:rPr>
      </w:pPr>
      <w:r>
        <w:rPr>
          <w:b/>
          <w:bCs/>
          <w:color w:val="auto"/>
        </w:rPr>
        <w:t>Floor Space of Buildings Under Construction</w:t>
      </w:r>
      <w:r>
        <w:rPr>
          <w:rFonts w:hint="eastAsia"/>
          <w:b/>
          <w:bCs/>
          <w:color w:val="auto"/>
          <w:lang w:val="en-US" w:eastAsia="zh-CN"/>
        </w:rPr>
        <w:t xml:space="preserve"> </w:t>
      </w:r>
      <w:r>
        <w:rPr>
          <w:color w:val="auto"/>
        </w:rPr>
        <w:t xml:space="preserve"> refers to floor space of buildings under construction during the reference period, including newly started buildings, buildings started earlier and continued during the reference period, and buildings suspended earlier but restarted during the reference period, buildings completed during the reference period, and buildings under construction and then suspended during the reference period. </w:t>
      </w:r>
    </w:p>
    <w:p>
      <w:pPr>
        <w:pStyle w:val="13"/>
        <w:snapToGrid w:val="0"/>
        <w:spacing w:line="360" w:lineRule="exact"/>
      </w:pPr>
      <w:r>
        <w:rPr>
          <w:b/>
          <w:bCs/>
          <w:color w:val="auto"/>
        </w:rPr>
        <w:t>Floor Space of Buildings Completed</w:t>
      </w:r>
      <w:r>
        <w:rPr>
          <w:color w:val="auto"/>
        </w:rPr>
        <w:t xml:space="preserve"> </w:t>
      </w:r>
      <w:r>
        <w:rPr>
          <w:rFonts w:hint="eastAsia"/>
          <w:color w:val="auto"/>
          <w:lang w:val="en-US" w:eastAsia="zh-CN"/>
        </w:rPr>
        <w:t xml:space="preserve"> </w:t>
      </w:r>
      <w:r>
        <w:rPr>
          <w:color w:val="auto"/>
        </w:rPr>
        <w:t>refers to the floor space of buildings that are completed in the reference period in accordance with the requirements of the design, up to the standard for putting them into use, and have been checked and accepted by concerned departments as qualified ones.</w:t>
      </w:r>
    </w:p>
    <w:p>
      <w:pPr>
        <w:sectPr>
          <w:type w:val="continuous"/>
          <w:pgSz w:w="11906" w:h="16838"/>
          <w:pgMar w:top="1021" w:right="1077" w:bottom="1247" w:left="1077" w:header="510" w:footer="624" w:gutter="0"/>
          <w:pgBorders>
            <w:top w:val="none" w:sz="0" w:space="0"/>
            <w:left w:val="none" w:sz="0" w:space="0"/>
            <w:bottom w:val="none" w:sz="0" w:space="0"/>
            <w:right w:val="none" w:sz="0" w:space="0"/>
          </w:pgBorders>
          <w:pgNumType w:start="15"/>
          <w:cols w:equalWidth="0" w:num="2" w:sep="1">
            <w:col w:w="4664" w:space="425"/>
            <w:col w:w="4663"/>
          </w:cols>
          <w:docGrid w:type="lines" w:linePitch="312" w:charSpace="0"/>
        </w:sectPr>
      </w:pPr>
    </w:p>
    <w:p/>
    <w:sectPr>
      <w:type w:val="continuous"/>
      <w:pgSz w:w="11906" w:h="16838"/>
      <w:pgMar w:top="1021" w:right="1077" w:bottom="1247" w:left="1077" w:header="510" w:footer="624" w:gutter="0"/>
      <w:pgBorders>
        <w:top w:val="none" w:sz="0" w:space="0"/>
        <w:left w:val="none" w:sz="0" w:space="0"/>
        <w:bottom w:val="none" w:sz="0" w:space="0"/>
        <w:right w:val="none" w:sz="0" w:space="0"/>
      </w:pgBorders>
      <w:pgNumType w:start="15"/>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0030101010101"/>
    <w:charset w:val="86"/>
    <w:family w:val="auto"/>
    <w:pitch w:val="default"/>
    <w:sig w:usb0="00000001" w:usb1="080E0000" w:usb2="00000000" w:usb3="00000000" w:csb0="00040000"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A00002EF" w:usb1="4000207B" w:usb2="00000000" w:usb3="00000000" w:csb0="2000009F" w:csb1="00000000"/>
  </w:font>
  <w:font w:name="方正黑体_GBK">
    <w:panose1 w:val="02000000000000000000"/>
    <w:charset w:val="86"/>
    <w:family w:val="auto"/>
    <w:pitch w:val="default"/>
    <w:sig w:usb0="00000001" w:usb1="08000000" w:usb2="00000000" w:usb3="00000000" w:csb0="00040000" w:csb1="00000000"/>
  </w:font>
  <w:font w:name="汉仪中黑简">
    <w:panose1 w:val="02010609000101010101"/>
    <w:charset w:val="86"/>
    <w:family w:val="modern"/>
    <w:pitch w:val="default"/>
    <w:sig w:usb0="00000001" w:usb1="080E0800" w:usb2="00000002" w:usb3="00000000" w:csb0="00040000" w:csb1="00000000"/>
  </w:font>
  <w:font w:name="华文中宋">
    <w:panose1 w:val="02010600040101010101"/>
    <w:charset w:val="86"/>
    <w:family w:val="auto"/>
    <w:pitch w:val="default"/>
    <w:sig w:usb0="00000287" w:usb1="080F0000" w:usb2="00000000" w:usb3="00000000" w:csb0="0004009F" w:csb1="DFD70000"/>
  </w:font>
  <w:font w:name="汉仪书宋一简">
    <w:panose1 w:val="02010609000101010101"/>
    <w:charset w:val="86"/>
    <w:family w:val="modern"/>
    <w:pitch w:val="default"/>
    <w:sig w:usb0="00000001" w:usb1="080E0800" w:usb2="00000002" w:usb3="00000000" w:csb0="00040000" w:csb1="00000000"/>
  </w:font>
  <w:font w:name="汉仪报宋简">
    <w:panose1 w:val="02010609000101010101"/>
    <w:charset w:val="86"/>
    <w:family w:val="modern"/>
    <w:pitch w:val="default"/>
    <w:sig w:usb0="00000001" w:usb1="080E0800" w:usb2="00000002"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414" w:wrap="around" w:vAnchor="text" w:hAnchor="page" w:x="9849" w:y="210"/>
      <w:jc w:val="center"/>
      <w:rPr>
        <w:rStyle w:val="8"/>
      </w:rPr>
    </w:pPr>
    <w:r>
      <w:rPr>
        <w:rStyle w:val="8"/>
      </w:rPr>
      <w:fldChar w:fldCharType="begin"/>
    </w:r>
    <w:r>
      <w:rPr>
        <w:rStyle w:val="8"/>
      </w:rPr>
      <w:instrText xml:space="preserve">PAGE  </w:instrText>
    </w:r>
    <w:r>
      <w:rPr>
        <w:rStyle w:val="8"/>
      </w:rPr>
      <w:fldChar w:fldCharType="separate"/>
    </w:r>
    <w:r>
      <w:rPr>
        <w:rStyle w:val="8"/>
      </w:rPr>
      <w:t>22</w:t>
    </w:r>
    <w:r>
      <w:rPr>
        <w:rStyle w:val="8"/>
      </w:rPr>
      <w:fldChar w:fldCharType="end"/>
    </w:r>
  </w:p>
  <w:p>
    <w:pPr>
      <w:pStyle w:val="3"/>
      <w:tabs>
        <w:tab w:val="clear" w:pos="4153"/>
        <w:tab w:val="clear" w:pos="8306"/>
      </w:tabs>
      <w:ind w:right="23"/>
      <w:jc w:val="right"/>
    </w:pPr>
    <w:r>
      <w:rPr>
        <w:rFonts w:hint="eastAsia"/>
      </w:rPr>
      <w:drawing>
        <wp:inline distT="0" distB="0" distL="0" distR="0">
          <wp:extent cx="790575" cy="390525"/>
          <wp:effectExtent l="0" t="0" r="9525" b="9525"/>
          <wp:docPr id="1" name="图片 1" descr="右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右页"/>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390525"/>
                  </a:xfrm>
                  <a:prstGeom prst="rect">
                    <a:avLst/>
                  </a:prstGeom>
                  <a:noFill/>
                  <a:ln>
                    <a:noFill/>
                  </a:ln>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458" w:wrap="around" w:vAnchor="text" w:hAnchor="page" w:x="1621" w:y="195"/>
      <w:jc w:val="center"/>
      <w:rPr>
        <w:rStyle w:val="8"/>
      </w:rPr>
    </w:pPr>
    <w:r>
      <w:rPr>
        <w:rStyle w:val="8"/>
      </w:rPr>
      <w:fldChar w:fldCharType="begin"/>
    </w:r>
    <w:r>
      <w:rPr>
        <w:rStyle w:val="8"/>
      </w:rPr>
      <w:instrText xml:space="preserve">PAGE  </w:instrText>
    </w:r>
    <w:r>
      <w:rPr>
        <w:rStyle w:val="8"/>
      </w:rPr>
      <w:fldChar w:fldCharType="separate"/>
    </w:r>
    <w:r>
      <w:rPr>
        <w:rStyle w:val="8"/>
      </w:rPr>
      <w:t>52</w:t>
    </w:r>
    <w:r>
      <w:rPr>
        <w:rStyle w:val="8"/>
      </w:rPr>
      <w:fldChar w:fldCharType="end"/>
    </w:r>
  </w:p>
  <w:p>
    <w:pPr>
      <w:pStyle w:val="3"/>
      <w:tabs>
        <w:tab w:val="clear" w:pos="4153"/>
        <w:tab w:val="clear" w:pos="8306"/>
      </w:tabs>
      <w:ind w:right="88"/>
    </w:pPr>
    <w:r>
      <w:drawing>
        <wp:inline distT="0" distB="0" distL="0" distR="0">
          <wp:extent cx="790575" cy="390525"/>
          <wp:effectExtent l="0" t="0" r="9525" b="9525"/>
          <wp:docPr id="2" name="图片 2" descr="左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左页"/>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390525"/>
                  </a:xfrm>
                  <a:prstGeom prst="rect">
                    <a:avLst/>
                  </a:prstGeom>
                  <a:noFill/>
                  <a:ln>
                    <a:noFill/>
                  </a:ln>
                </pic:spPr>
              </pic:pic>
            </a:graphicData>
          </a:graphic>
        </wp:inline>
      </w:drawing>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rPr>
        <w:szCs w:val="18"/>
      </w:rPr>
    </w:pPr>
    <w:r>
      <w:rPr>
        <w:rFonts w:hint="eastAsia"/>
      </w:rPr>
      <mc:AlternateContent>
        <mc:Choice Requires="wps">
          <w:drawing>
            <wp:anchor distT="0" distB="0" distL="114300" distR="114300" simplePos="0" relativeHeight="251659264" behindDoc="0" locked="0" layoutInCell="1" allowOverlap="1">
              <wp:simplePos x="0" y="0"/>
              <wp:positionH relativeFrom="column">
                <wp:posOffset>4862830</wp:posOffset>
              </wp:positionH>
              <wp:positionV relativeFrom="paragraph">
                <wp:posOffset>83185</wp:posOffset>
              </wp:positionV>
              <wp:extent cx="905510" cy="165735"/>
              <wp:effectExtent l="0" t="0" r="3810" b="2540"/>
              <wp:wrapNone/>
              <wp:docPr id="5" name="文本框 5"/>
              <wp:cNvGraphicFramePr/>
              <a:graphic xmlns:a="http://schemas.openxmlformats.org/drawingml/2006/main">
                <a:graphicData uri="http://schemas.microsoft.com/office/word/2010/wordprocessingShape">
                  <wps:wsp>
                    <wps:cNvSpPr txBox="1">
                      <a:spLocks noChangeArrowheads="1"/>
                    </wps:cNvSpPr>
                    <wps:spPr bwMode="auto">
                      <a:xfrm>
                        <a:off x="0" y="0"/>
                        <a:ext cx="905510" cy="165735"/>
                      </a:xfrm>
                      <a:prstGeom prst="rect">
                        <a:avLst/>
                      </a:prstGeom>
                      <a:noFill/>
                      <a:ln>
                        <a:noFill/>
                      </a:ln>
                    </wps:spPr>
                    <wps:txbx>
                      <w:txbxContent>
                        <w:p>
                          <w:pPr>
                            <w:jc w:val="right"/>
                            <w:rPr>
                              <w:rFonts w:hint="eastAsia" w:ascii="汉仪书宋一简" w:eastAsia="汉仪书宋一简"/>
                              <w:sz w:val="15"/>
                              <w:szCs w:val="15"/>
                            </w:rPr>
                          </w:pPr>
                          <w:r>
                            <w:rPr>
                              <w:rFonts w:hint="eastAsia" w:ascii="汉仪书宋一简" w:eastAsia="汉仪书宋一简"/>
                              <w:sz w:val="15"/>
                              <w:szCs w:val="15"/>
                            </w:rPr>
                            <w:t>建筑业</w:t>
                          </w:r>
                        </w:p>
                      </w:txbxContent>
                    </wps:txbx>
                    <wps:bodyPr rot="0" vert="horz" wrap="square" lIns="0" tIns="0" rIns="0" bIns="0" anchor="t" anchorCtr="0" upright="1">
                      <a:spAutoFit/>
                    </wps:bodyPr>
                  </wps:wsp>
                </a:graphicData>
              </a:graphic>
            </wp:anchor>
          </w:drawing>
        </mc:Choice>
        <mc:Fallback>
          <w:pict>
            <v:shape id="_x0000_s1026" o:spid="_x0000_s1026" o:spt="202" type="#_x0000_t202" style="position:absolute;left:0pt;margin-left:382.9pt;margin-top:6.55pt;height:13.05pt;width:71.3pt;z-index:251659264;mso-width-relative:page;mso-height-relative:page;" filled="f" stroked="f" coordsize="21600,21600" o:gfxdata="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vQrgW1gAAAAkBAAAPAAAAAAAAAAEAIAAAACIA&#10;AABkcnMvZG93bnJldi54bWxQSwECFAAUAAAACACHTuJAEmEMewsCAAAEBAAADgAAAAAAAAABACAA&#10;AAAlAQAAZHJzL2Uyb0RvYy54bWxQSwUGAAAAAAYABgBZAQAAogUAAAAA&#10;">
              <v:fill on="f" focussize="0,0"/>
              <v:stroke on="f"/>
              <v:imagedata o:title=""/>
              <o:lock v:ext="edit" aspectratio="f"/>
              <v:textbox inset="0mm,0mm,0mm,0mm" style="mso-fit-shape-to-text:t;">
                <w:txbxContent>
                  <w:p>
                    <w:pPr>
                      <w:jc w:val="right"/>
                      <w:rPr>
                        <w:rFonts w:hint="eastAsia" w:ascii="汉仪书宋一简" w:eastAsia="汉仪书宋一简"/>
                        <w:sz w:val="15"/>
                        <w:szCs w:val="15"/>
                      </w:rPr>
                    </w:pPr>
                    <w:r>
                      <w:rPr>
                        <w:rFonts w:hint="eastAsia" w:ascii="汉仪书宋一简" w:eastAsia="汉仪书宋一简"/>
                        <w:sz w:val="15"/>
                        <w:szCs w:val="15"/>
                      </w:rPr>
                      <w:t>建筑业</w:t>
                    </w:r>
                  </w:p>
                </w:txbxContent>
              </v:textbox>
            </v:shape>
          </w:pict>
        </mc:Fallback>
      </mc:AlternateContent>
    </w:r>
    <w:r>
      <w:rPr>
        <w:rFonts w:hint="eastAsia"/>
      </w:rPr>
      <w:drawing>
        <wp:inline distT="0" distB="0" distL="0" distR="0">
          <wp:extent cx="266700" cy="247650"/>
          <wp:effectExtent l="0" t="0" r="0" b="0"/>
          <wp:docPr id="3" name="图片 3" descr="Untitled-1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Untitled-1 cop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66700" cy="247650"/>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mc:AlternateContent>
        <mc:Choice Requires="wps">
          <w:drawing>
            <wp:anchor distT="0" distB="0" distL="114300" distR="114300" simplePos="0" relativeHeight="251660288" behindDoc="0" locked="0" layoutInCell="1" allowOverlap="1">
              <wp:simplePos x="0" y="0"/>
              <wp:positionH relativeFrom="column">
                <wp:posOffset>450215</wp:posOffset>
              </wp:positionH>
              <wp:positionV relativeFrom="paragraph">
                <wp:posOffset>80645</wp:posOffset>
              </wp:positionV>
              <wp:extent cx="2592705" cy="109220"/>
              <wp:effectExtent l="2540" t="4445" r="0" b="635"/>
              <wp:wrapNone/>
              <wp:docPr id="6" name="文本框 6"/>
              <wp:cNvGraphicFramePr/>
              <a:graphic xmlns:a="http://schemas.openxmlformats.org/drawingml/2006/main">
                <a:graphicData uri="http://schemas.microsoft.com/office/word/2010/wordprocessingShape">
                  <wps:wsp>
                    <wps:cNvSpPr txBox="1">
                      <a:spLocks noChangeArrowheads="1"/>
                    </wps:cNvSpPr>
                    <wps:spPr bwMode="auto">
                      <a:xfrm>
                        <a:off x="0" y="0"/>
                        <a:ext cx="2592705" cy="109220"/>
                      </a:xfrm>
                      <a:prstGeom prst="rect">
                        <a:avLst/>
                      </a:prstGeom>
                      <a:noFill/>
                      <a:ln>
                        <a:noFill/>
                      </a:ln>
                    </wps:spPr>
                    <wps:txbx>
                      <w:txbxContent>
                        <w:p>
                          <w:pPr>
                            <w:rPr>
                              <w:rFonts w:eastAsia="汉仪报宋简"/>
                              <w:sz w:val="15"/>
                              <w:szCs w:val="15"/>
                            </w:rPr>
                          </w:pPr>
                          <w:r>
                            <w:rPr>
                              <w:rFonts w:hint="eastAsia" w:eastAsia="汉仪报宋简"/>
                              <w:sz w:val="15"/>
                              <w:szCs w:val="15"/>
                            </w:rPr>
                            <w:t>General Survey</w:t>
                          </w:r>
                        </w:p>
                      </w:txbxContent>
                    </wps:txbx>
                    <wps:bodyPr rot="0" vert="horz" wrap="square" lIns="0" tIns="0" rIns="0" bIns="0" anchor="t" anchorCtr="0" upright="1">
                      <a:spAutoFit/>
                    </wps:bodyPr>
                  </wps:wsp>
                </a:graphicData>
              </a:graphic>
            </wp:anchor>
          </w:drawing>
        </mc:Choice>
        <mc:Fallback>
          <w:pict>
            <v:shape id="_x0000_s1026" o:spid="_x0000_s1026" o:spt="202" type="#_x0000_t202" style="position:absolute;left:0pt;margin-left:35.45pt;margin-top:6.35pt;height:8.6pt;width:204.15pt;z-index:251660288;mso-width-relative:page;mso-height-relative:page;" filled="f" stroked="f" coordsize="21600,21600" o:gfxdata="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qgDGAdUAAAAIAQAADwAAAAAAAAABACAAAAAi&#10;AAAAZHJzL2Rvd25yZXYueG1sUEsBAhQAFAAAAAgAh07iQKt5o3QNAgAABQQAAA4AAAAAAAAAAQAg&#10;AAAAJAEAAGRycy9lMm9Eb2MueG1sUEsFBgAAAAAGAAYAWQEAAKMFAAAAAA==&#10;">
              <v:fill on="f" focussize="0,0"/>
              <v:stroke on="f"/>
              <v:imagedata o:title=""/>
              <o:lock v:ext="edit" aspectratio="f"/>
              <v:textbox inset="0mm,0mm,0mm,0mm" style="mso-fit-shape-to-text:t;">
                <w:txbxContent>
                  <w:p>
                    <w:pPr>
                      <w:rPr>
                        <w:rFonts w:eastAsia="汉仪报宋简"/>
                        <w:sz w:val="15"/>
                        <w:szCs w:val="15"/>
                      </w:rPr>
                    </w:pPr>
                    <w:r>
                      <w:rPr>
                        <w:rFonts w:hint="eastAsia" w:eastAsia="汉仪报宋简"/>
                        <w:sz w:val="15"/>
                        <w:szCs w:val="15"/>
                      </w:rPr>
                      <w:t>General Survey</w:t>
                    </w:r>
                  </w:p>
                </w:txbxContent>
              </v:textbox>
            </v:shape>
          </w:pict>
        </mc:Fallback>
      </mc:AlternateContent>
    </w:r>
    <w:r>
      <w:rPr>
        <w:rFonts w:hint="eastAsia"/>
      </w:rPr>
      <w:drawing>
        <wp:inline distT="0" distB="0" distL="0" distR="0">
          <wp:extent cx="266700" cy="247650"/>
          <wp:effectExtent l="0" t="0" r="0" b="0"/>
          <wp:docPr id="4" name="图片 4" descr="Untitled-1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Untitled-1 cop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66700" cy="24765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2858"/>
    <w:rsid w:val="004973FF"/>
    <w:rsid w:val="00551479"/>
    <w:rsid w:val="006B75AD"/>
    <w:rsid w:val="00BA4E86"/>
    <w:rsid w:val="00BF5019"/>
    <w:rsid w:val="00CF2858"/>
    <w:rsid w:val="00F00E53"/>
    <w:rsid w:val="137E2745"/>
    <w:rsid w:val="2BD263D9"/>
    <w:rsid w:val="4DDA3E71"/>
    <w:rsid w:val="712960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11"/>
    <w:qFormat/>
    <w:uiPriority w:val="0"/>
    <w:rPr>
      <w:rFonts w:ascii="宋体" w:hAnsi="Courier New" w:cs="Courier New"/>
      <w:szCs w:val="21"/>
    </w:rPr>
  </w:style>
  <w:style w:type="paragraph" w:styleId="3">
    <w:name w:val="footer"/>
    <w:basedOn w:val="1"/>
    <w:link w:val="9"/>
    <w:qFormat/>
    <w:uiPriority w:val="0"/>
    <w:pPr>
      <w:tabs>
        <w:tab w:val="center" w:pos="4153"/>
        <w:tab w:val="right" w:pos="8306"/>
      </w:tabs>
      <w:snapToGrid w:val="0"/>
      <w:jc w:val="left"/>
    </w:pPr>
    <w:rPr>
      <w:sz w:val="18"/>
      <w:szCs w:val="18"/>
    </w:rPr>
  </w:style>
  <w:style w:type="paragraph" w:styleId="4">
    <w:name w:val="header"/>
    <w:basedOn w:val="1"/>
    <w:link w:val="10"/>
    <w:qFormat/>
    <w:uiPriority w:val="0"/>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page number"/>
    <w:basedOn w:val="7"/>
    <w:qFormat/>
    <w:uiPriority w:val="0"/>
  </w:style>
  <w:style w:type="character" w:customStyle="1" w:styleId="9">
    <w:name w:val="页脚 Char"/>
    <w:basedOn w:val="7"/>
    <w:link w:val="3"/>
    <w:qFormat/>
    <w:uiPriority w:val="0"/>
    <w:rPr>
      <w:rFonts w:ascii="Times New Roman" w:hAnsi="Times New Roman" w:eastAsia="宋体" w:cs="Times New Roman"/>
      <w:sz w:val="18"/>
      <w:szCs w:val="18"/>
    </w:rPr>
  </w:style>
  <w:style w:type="character" w:customStyle="1" w:styleId="10">
    <w:name w:val="页眉 Char"/>
    <w:basedOn w:val="7"/>
    <w:link w:val="4"/>
    <w:qFormat/>
    <w:uiPriority w:val="0"/>
    <w:rPr>
      <w:rFonts w:ascii="Times New Roman" w:hAnsi="Times New Roman" w:eastAsia="宋体" w:cs="Times New Roman"/>
      <w:sz w:val="18"/>
      <w:szCs w:val="18"/>
    </w:rPr>
  </w:style>
  <w:style w:type="character" w:customStyle="1" w:styleId="11">
    <w:name w:val="纯文本 Char"/>
    <w:basedOn w:val="7"/>
    <w:link w:val="2"/>
    <w:qFormat/>
    <w:uiPriority w:val="0"/>
    <w:rPr>
      <w:rFonts w:ascii="宋体" w:hAnsi="Courier New" w:eastAsia="宋体" w:cs="Courier New"/>
      <w:szCs w:val="21"/>
    </w:rPr>
  </w:style>
  <w:style w:type="paragraph" w:customStyle="1" w:styleId="12">
    <w:name w:val="Ó¢-Ö¸±êÄÚÎÄ"/>
    <w:qFormat/>
    <w:uiPriority w:val="0"/>
    <w:pPr>
      <w:widowControl w:val="0"/>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pacing w:line="290" w:lineRule="atLeast"/>
      <w:ind w:firstLine="425"/>
      <w:jc w:val="both"/>
    </w:pPr>
    <w:rPr>
      <w:rFonts w:ascii="Times New Roman" w:hAnsi="Times New Roman" w:eastAsia="宋体" w:cs="Times New Roman"/>
      <w:color w:val="000000"/>
      <w:kern w:val="0"/>
      <w:sz w:val="18"/>
      <w:szCs w:val="18"/>
      <w:lang w:val="en-US" w:eastAsia="zh-CN" w:bidi="ar-SA"/>
    </w:rPr>
  </w:style>
  <w:style w:type="paragraph" w:customStyle="1" w:styleId="13">
    <w:name w:val="¨®¡é-?¡Â???¨²??"/>
    <w:qFormat/>
    <w:uiPriority w:val="0"/>
    <w:pPr>
      <w:widowControl w:val="0"/>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pacing w:line="290" w:lineRule="atLeast"/>
      <w:ind w:firstLine="397"/>
      <w:jc w:val="both"/>
    </w:pPr>
    <w:rPr>
      <w:rFonts w:ascii="Times New Roman" w:hAnsi="Times New Roman" w:eastAsia="宋体" w:cs="Times New Roman"/>
      <w:color w:val="000000"/>
      <w:kern w:val="0"/>
      <w:sz w:val="18"/>
      <w:szCs w:val="18"/>
      <w:lang w:val="en-US" w:eastAsia="zh-CN" w:bidi="ar-SA"/>
    </w:rPr>
  </w:style>
  <w:style w:type="paragraph" w:customStyle="1" w:styleId="14">
    <w:name w:val="英指标内文"/>
    <w:qFormat/>
    <w:uiPriority w:val="0"/>
    <w:pPr>
      <w:widowControl w:val="0"/>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ind w:firstLine="425"/>
      <w:jc w:val="both"/>
    </w:pPr>
    <w:rPr>
      <w:rFonts w:ascii="Times New Roman" w:hAnsi="Times New Roman" w:eastAsia="宋体" w:cs="Times New Roman"/>
      <w:color w:val="000000"/>
      <w:kern w:val="0"/>
      <w:sz w:val="18"/>
      <w:szCs w:val="18"/>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 </Company>
  <Pages>8</Pages>
  <Words>4005</Words>
  <Characters>22829</Characters>
  <Lines>190</Lines>
  <Paragraphs>53</Paragraphs>
  <TotalTime>0</TotalTime>
  <ScaleCrop>false</ScaleCrop>
  <LinksUpToDate>false</LinksUpToDate>
  <CharactersWithSpaces>26781</CharactersWithSpaces>
  <Application>WPS Office_11.1.0.10700_F1E327BC-269C-435d-A152-05C5408002CA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2016-08-08T02:06:00Z</dcterms:created>
  <dc:creator>lenovo</dc:creator>
  <cp:lastModifiedBy>周莎</cp:lastModifiedBy>
  <dcterms:modified xsi:type="dcterms:W3CDTF">2021-09-06T10:52:41Z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A5A3790FCE4D4B1BBBB2560BAF51BA25</vt:lpwstr>
  </property>
</Properties>
</file>