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营业收入</w:t>
      </w:r>
      <w:r>
        <w:rPr>
          <w:rFonts w:hint="default" w:ascii="Times New Roman" w:hAnsi="Times New Roman" w:eastAsia="汉仪书宋一简" w:cs="Times New Roman"/>
          <w:sz w:val="18"/>
          <w:szCs w:val="18"/>
        </w:rPr>
        <w:t xml:space="preserve">  指企业从事销售商品、提供劳务和让渡资产使用权等生产经营活动形成的经济利益流入。营业收入包括“主营业务收入”和“其他业务收入”。</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营业成本</w:t>
      </w:r>
      <w:r>
        <w:rPr>
          <w:rFonts w:hint="default" w:ascii="Times New Roman" w:hAnsi="Times New Roman" w:eastAsia="汉仪书宋一简" w:cs="Times New Roman"/>
          <w:sz w:val="18"/>
          <w:szCs w:val="18"/>
        </w:rPr>
        <w:t xml:space="preserve">  指企业从事销售商品、提供劳务和让渡资产使用权等生产经营活动发生的实际成本。包括“主营业务成本”和“其他业务成本”。</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利润总额</w:t>
      </w:r>
      <w:r>
        <w:rPr>
          <w:rFonts w:hint="default" w:ascii="Times New Roman" w:hAnsi="Times New Roman" w:eastAsia="汉仪书宋一简" w:cs="Times New Roman"/>
          <w:sz w:val="18"/>
          <w:szCs w:val="18"/>
        </w:rPr>
        <w:t xml:space="preserve">  指企业在一定会计期间的经营成果，是生产经营过程中各种收入扣除各种耗费后的盈余，反映企业在报告期内实现的盈亏总额。</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 xml:space="preserve">税金合计  </w:t>
      </w:r>
      <w:r>
        <w:rPr>
          <w:rFonts w:hint="default" w:ascii="Times New Roman" w:hAnsi="Times New Roman" w:eastAsia="汉仪书宋一简" w:cs="Times New Roman"/>
          <w:sz w:val="18"/>
          <w:szCs w:val="18"/>
        </w:rPr>
        <w:t>指企业发生的除企业所得税和允许抵扣的增值税以外的各项税金及其附加。税金合计=税金及附加+应交增值税。</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税金及附加</w:t>
      </w:r>
      <w:r>
        <w:rPr>
          <w:rFonts w:hint="default" w:ascii="Times New Roman" w:hAnsi="Times New Roman" w:eastAsia="汉仪书宋一简" w:cs="Times New Roman"/>
          <w:sz w:val="18"/>
          <w:szCs w:val="18"/>
        </w:rPr>
        <w:t xml:space="preserve">  指企业因从事生产经营活动按税法规定应缴纳的消费税、城市维护建设税、资源税、环境保护税、教育费附加、房产税、城镇土地使用税、车船税、印花税等相关税费。</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应交增值税</w:t>
      </w:r>
      <w:r>
        <w:rPr>
          <w:rFonts w:hint="default" w:ascii="Times New Roman" w:hAnsi="Times New Roman" w:eastAsia="汉仪书宋一简" w:cs="Times New Roman"/>
          <w:sz w:val="18"/>
          <w:szCs w:val="18"/>
        </w:rPr>
        <w:t xml:space="preserve">  指按照税法规定，以销售货物、服务、无形资产、不动产或提供加工、修理修配劳务的增值额和货物进口金额为计税依据而课征的一种流转税。按权责发生制核算本期应负担的增值税。</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资产总计</w:t>
      </w:r>
      <w:r>
        <w:rPr>
          <w:rFonts w:hint="default" w:ascii="Times New Roman" w:hAnsi="Times New Roman" w:eastAsia="汉仪书宋一简" w:cs="Times New Roman"/>
          <w:sz w:val="18"/>
          <w:szCs w:val="18"/>
        </w:rPr>
        <w:t xml:space="preserve">  指企业过去的交易或者事项形成的、由企业拥有或者控制的、预期会给企业带来经济利益的资源。包括企业拥有的土地、办公楼、厂房、机器、运输工具、存货等实物资产和现金、存款、应收账款和预付账款等金融资产。资产一般按流动性（资产的变现或耗用时间长短）分为流动资产和非流动资产。其中流动资产可分为货币资金、交易性金融资产、应收票据、应收账款、预付款项、其他应收款、存货等；非流动资产可分为长期股权投资、固定资产、无形资产及其他非流动资产等。</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default" w:ascii="Times New Roman" w:hAnsi="Times New Roman" w:eastAsia="汉仪书宋一简" w:cs="Times New Roman"/>
          <w:sz w:val="18"/>
          <w:szCs w:val="18"/>
        </w:rPr>
      </w:pPr>
      <w:r>
        <w:rPr>
          <w:rFonts w:hint="default" w:ascii="Times New Roman" w:hAnsi="Times New Roman" w:eastAsia="汉仪书宋一简" w:cs="Times New Roman"/>
          <w:b/>
          <w:bCs/>
          <w:sz w:val="18"/>
          <w:szCs w:val="18"/>
        </w:rPr>
        <w:t>平均用工人数</w:t>
      </w:r>
      <w:r>
        <w:rPr>
          <w:rFonts w:hint="default" w:ascii="Times New Roman" w:hAnsi="Times New Roman" w:eastAsia="汉仪书宋一简" w:cs="Times New Roman"/>
          <w:sz w:val="18"/>
          <w:szCs w:val="18"/>
        </w:rPr>
        <w:t xml:space="preserve">  指报告期企业平均实际拥有的</w:t>
      </w:r>
      <w:r>
        <w:rPr>
          <w:rFonts w:hint="eastAsia" w:eastAsia="汉仪书宋一简" w:cs="Times New Roman"/>
          <w:sz w:val="18"/>
          <w:szCs w:val="18"/>
          <w:lang w:val="en-US" w:eastAsia="zh-CN"/>
        </w:rPr>
        <w:t>，</w:t>
      </w:r>
      <w:bookmarkStart w:id="0" w:name="_GoBack"/>
      <w:bookmarkEnd w:id="0"/>
      <w:r>
        <w:rPr>
          <w:rFonts w:hint="default" w:ascii="Times New Roman" w:hAnsi="Times New Roman" w:eastAsia="汉仪书宋一简" w:cs="Times New Roman"/>
          <w:sz w:val="18"/>
          <w:szCs w:val="18"/>
        </w:rPr>
        <w:t>参与本企业生产经营活动的人员数。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default" w:ascii="Times New Roman" w:hAnsi="Times New Roman" w:eastAsia="汉仪书宋一简" w:cs="Times New Roman"/>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Times New Roman" w:hAnsi="Times New Roman" w:eastAsia="汉仪书宋一简" w:cs="Times New Roman"/>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Business Revenue</w:t>
      </w:r>
      <w:r>
        <w:rPr>
          <w:rFonts w:hint="default" w:ascii="Times New Roman" w:hAnsi="Times New Roman" w:eastAsia="汉仪书宋一简" w:cs="Times New Roman"/>
          <w:sz w:val="18"/>
          <w:szCs w:val="18"/>
        </w:rPr>
        <w:t xml:space="preserve"> refers to the inflow of economic benefits generated by an enterprise from production and operation activities such as selling goods, providing labor services and transferring the right to use assets. Operating Income includes “main business income” and “other business income”.</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Business Cost</w:t>
      </w:r>
      <w:r>
        <w:rPr>
          <w:rFonts w:hint="default" w:ascii="Times New Roman" w:hAnsi="Times New Roman" w:eastAsia="汉仪书宋一简" w:cs="Times New Roman"/>
          <w:sz w:val="18"/>
          <w:szCs w:val="18"/>
        </w:rPr>
        <w:t xml:space="preserve"> refers to the actual cost incurred by an enterprise in production and operation activities such as selling goods, providing services and transferring the right to use assets. Operating Cost includes “main business cost” and “other business cost”.</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Total Profit</w:t>
      </w:r>
      <w:r>
        <w:rPr>
          <w:rFonts w:hint="default" w:ascii="Times New Roman" w:hAnsi="Times New Roman" w:eastAsia="汉仪书宋一简" w:cs="Times New Roman"/>
          <w:sz w:val="18"/>
          <w:szCs w:val="18"/>
        </w:rPr>
        <w:t xml:space="preserve"> refers to the operating result of an enterprise in a certain accounting period. It is the surplus after various costs are deducted from various incomes from production and operation, and reflects the total profit and loss realized by an enterprise during the reporting period.</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Total Taxes</w:t>
      </w:r>
      <w:r>
        <w:rPr>
          <w:rFonts w:hint="default" w:ascii="Times New Roman" w:hAnsi="Times New Roman" w:eastAsia="汉仪书宋一简" w:cs="Times New Roman"/>
          <w:sz w:val="18"/>
          <w:szCs w:val="18"/>
        </w:rPr>
        <w:t xml:space="preserve"> refer to all taxes and surcharges incurred by an enterprise in addition to the corporate income tax and the VAT that is allowed to be deducted. Total taxes = Taxes and surcharges + VAT payable.</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Taxes and Surcharges</w:t>
      </w:r>
      <w:r>
        <w:rPr>
          <w:rFonts w:hint="default" w:ascii="Times New Roman" w:hAnsi="Times New Roman" w:eastAsia="汉仪书宋一简" w:cs="Times New Roman"/>
          <w:sz w:val="18"/>
          <w:szCs w:val="18"/>
        </w:rPr>
        <w:t xml:space="preserve"> refer to the relevant taxes and dues that an enterprise shall pay according to the provisions of the tax law for its production and business activities, such as goods and services tax, urban maintenance and construction tax, resource tax, environmental protection tax, education surcharge, housing property tax, urban land use tax, vehicle and vessel tax, stamp tax and so on.</w:t>
      </w:r>
    </w:p>
    <w:p>
      <w:pPr>
        <w:keepNext w:val="0"/>
        <w:keepLines w:val="0"/>
        <w:pageBreakBefore w:val="0"/>
        <w:widowControl w:val="0"/>
        <w:kinsoku/>
        <w:wordWrap/>
        <w:overflowPunct/>
        <w:topLinePunct/>
        <w:autoSpaceDE/>
        <w:autoSpaceDN/>
        <w:bidi w:val="0"/>
        <w:adjustRightInd/>
        <w:snapToGrid/>
        <w:spacing w:line="320" w:lineRule="exact"/>
        <w:ind w:firstLine="360" w:firstLineChars="200"/>
        <w:textAlignment w:val="auto"/>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VAT Payable</w:t>
      </w:r>
      <w:r>
        <w:rPr>
          <w:rFonts w:hint="default" w:ascii="Times New Roman" w:hAnsi="Times New Roman" w:eastAsia="汉仪书宋一简" w:cs="Times New Roman"/>
          <w:sz w:val="18"/>
          <w:szCs w:val="18"/>
        </w:rPr>
        <w:t xml:space="preserve"> refers to a kind of turnover tax levied based on the added value of selling goods, services, intangible assets, immovable properties, or providing services of processing, repairing and replacement, and the import amount of goods in accordance with the tax law. The VAT to be borne in the current period is calculated on the accrual basis.</w:t>
      </w:r>
    </w:p>
    <w:p>
      <w:pPr>
        <w:pStyle w:val="13"/>
        <w:snapToGrid w:val="0"/>
        <w:spacing w:line="360" w:lineRule="exact"/>
        <w:rPr>
          <w:rFonts w:hint="default" w:ascii="Times New Roman" w:hAnsi="Times New Roman" w:eastAsia="汉仪书宋一简" w:cs="Times New Roman"/>
          <w:sz w:val="18"/>
          <w:szCs w:val="18"/>
        </w:rPr>
      </w:pPr>
      <w:r>
        <w:rPr>
          <w:rFonts w:hint="default" w:ascii="Times New Roman" w:hAnsi="Times New Roman" w:eastAsia="汉仪书宋一简" w:cs="Times New Roman"/>
          <w:b/>
          <w:sz w:val="18"/>
          <w:szCs w:val="18"/>
        </w:rPr>
        <w:t xml:space="preserve">Total Assets </w:t>
      </w:r>
      <w:r>
        <w:rPr>
          <w:rFonts w:hint="default" w:ascii="Times New Roman" w:hAnsi="Times New Roman" w:eastAsia="汉仪书宋一简" w:cs="Times New Roman"/>
          <w:sz w:val="18"/>
          <w:szCs w:val="18"/>
        </w:rPr>
        <w:t>refer to the resources owned or controlled by an enterprise and expected to bring economic benefits to the enterprise, formed by past transactions or events of the enterprise, including the land, office buildings, factory buildings, machinery, transportation tools, inventory and other physical assets and financial assets such as cash, deposits, accounts receivable and prepayments owned by an enterprise. The assets are generally divided into current assets and non-current assets according to the liquidity (the length of time it takes to realize or consume the assets). Among them, current assets can be divided into monetary funds, transactional financial assets, notes receivable, accounts receivable, prepayments, other receivables, inventories, etc.; non-current assets can be divided into long-term equity investments, fixed assets, intangible assets and other non-current assets, etc.</w:t>
      </w:r>
    </w:p>
    <w:p>
      <w:pPr>
        <w:pStyle w:val="13"/>
        <w:snapToGrid w:val="0"/>
        <w:spacing w:line="360" w:lineRule="exact"/>
        <w:rPr>
          <w:rFonts w:hint="default" w:ascii="Times New Roman" w:hAnsi="Times New Roman" w:eastAsia="汉仪书宋一简" w:cs="Times New Roman"/>
          <w:sz w:val="18"/>
          <w:szCs w:val="18"/>
        </w:rPr>
      </w:pPr>
      <w:r>
        <w:rPr>
          <w:rFonts w:hint="default" w:ascii="Times New Roman" w:hAnsi="Times New Roman" w:eastAsia="汉仪书宋一简" w:cs="Times New Roman"/>
          <w:b/>
          <w:bCs/>
          <w:sz w:val="18"/>
          <w:szCs w:val="18"/>
        </w:rPr>
        <w:t>Annual Average Employees</w:t>
      </w:r>
      <w:r>
        <w:rPr>
          <w:rFonts w:hint="default" w:ascii="Times New Roman" w:hAnsi="Times New Roman" w:eastAsia="汉仪书宋一简" w:cs="Times New Roman"/>
          <w:sz w:val="18"/>
          <w:szCs w:val="18"/>
        </w:rPr>
        <w:t xml:space="preserve"> refer to the number of persons engaged in the production and operation activities of enterprises in the reporting period, which are actually employed by the enterprises.</w:t>
      </w:r>
    </w:p>
    <w:p>
      <w:pPr>
        <w:pStyle w:val="13"/>
        <w:snapToGrid w:val="0"/>
        <w:spacing w:line="360" w:lineRule="exact"/>
        <w:rPr>
          <w:rFonts w:hint="default" w:ascii="Times New Roman" w:hAnsi="Times New Roman" w:eastAsia="汉仪书宋一简" w:cs="Times New Roman"/>
          <w:sz w:val="18"/>
          <w:szCs w:val="18"/>
        </w:rPr>
      </w:pP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服务业</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服务业</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0CF862C4"/>
    <w:rsid w:val="137E2745"/>
    <w:rsid w:val="2BD263D9"/>
    <w:rsid w:val="4C916748"/>
    <w:rsid w:val="4DDA3E71"/>
    <w:rsid w:val="733E2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qFormat/>
    <w:uiPriority w:val="0"/>
    <w:rPr>
      <w:rFonts w:ascii="Times New Roman" w:hAnsi="Times New Roman" w:eastAsia="宋体" w:cs="Times New Roman"/>
      <w:sz w:val="18"/>
      <w:szCs w:val="18"/>
    </w:rPr>
  </w:style>
  <w:style w:type="character" w:customStyle="1" w:styleId="10">
    <w:name w:val="页眉 Char"/>
    <w:basedOn w:val="7"/>
    <w:link w:val="4"/>
    <w:qFormat/>
    <w:uiPriority w:val="0"/>
    <w:rPr>
      <w:rFonts w:ascii="Times New Roman" w:hAnsi="Times New Roman" w:eastAsia="宋体" w:cs="Times New Roman"/>
      <w:sz w:val="18"/>
      <w:szCs w:val="18"/>
    </w:rPr>
  </w:style>
  <w:style w:type="character" w:customStyle="1" w:styleId="11">
    <w:name w:val="纯文本 Char"/>
    <w:basedOn w:val="7"/>
    <w:link w:val="2"/>
    <w:qFormat/>
    <w:uiPriority w:val="0"/>
    <w:rPr>
      <w:rFonts w:ascii="宋体" w:hAnsi="Courier New" w:eastAsia="宋体" w:cs="Courier New"/>
      <w:szCs w:val="21"/>
    </w:rPr>
  </w:style>
  <w:style w:type="paragraph" w:customStyle="1" w:styleId="12">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 w:type="paragraph" w:customStyle="1" w:styleId="14">
    <w:name w:val="英指标内文"/>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2</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周莎</cp:lastModifiedBy>
  <dcterms:modified xsi:type="dcterms:W3CDTF">2021-09-15T06:45:57Z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8C3AC34561524BBE86405E3BF2DDC1AE</vt:lpwstr>
  </property>
</Properties>
</file>