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pPr>
      <w:r>
        <w:rPr>
          <w:rFonts w:hint="eastAsia" w:ascii="方正黑体_GBK" w:hAnsi="方正黑体_GBK" w:eastAsia="方正黑体_GBK" w:cs="方正黑体_GBK"/>
          <w:sz w:val="32"/>
          <w:szCs w:val="40"/>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中黑简" w:hAnsi="宋体" w:eastAsia="汉仪中黑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spacing w:line="330" w:lineRule="exact"/>
        <w:ind w:firstLine="360" w:firstLineChars="200"/>
        <w:rPr>
          <w:rFonts w:ascii="汉仪书宋一简" w:eastAsia="汉仪书宋一简"/>
          <w:b/>
          <w:bCs/>
          <w:sz w:val="18"/>
          <w:szCs w:val="18"/>
        </w:rPr>
      </w:pPr>
      <w:r>
        <w:rPr>
          <w:rFonts w:hint="eastAsia" w:ascii="汉仪书宋一简" w:eastAsia="汉仪书宋一简" w:cs="汉仪书宋一简"/>
          <w:b/>
          <w:bCs/>
          <w:sz w:val="18"/>
          <w:szCs w:val="18"/>
        </w:rPr>
        <w:t>基本养老保险</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1.</w:t>
      </w:r>
      <w:r>
        <w:rPr>
          <w:rFonts w:hint="eastAsia" w:ascii="汉仪书宋一简" w:eastAsia="汉仪书宋一简" w:cs="汉仪书宋一简"/>
          <w:sz w:val="18"/>
          <w:szCs w:val="18"/>
        </w:rPr>
        <w:t>（参保）职工人数：指报告期末按照国家法律、法规和有关政策规定参加基本养老保险并在社保经办机构已建立缴费记录档案的职工人数，包括中断缴费但未终止养老保险关系的职工人数，不包括只登记未建立缴费记录档案的人数。</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2</w:t>
      </w:r>
      <w:r>
        <w:rPr>
          <w:rFonts w:hint="eastAsia" w:ascii="汉仪书宋一简" w:eastAsia="汉仪书宋一简" w:cs="汉仪书宋一简"/>
          <w:sz w:val="18"/>
          <w:szCs w:val="18"/>
        </w:rPr>
        <w:t>．（参保）离退休人员人数：指报告期末参加基本养老保险的离休、退休和退职人员的人数。</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3.</w:t>
      </w:r>
      <w:r>
        <w:rPr>
          <w:rFonts w:hint="eastAsia" w:ascii="汉仪书宋一简" w:eastAsia="汉仪书宋一简" w:cs="汉仪书宋一简"/>
          <w:sz w:val="18"/>
          <w:szCs w:val="18"/>
        </w:rPr>
        <w:t>基本养老保险基金收入：指根据国家有关规定，由纳入基本养老保险范围的缴费单位和个人按国家规定的缴费基数和缴费比例缴纳的养老保险基金，以及通过其他方式取得的形成基金来源的收入。包括单位和职工个人缴纳的基本养老保险费、基本养老保险基金利息收入、上级补助收入、下级上解收入、转移收入、财政补贴和其他收入。</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4.</w:t>
      </w:r>
      <w:r>
        <w:rPr>
          <w:rFonts w:hint="eastAsia" w:ascii="汉仪书宋一简" w:eastAsia="汉仪书宋一简" w:cs="汉仪书宋一简"/>
          <w:sz w:val="18"/>
          <w:szCs w:val="18"/>
        </w:rPr>
        <w:t>基本养老保险基金支出：指按照国家政策规定的开支范围和开支标准从养老保险基金中支付给参加基本养老保险的离休、通休、退职人员个人的养老金、丧葬抚恤补助，以及由于保险关系转移、上下级之间调剂资金等原因而发生的支出。包括离休金、退休金、退职金、各种补贴、医疗费、死亡丧葬补助费、抚恤救济费、社会保险经办机构管理费、补助下级支出、上解上级支出、转移支出、其他支出等。</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5.</w:t>
      </w:r>
      <w:r>
        <w:rPr>
          <w:rFonts w:hint="eastAsia" w:ascii="汉仪书宋一简" w:eastAsia="汉仪书宋一简" w:cs="汉仪书宋一简"/>
          <w:sz w:val="18"/>
          <w:szCs w:val="18"/>
        </w:rPr>
        <w:t>基本养老保险基金累计结余：指截止报告期末基本养老保险基金收支相抵后的累计余额。</w:t>
      </w:r>
    </w:p>
    <w:p>
      <w:pPr>
        <w:spacing w:line="330" w:lineRule="exact"/>
        <w:ind w:firstLine="360" w:firstLineChars="200"/>
        <w:rPr>
          <w:rFonts w:ascii="汉仪书宋一简" w:eastAsia="汉仪书宋一简"/>
          <w:sz w:val="18"/>
          <w:szCs w:val="18"/>
        </w:rPr>
      </w:pPr>
      <w:r>
        <w:rPr>
          <w:rFonts w:hint="eastAsia" w:ascii="汉仪书宋一简" w:eastAsia="汉仪书宋一简" w:cs="汉仪书宋一简"/>
          <w:sz w:val="18"/>
          <w:szCs w:val="18"/>
        </w:rPr>
        <w:t>离休、退休、退职人员</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指正式办理了离休、退休、退职手续，并享受相应的离休、退休、退职待遇的人员。</w:t>
      </w:r>
    </w:p>
    <w:p>
      <w:pPr>
        <w:spacing w:line="330" w:lineRule="exact"/>
        <w:ind w:firstLine="360" w:firstLineChars="200"/>
        <w:rPr>
          <w:rFonts w:ascii="汉仪书宋一简" w:eastAsia="汉仪书宋一简"/>
          <w:b/>
          <w:bCs/>
          <w:sz w:val="18"/>
          <w:szCs w:val="18"/>
        </w:rPr>
      </w:pPr>
      <w:r>
        <w:rPr>
          <w:rFonts w:hint="eastAsia" w:ascii="汉仪书宋一简" w:eastAsia="汉仪书宋一简" w:cs="汉仪书宋一简"/>
          <w:b/>
          <w:bCs/>
          <w:sz w:val="18"/>
          <w:szCs w:val="18"/>
        </w:rPr>
        <w:t>基本医疗保险</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1.</w:t>
      </w:r>
      <w:r>
        <w:rPr>
          <w:rFonts w:hint="eastAsia" w:ascii="汉仪书宋一简" w:eastAsia="汉仪书宋一简" w:cs="汉仪书宋一简"/>
          <w:sz w:val="18"/>
          <w:szCs w:val="18"/>
        </w:rPr>
        <w:t>参保人数：指报告期末按国家有关规定参加基本医疗保险的人数。包括参加保险的职工人数和退休人员人数。</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2.</w:t>
      </w:r>
      <w:r>
        <w:rPr>
          <w:rFonts w:hint="eastAsia" w:ascii="汉仪书宋一简" w:eastAsia="汉仪书宋一简" w:cs="汉仪书宋一简"/>
          <w:sz w:val="18"/>
          <w:szCs w:val="18"/>
        </w:rPr>
        <w:t>基金收入：指根据国家有关规定，由纳入基本医疗保险范围的缴费单位和个人，按国家规定的缴费基数和缴费比例缴纳的基金，以及通过其他方式取得的形成基金来源的款项，包括：单位缴纳的社会统筹基金收入、个人缴纳的个人账户基金收入、财政补贴收入、利息收入、其他收入。</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3.</w:t>
      </w:r>
      <w:r>
        <w:rPr>
          <w:rFonts w:hint="eastAsia" w:ascii="汉仪书宋一简" w:eastAsia="汉仪书宋一简" w:cs="汉仪书宋一简"/>
          <w:sz w:val="18"/>
          <w:szCs w:val="18"/>
        </w:rPr>
        <w:t>基金支出：指按照国家政策规定的开支范围和开支标准从社会统筹基金中支付给参加基本医疗保险的职工和退休人员的医疗保险待遇支出，和从个人帐户基金中支付给参加基本医疗保险的职工和退休人员的医疗费用支出，以及其他支出。包括：住院医疗费用支出、门急诊医疗费用支出、个人账户基金支出、其他支出。</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4.</w:t>
      </w:r>
      <w:r>
        <w:rPr>
          <w:rFonts w:hint="eastAsia" w:ascii="汉仪书宋一简" w:eastAsia="汉仪书宋一简" w:cs="汉仪书宋一简"/>
          <w:sz w:val="18"/>
          <w:szCs w:val="18"/>
        </w:rPr>
        <w:t>基金累计结余：指截止报告期末基本医疗保险的社会统筹和个人帐户基金累计结余金额。包括银行存款、财政专户、债券投资和其他。</w:t>
      </w:r>
    </w:p>
    <w:p>
      <w:pPr>
        <w:spacing w:line="330" w:lineRule="exact"/>
        <w:ind w:firstLine="360" w:firstLineChars="200"/>
        <w:rPr>
          <w:rFonts w:ascii="汉仪书宋一简" w:eastAsia="汉仪书宋一简"/>
          <w:b/>
          <w:bCs/>
          <w:sz w:val="18"/>
          <w:szCs w:val="18"/>
        </w:rPr>
      </w:pPr>
      <w:r>
        <w:rPr>
          <w:rFonts w:hint="eastAsia" w:ascii="汉仪书宋一简" w:eastAsia="汉仪书宋一简" w:cs="汉仪书宋一简"/>
          <w:b/>
          <w:bCs/>
          <w:sz w:val="18"/>
          <w:szCs w:val="18"/>
        </w:rPr>
        <w:t>失业保险</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1.</w:t>
      </w:r>
      <w:r>
        <w:rPr>
          <w:rFonts w:hint="eastAsia" w:ascii="汉仪书宋一简" w:eastAsia="汉仪书宋一简" w:cs="汉仪书宋一简"/>
          <w:sz w:val="18"/>
          <w:szCs w:val="18"/>
        </w:rPr>
        <w:t>参保人数：指报告期末按照国家法律、法规和有关政策规定参加了失业保险的城镇企业事业单位的职工及地方政府规定参加失业保险的其他人员的人数。</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2.</w:t>
      </w:r>
      <w:r>
        <w:rPr>
          <w:rFonts w:hint="eastAsia" w:ascii="汉仪书宋一简" w:eastAsia="汉仪书宋一简" w:cs="汉仪书宋一简"/>
          <w:sz w:val="18"/>
          <w:szCs w:val="18"/>
        </w:rPr>
        <w:t>失业保险基金收入：指按照规定从企业、事业及其他单位筹集的失业保险费及其他并入失业保险基金收入的总额。包括单位和个人缴纳的失业保险费、失业保险基金利息收入、上级补助收入、下级上解收入、转移收入、财政补贴和其他收入。</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3.</w:t>
      </w:r>
      <w:r>
        <w:rPr>
          <w:rFonts w:hint="eastAsia" w:ascii="汉仪书宋一简" w:eastAsia="汉仪书宋一简" w:cs="汉仪书宋一简"/>
          <w:sz w:val="18"/>
          <w:szCs w:val="18"/>
        </w:rPr>
        <w:t>失业保险基金支出：指报告期内为保障失业人员和下岗职工基本生活、促进其再就业等支出的基金总额。包括失业救济金、医疗费、死亡丧葬补助费、抚恤救济费、转业训练费支出、失业保险经办机构管理费、补助下级支出、上解上级支出、转移支出和其他支出。</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4.</w:t>
      </w:r>
      <w:r>
        <w:rPr>
          <w:rFonts w:hint="eastAsia" w:ascii="汉仪书宋一简" w:eastAsia="汉仪书宋一简" w:cs="汉仪书宋一简"/>
          <w:sz w:val="18"/>
          <w:szCs w:val="18"/>
        </w:rPr>
        <w:t>基金累计结余：指截止报告期末失业保险基金收支相抵后的累计余额。</w:t>
      </w:r>
    </w:p>
    <w:p>
      <w:pPr>
        <w:spacing w:line="330" w:lineRule="exact"/>
        <w:ind w:firstLine="360" w:firstLineChars="200"/>
        <w:rPr>
          <w:rFonts w:ascii="汉仪书宋一简" w:eastAsia="汉仪书宋一简"/>
          <w:b/>
          <w:bCs/>
          <w:sz w:val="18"/>
          <w:szCs w:val="18"/>
        </w:rPr>
      </w:pPr>
      <w:r>
        <w:rPr>
          <w:rFonts w:hint="eastAsia" w:ascii="汉仪书宋一简" w:eastAsia="汉仪书宋一简" w:cs="汉仪书宋一简"/>
          <w:b/>
          <w:bCs/>
          <w:sz w:val="18"/>
          <w:szCs w:val="18"/>
        </w:rPr>
        <w:t>工伤保险</w:t>
      </w:r>
    </w:p>
    <w:p>
      <w:pPr>
        <w:spacing w:line="330" w:lineRule="exact"/>
        <w:ind w:firstLine="360" w:firstLineChars="200"/>
        <w:rPr>
          <w:rFonts w:ascii="汉仪书宋一简" w:eastAsia="汉仪书宋一简" w:cs="汉仪书宋一简"/>
          <w:sz w:val="18"/>
          <w:szCs w:val="18"/>
        </w:rPr>
      </w:pPr>
      <w:r>
        <w:rPr>
          <w:rFonts w:ascii="汉仪书宋一简" w:eastAsia="汉仪书宋一简" w:cs="汉仪书宋一简"/>
          <w:sz w:val="18"/>
          <w:szCs w:val="18"/>
        </w:rPr>
        <w:t>1.</w:t>
      </w:r>
      <w:r>
        <w:rPr>
          <w:rFonts w:hint="eastAsia" w:ascii="汉仪书宋一简" w:eastAsia="汉仪书宋一简" w:cs="汉仪书宋一简"/>
          <w:sz w:val="18"/>
          <w:szCs w:val="18"/>
        </w:rPr>
        <w:t>参加保险人数</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指报告期末依据国家有关规定参加工伤保险的职工人数。</w:t>
      </w:r>
      <w:r>
        <w:rPr>
          <w:rFonts w:ascii="汉仪书宋一简" w:eastAsia="汉仪书宋一简" w:cs="汉仪书宋一简"/>
          <w:sz w:val="18"/>
          <w:szCs w:val="18"/>
        </w:rPr>
        <w:t xml:space="preserve"> </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2.</w:t>
      </w:r>
      <w:r>
        <w:rPr>
          <w:rFonts w:hint="eastAsia" w:ascii="汉仪书宋一简" w:eastAsia="汉仪书宋一简" w:cs="汉仪书宋一简"/>
          <w:sz w:val="18"/>
          <w:szCs w:val="18"/>
        </w:rPr>
        <w:t>享受保险待遇人数</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指劳动者因工负伤致残、死亡或因患职业病致残，根据有关规定享受工伤保险待遇职工或供养直系亲属人数。包括伤残人数、职业病人数、因工死亡人数、供养直系亲属人数。</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3.</w:t>
      </w:r>
      <w:r>
        <w:rPr>
          <w:rFonts w:hint="eastAsia" w:ascii="汉仪书宋一简" w:eastAsia="汉仪书宋一简" w:cs="汉仪书宋一简"/>
          <w:sz w:val="18"/>
          <w:szCs w:val="18"/>
        </w:rPr>
        <w:t>基金收入</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根据国家有关规定，由参加工伤保险的单位按国家规定的缴费基数和缴费比例缴纳的工伤保险基金，以及通过其他形式取得的形成基金来源的款项。包括：单位缴纳的社会统筹基金收入、财政补贴收入、利息收入、其他收入。</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4.</w:t>
      </w:r>
      <w:r>
        <w:rPr>
          <w:rFonts w:hint="eastAsia" w:ascii="汉仪书宋一简" w:eastAsia="汉仪书宋一简" w:cs="汉仪书宋一简"/>
          <w:sz w:val="18"/>
          <w:szCs w:val="18"/>
        </w:rPr>
        <w:t>基金支出</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按照国家政策规定的开支范围和开支标准从工伤保险基金中支付给参加工伤保险的人员及供养直系亲属工伤保险待遇支出及其他支出。包括工伤医疗费、伤残补助金、工亡补助金、护理费、丧葬补助费、工伤预防费用、职业康复费用和其他支出。</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5.</w:t>
      </w:r>
      <w:r>
        <w:rPr>
          <w:rFonts w:hint="eastAsia" w:ascii="汉仪书宋一简" w:eastAsia="汉仪书宋一简" w:cs="汉仪书宋一简"/>
          <w:sz w:val="18"/>
          <w:szCs w:val="18"/>
        </w:rPr>
        <w:t>基金累计结余</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指截止报告期末工伤保险基金累计结余金额。包括银行存款、财政专户、债券投资和其他。</w:t>
      </w:r>
    </w:p>
    <w:p>
      <w:pPr>
        <w:spacing w:line="330" w:lineRule="exact"/>
        <w:ind w:firstLine="360" w:firstLineChars="200"/>
        <w:rPr>
          <w:rFonts w:ascii="汉仪书宋一简" w:eastAsia="汉仪书宋一简"/>
          <w:b/>
          <w:bCs/>
          <w:sz w:val="18"/>
          <w:szCs w:val="18"/>
        </w:rPr>
      </w:pPr>
      <w:r>
        <w:rPr>
          <w:rFonts w:hint="eastAsia" w:ascii="汉仪书宋一简" w:eastAsia="汉仪书宋一简" w:cs="汉仪书宋一简"/>
          <w:b/>
          <w:bCs/>
          <w:sz w:val="18"/>
          <w:szCs w:val="18"/>
        </w:rPr>
        <w:t>生育保险</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1.</w:t>
      </w:r>
      <w:r>
        <w:rPr>
          <w:rFonts w:hint="eastAsia" w:ascii="汉仪书宋一简" w:eastAsia="汉仪书宋一简" w:cs="汉仪书宋一简"/>
          <w:sz w:val="18"/>
          <w:szCs w:val="18"/>
        </w:rPr>
        <w:t>参保人数</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指报告期末依据有关规定参加生育保险的职工人数。</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2.</w:t>
      </w:r>
      <w:r>
        <w:rPr>
          <w:rFonts w:hint="eastAsia" w:ascii="汉仪书宋一简" w:eastAsia="汉仪书宋一简" w:cs="汉仪书宋一简"/>
          <w:sz w:val="18"/>
          <w:szCs w:val="18"/>
        </w:rPr>
        <w:t>基金收入</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指根据国家有关规定，由参加生育保险的单位按照国家规定的缴费基数和缴费比例缴纳的生育保险基金，以及通过其他方式取得的形成基金来源的款项，包括：单位缴纳的基金收入、利息收入和其他收入。</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3.</w:t>
      </w:r>
      <w:r>
        <w:rPr>
          <w:rFonts w:hint="eastAsia" w:ascii="汉仪书宋一简" w:eastAsia="汉仪书宋一简" w:cs="汉仪书宋一简"/>
          <w:sz w:val="18"/>
          <w:szCs w:val="18"/>
        </w:rPr>
        <w:t>基金支出</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指按照国家政策规定的开支范围和开支标准，从生育保险基金中支付给参加生育保险的职工，因妊娠、分娩和计划生育手术而享受的待遇及其他支出。包括：生育津贴、医疗费用支出及其他支出。</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4.</w:t>
      </w:r>
      <w:r>
        <w:rPr>
          <w:rFonts w:hint="eastAsia" w:ascii="汉仪书宋一简" w:eastAsia="汉仪书宋一简" w:cs="汉仪书宋一简"/>
          <w:sz w:val="18"/>
          <w:szCs w:val="18"/>
        </w:rPr>
        <w:t>基金累计结余</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指截止报告期末生育保险基金累计结余金额。包括银行存款、财政专户、债券投资和其他。</w:t>
      </w:r>
    </w:p>
    <w:p>
      <w:pPr>
        <w:spacing w:line="330" w:lineRule="exact"/>
        <w:ind w:firstLine="360" w:firstLineChars="200"/>
        <w:rPr>
          <w:rFonts w:ascii="汉仪书宋一简" w:eastAsia="汉仪书宋一简"/>
          <w:sz w:val="18"/>
          <w:szCs w:val="18"/>
        </w:rPr>
      </w:pPr>
      <w:r>
        <w:rPr>
          <w:rFonts w:hint="eastAsia" w:ascii="汉仪书宋一简" w:eastAsia="汉仪书宋一简" w:cs="汉仪书宋一简"/>
          <w:sz w:val="18"/>
          <w:szCs w:val="18"/>
        </w:rPr>
        <w:t>离休、退休、退职人员保险福利费用</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指离休、退休、退职人员实际得到的生活费用总额，包括从社会保险经办机构和单位得到的费用。</w:t>
      </w:r>
    </w:p>
    <w:p>
      <w:pPr>
        <w:spacing w:line="330" w:lineRule="exact"/>
        <w:ind w:firstLine="360" w:firstLineChars="200"/>
        <w:rPr>
          <w:rFonts w:ascii="汉仪书宋一简" w:eastAsia="汉仪书宋一简" w:cs="汉仪书宋一简"/>
          <w:sz w:val="18"/>
          <w:szCs w:val="18"/>
        </w:rPr>
      </w:pPr>
      <w:r>
        <w:rPr>
          <w:rFonts w:ascii="汉仪书宋一简" w:eastAsia="汉仪书宋一简" w:cs="汉仪书宋一简"/>
          <w:sz w:val="18"/>
          <w:szCs w:val="18"/>
        </w:rPr>
        <w:t>1.</w:t>
      </w:r>
      <w:r>
        <w:rPr>
          <w:rFonts w:hint="eastAsia" w:ascii="汉仪书宋一简" w:eastAsia="汉仪书宋一简" w:cs="汉仪书宋一简"/>
          <w:sz w:val="18"/>
          <w:szCs w:val="18"/>
        </w:rPr>
        <w:t>离休金：指按规定支付给离休人员的生活费用。</w:t>
      </w:r>
      <w:r>
        <w:rPr>
          <w:rFonts w:ascii="汉仪书宋一简" w:eastAsia="汉仪书宋一简" w:cs="汉仪书宋一简"/>
          <w:sz w:val="18"/>
          <w:szCs w:val="18"/>
        </w:rPr>
        <w:t xml:space="preserve"> </w:t>
      </w:r>
    </w:p>
    <w:p>
      <w:pPr>
        <w:spacing w:line="330" w:lineRule="exact"/>
        <w:ind w:firstLine="360" w:firstLineChars="200"/>
        <w:rPr>
          <w:rFonts w:ascii="汉仪书宋一简" w:eastAsia="汉仪书宋一简" w:cs="汉仪书宋一简"/>
          <w:sz w:val="18"/>
          <w:szCs w:val="18"/>
        </w:rPr>
      </w:pPr>
      <w:r>
        <w:rPr>
          <w:rFonts w:ascii="汉仪书宋一简" w:eastAsia="汉仪书宋一简" w:cs="汉仪书宋一简"/>
          <w:sz w:val="18"/>
          <w:szCs w:val="18"/>
        </w:rPr>
        <w:t>2.</w:t>
      </w:r>
      <w:r>
        <w:rPr>
          <w:rFonts w:hint="eastAsia" w:ascii="汉仪书宋一简" w:eastAsia="汉仪书宋一简" w:cs="汉仪书宋一简"/>
          <w:sz w:val="18"/>
          <w:szCs w:val="18"/>
        </w:rPr>
        <w:t>退休金：指按规定支付给退休人员的生活费用。</w:t>
      </w:r>
      <w:r>
        <w:rPr>
          <w:rFonts w:ascii="汉仪书宋一简" w:eastAsia="汉仪书宋一简" w:cs="汉仪书宋一简"/>
          <w:sz w:val="18"/>
          <w:szCs w:val="18"/>
        </w:rPr>
        <w:t xml:space="preserve"> </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3.</w:t>
      </w:r>
      <w:r>
        <w:rPr>
          <w:rFonts w:hint="eastAsia" w:ascii="汉仪书宋一简" w:eastAsia="汉仪书宋一简" w:cs="汉仪书宋一简"/>
          <w:sz w:val="18"/>
          <w:szCs w:val="18"/>
        </w:rPr>
        <w:t>退职生活费：指按规定支付给退职人员的生活费用。</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4.</w:t>
      </w:r>
      <w:r>
        <w:rPr>
          <w:rFonts w:hint="eastAsia" w:ascii="汉仪书宋一简" w:eastAsia="汉仪书宋一简" w:cs="汉仪书宋一简"/>
          <w:sz w:val="18"/>
          <w:szCs w:val="18"/>
        </w:rPr>
        <w:t>医疗卫生费：指单位直接支付给离休、退休、退职人员的医疗费、住院费以及住院伙食补助等费用。</w:t>
      </w:r>
    </w:p>
    <w:p>
      <w:pPr>
        <w:spacing w:line="330" w:lineRule="exact"/>
        <w:ind w:firstLine="360" w:firstLineChars="200"/>
        <w:rPr>
          <w:rFonts w:ascii="汉仪书宋一简" w:eastAsia="汉仪书宋一简"/>
          <w:sz w:val="18"/>
          <w:szCs w:val="18"/>
        </w:rPr>
      </w:pPr>
      <w:r>
        <w:rPr>
          <w:rFonts w:ascii="汉仪书宋一简" w:eastAsia="汉仪书宋一简" w:cs="汉仪书宋一简"/>
          <w:sz w:val="18"/>
          <w:szCs w:val="18"/>
        </w:rPr>
        <w:t>5.</w:t>
      </w:r>
      <w:r>
        <w:rPr>
          <w:rFonts w:hint="eastAsia" w:ascii="汉仪书宋一简" w:eastAsia="汉仪书宋一简" w:cs="汉仪书宋一简"/>
          <w:sz w:val="18"/>
          <w:szCs w:val="18"/>
        </w:rPr>
        <w:t>其他：指离休金、退休金、退职生活费和医疗卫生费以外的其他保险福利费用，如丧葬抚恤救济费、生活补贴、物价补贴、冬季取暖补贴等。</w:t>
      </w:r>
    </w:p>
    <w:p>
      <w:pPr>
        <w:spacing w:line="330" w:lineRule="exact"/>
        <w:ind w:firstLine="360" w:firstLineChars="200"/>
        <w:rPr>
          <w:rFonts w:ascii="汉仪书宋一简" w:eastAsia="汉仪书宋一简"/>
          <w:sz w:val="18"/>
          <w:szCs w:val="18"/>
        </w:rPr>
      </w:pPr>
      <w:r>
        <w:rPr>
          <w:rFonts w:hint="eastAsia" w:ascii="汉仪书宋一简" w:eastAsia="汉仪书宋一简" w:cs="汉仪书宋一简"/>
          <w:b/>
          <w:bCs/>
          <w:sz w:val="18"/>
          <w:szCs w:val="18"/>
        </w:rPr>
        <w:t>律师</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指依法取得律师执业证书，担任法律顾问，民事</w:t>
      </w:r>
      <w:r>
        <w:rPr>
          <w:rFonts w:ascii="汉仪书宋一简" w:eastAsia="汉仪书宋一简" w:cs="汉仪书宋一简"/>
          <w:sz w:val="18"/>
          <w:szCs w:val="18"/>
        </w:rPr>
        <w:t>(</w:t>
      </w:r>
      <w:r>
        <w:rPr>
          <w:rFonts w:hint="eastAsia" w:ascii="汉仪书宋一简" w:eastAsia="汉仪书宋一简" w:cs="汉仪书宋一简"/>
          <w:sz w:val="18"/>
          <w:szCs w:val="18"/>
        </w:rPr>
        <w:t>刑事、行政</w:t>
      </w:r>
      <w:r>
        <w:rPr>
          <w:rFonts w:ascii="汉仪书宋一简" w:eastAsia="汉仪书宋一简" w:cs="汉仪书宋一简"/>
          <w:sz w:val="18"/>
          <w:szCs w:val="18"/>
        </w:rPr>
        <w:t>)</w:t>
      </w:r>
      <w:r>
        <w:rPr>
          <w:rFonts w:hint="eastAsia" w:ascii="汉仪书宋一简" w:eastAsia="汉仪书宋一简" w:cs="汉仪书宋一简"/>
          <w:sz w:val="18"/>
          <w:szCs w:val="18"/>
        </w:rPr>
        <w:t>案件代理人、刑事案件辩护人、办理非诉讼业务，解答法律询问，代写法律事务文书等，为社会提供法律服务的人员。</w:t>
      </w:r>
    </w:p>
    <w:p>
      <w:pPr>
        <w:spacing w:line="330" w:lineRule="exact"/>
        <w:ind w:firstLine="360" w:firstLineChars="200"/>
        <w:rPr>
          <w:rFonts w:ascii="汉仪书宋一简" w:eastAsia="汉仪书宋一简"/>
          <w:sz w:val="18"/>
          <w:szCs w:val="18"/>
        </w:rPr>
      </w:pPr>
      <w:r>
        <w:rPr>
          <w:rFonts w:hint="eastAsia" w:ascii="汉仪书宋一简" w:eastAsia="汉仪书宋一简" w:cs="汉仪书宋一简"/>
          <w:b/>
          <w:bCs/>
          <w:sz w:val="18"/>
          <w:szCs w:val="18"/>
        </w:rPr>
        <w:t>公证人员</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指在公证处工作的人员总称，包括公证处主任、副主任、公证员、公证员助理</w:t>
      </w:r>
      <w:r>
        <w:rPr>
          <w:rFonts w:ascii="汉仪书宋一简" w:eastAsia="汉仪书宋一简" w:cs="汉仪书宋一简"/>
          <w:sz w:val="18"/>
          <w:szCs w:val="18"/>
        </w:rPr>
        <w:t>(</w:t>
      </w:r>
      <w:r>
        <w:rPr>
          <w:rFonts w:hint="eastAsia" w:ascii="汉仪书宋一简" w:eastAsia="汉仪书宋一简" w:cs="汉仪书宋一简"/>
          <w:sz w:val="18"/>
          <w:szCs w:val="18"/>
        </w:rPr>
        <w:t>助理公证员</w:t>
      </w:r>
      <w:r>
        <w:rPr>
          <w:rFonts w:ascii="汉仪书宋一简" w:eastAsia="汉仪书宋一简" w:cs="汉仪书宋一简"/>
          <w:sz w:val="18"/>
          <w:szCs w:val="18"/>
        </w:rPr>
        <w:t>)</w:t>
      </w:r>
      <w:r>
        <w:rPr>
          <w:rFonts w:hint="eastAsia" w:ascii="汉仪书宋一简" w:eastAsia="汉仪书宋一简" w:cs="汉仪书宋一简"/>
          <w:sz w:val="18"/>
          <w:szCs w:val="18"/>
        </w:rPr>
        <w:t>和其他从事辅助性工作的人员。</w:t>
      </w:r>
    </w:p>
    <w:p>
      <w:pPr>
        <w:spacing w:line="330" w:lineRule="exact"/>
        <w:ind w:firstLine="360" w:firstLineChars="200"/>
        <w:rPr>
          <w:rFonts w:ascii="汉仪书宋一简" w:eastAsia="汉仪书宋一简"/>
          <w:sz w:val="18"/>
          <w:szCs w:val="18"/>
        </w:rPr>
      </w:pPr>
      <w:r>
        <w:rPr>
          <w:rFonts w:hint="eastAsia" w:ascii="汉仪书宋一简" w:eastAsia="汉仪书宋一简" w:cs="汉仪书宋一简"/>
          <w:b/>
          <w:bCs/>
          <w:sz w:val="18"/>
          <w:szCs w:val="18"/>
        </w:rPr>
        <w:t>公证文书</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指公证处根据当事人申请，依照事实和法律，按照法定程序制作的，具有法律效力的司法证明文书。根据公证书用途和使用地，公证书分为国内公证书、国内经济公证书、涉外民事公证书、涉外经济公证书四类。</w:t>
      </w:r>
    </w:p>
    <w:p>
      <w:pPr>
        <w:spacing w:line="330" w:lineRule="exact"/>
        <w:ind w:firstLine="360" w:firstLineChars="200"/>
        <w:rPr>
          <w:rFonts w:ascii="汉仪书宋一简" w:eastAsia="汉仪书宋一简"/>
          <w:sz w:val="18"/>
          <w:szCs w:val="18"/>
        </w:rPr>
      </w:pPr>
      <w:r>
        <w:rPr>
          <w:rFonts w:hint="eastAsia" w:ascii="汉仪书宋一简" w:eastAsia="汉仪书宋一简" w:cs="汉仪书宋一简"/>
          <w:b/>
          <w:bCs/>
          <w:sz w:val="18"/>
          <w:szCs w:val="18"/>
        </w:rPr>
        <w:t>调解员</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指在人民调解委员会担负调解民间纠纷工作的人员，包括调解委员会的委员和调解小组的调解员。该指标主要反映从事人民调解工作的人员数量。</w:t>
      </w:r>
    </w:p>
    <w:p>
      <w:pPr>
        <w:spacing w:line="330" w:lineRule="exact"/>
        <w:ind w:firstLine="360" w:firstLineChars="200"/>
        <w:rPr>
          <w:rFonts w:ascii="汉仪书宋一简" w:eastAsia="汉仪书宋一简"/>
          <w:sz w:val="18"/>
          <w:szCs w:val="18"/>
        </w:rPr>
      </w:pPr>
      <w:r>
        <w:rPr>
          <w:rFonts w:hint="eastAsia" w:ascii="汉仪书宋一简" w:eastAsia="汉仪书宋一简" w:cs="汉仪书宋一简"/>
          <w:b/>
          <w:bCs/>
          <w:sz w:val="18"/>
          <w:szCs w:val="18"/>
        </w:rPr>
        <w:t>调解民间纠纷</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指调解委员会按照法律规定，根据自愿原则，用说服教育的方法调解民间发生的有关民事权利和义务争执的件数，包括调解成功数和调解未成功数。该指标主要反映人民调解委员会的工作量。</w:t>
      </w:r>
    </w:p>
    <w:p>
      <w:pPr>
        <w:spacing w:line="330" w:lineRule="exact"/>
        <w:ind w:firstLine="360" w:firstLineChars="200"/>
        <w:rPr>
          <w:rFonts w:ascii="汉仪书宋一简" w:eastAsia="汉仪书宋一简"/>
          <w:sz w:val="18"/>
          <w:szCs w:val="18"/>
        </w:rPr>
      </w:pPr>
      <w:r>
        <w:rPr>
          <w:rFonts w:hint="eastAsia" w:ascii="汉仪书宋一简" w:eastAsia="汉仪书宋一简" w:cs="汉仪书宋一简"/>
          <w:b/>
          <w:bCs/>
          <w:sz w:val="18"/>
          <w:szCs w:val="18"/>
        </w:rPr>
        <w:t>立案</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人民检察院对受理的报案、控告、举报或自首及自行发现的犯罪线索、犯罪嫌疑人进行初步调查后，认为存在职务犯罪事实和应追究刑事责任，并决定作为刑事案件进行侦查的诉讼活动，是追究犯罪的开始。该指标主要反映人民检察院依法将职务犯罪线索作为刑事案件进行侦查的诉讼活动。</w:t>
      </w:r>
    </w:p>
    <w:p>
      <w:pPr>
        <w:spacing w:line="330" w:lineRule="exact"/>
        <w:ind w:firstLine="360" w:firstLineChars="200"/>
        <w:rPr>
          <w:rFonts w:ascii="汉仪书宋一简" w:eastAsia="汉仪书宋一简"/>
          <w:sz w:val="18"/>
          <w:szCs w:val="18"/>
        </w:rPr>
      </w:pPr>
      <w:r>
        <w:rPr>
          <w:rFonts w:hint="eastAsia" w:ascii="汉仪书宋一简" w:eastAsia="汉仪书宋一简" w:cs="汉仪书宋一简"/>
          <w:b/>
          <w:bCs/>
          <w:sz w:val="18"/>
          <w:szCs w:val="18"/>
        </w:rPr>
        <w:t>大案</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指贪污、贿赂案数额在</w:t>
      </w:r>
      <w:r>
        <w:rPr>
          <w:rFonts w:ascii="汉仪书宋一简" w:eastAsia="汉仪书宋一简" w:cs="汉仪书宋一简"/>
          <w:sz w:val="18"/>
          <w:szCs w:val="18"/>
        </w:rPr>
        <w:t>5</w:t>
      </w:r>
      <w:r>
        <w:rPr>
          <w:rFonts w:hint="eastAsia" w:ascii="汉仪书宋一简" w:eastAsia="汉仪书宋一简" w:cs="汉仪书宋一简"/>
          <w:sz w:val="18"/>
          <w:szCs w:val="18"/>
        </w:rPr>
        <w:t>万元以上，挪用公款案数额在</w:t>
      </w:r>
      <w:r>
        <w:rPr>
          <w:rFonts w:ascii="汉仪书宋一简" w:eastAsia="汉仪书宋一简" w:cs="汉仪书宋一简"/>
          <w:sz w:val="18"/>
          <w:szCs w:val="18"/>
        </w:rPr>
        <w:t>10</w:t>
      </w:r>
      <w:r>
        <w:rPr>
          <w:rFonts w:hint="eastAsia" w:ascii="汉仪书宋一简" w:eastAsia="汉仪书宋一简" w:cs="汉仪书宋一简"/>
          <w:sz w:val="18"/>
          <w:szCs w:val="18"/>
        </w:rPr>
        <w:t>万元以上，集体私分、巨额财产来源不明、隐瞒境外存款案数额在</w:t>
      </w:r>
      <w:r>
        <w:rPr>
          <w:rFonts w:ascii="汉仪书宋一简" w:eastAsia="汉仪书宋一简" w:cs="汉仪书宋一简"/>
          <w:sz w:val="18"/>
          <w:szCs w:val="18"/>
        </w:rPr>
        <w:t>50</w:t>
      </w:r>
      <w:r>
        <w:rPr>
          <w:rFonts w:hint="eastAsia" w:ascii="汉仪书宋一简" w:eastAsia="汉仪书宋一简" w:cs="汉仪书宋一简"/>
          <w:sz w:val="18"/>
          <w:szCs w:val="18"/>
        </w:rPr>
        <w:t>万元以上以及按照《人民检察院直接受理的渎职、侵权重、特大案件标准</w:t>
      </w:r>
      <w:r>
        <w:rPr>
          <w:rFonts w:ascii="汉仪书宋一简" w:eastAsia="汉仪书宋一简" w:cs="汉仪书宋一简"/>
          <w:sz w:val="18"/>
          <w:szCs w:val="18"/>
        </w:rPr>
        <w:t>(</w:t>
      </w:r>
      <w:r>
        <w:rPr>
          <w:rFonts w:hint="eastAsia" w:ascii="汉仪书宋一简" w:eastAsia="汉仪书宋一简" w:cs="汉仪书宋一简"/>
          <w:sz w:val="18"/>
          <w:szCs w:val="18"/>
        </w:rPr>
        <w:t>试行</w:t>
      </w:r>
      <w:r>
        <w:rPr>
          <w:rFonts w:ascii="汉仪书宋一简" w:eastAsia="汉仪书宋一简" w:cs="汉仪书宋一简"/>
          <w:sz w:val="18"/>
          <w:szCs w:val="18"/>
        </w:rPr>
        <w:t>)</w:t>
      </w:r>
      <w:r>
        <w:rPr>
          <w:rFonts w:hint="eastAsia" w:ascii="汉仪书宋一简" w:eastAsia="汉仪书宋一简" w:cs="汉仪书宋一简"/>
          <w:sz w:val="18"/>
          <w:szCs w:val="18"/>
        </w:rPr>
        <w:t>》认定的案件。该指标主要反映人民检察院立案查办的职务犯罪案件中经济损失大、社会危害严重的案件。</w:t>
      </w:r>
    </w:p>
    <w:p>
      <w:pPr>
        <w:spacing w:line="330" w:lineRule="exact"/>
        <w:ind w:firstLine="360" w:firstLineChars="200"/>
        <w:rPr>
          <w:rFonts w:ascii="汉仪书宋一简" w:eastAsia="汉仪书宋一简"/>
          <w:sz w:val="18"/>
          <w:szCs w:val="18"/>
        </w:rPr>
      </w:pPr>
      <w:r>
        <w:rPr>
          <w:rFonts w:hint="eastAsia" w:ascii="汉仪书宋一简" w:eastAsia="汉仪书宋一简" w:cs="汉仪书宋一简"/>
          <w:b/>
          <w:bCs/>
          <w:sz w:val="18"/>
          <w:szCs w:val="18"/>
        </w:rPr>
        <w:t>要案</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指县、处级以上干部的犯罪案件。该指标主要反映国家工作人员中县、处级以上干部因职务犯罪被人民检察院依法立案侦查的情况。</w:t>
      </w:r>
    </w:p>
    <w:p>
      <w:pPr>
        <w:spacing w:line="330" w:lineRule="exact"/>
        <w:ind w:firstLine="360" w:firstLineChars="200"/>
        <w:rPr>
          <w:rFonts w:ascii="汉仪书宋一简" w:eastAsia="汉仪书宋一简"/>
          <w:sz w:val="18"/>
          <w:szCs w:val="18"/>
        </w:rPr>
      </w:pPr>
      <w:r>
        <w:rPr>
          <w:rFonts w:hint="eastAsia" w:ascii="汉仪书宋一简" w:eastAsia="汉仪书宋一简" w:cs="汉仪书宋一简"/>
          <w:b/>
          <w:bCs/>
          <w:sz w:val="18"/>
          <w:szCs w:val="18"/>
        </w:rPr>
        <w:t>决定逮捕</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指人民检察院对直接受理、自行侦查的案件，认为需要逮捕犯罪嫌疑人时，依据法律做出的逮捕决定。该指标主要反映人民检察院对直接受理的案件行使决定逮捕权的情况。</w:t>
      </w:r>
    </w:p>
    <w:p>
      <w:pPr>
        <w:spacing w:line="330" w:lineRule="exact"/>
        <w:ind w:firstLine="360" w:firstLineChars="200"/>
        <w:rPr>
          <w:rFonts w:ascii="汉仪书宋一简" w:eastAsia="汉仪书宋一简"/>
          <w:sz w:val="18"/>
          <w:szCs w:val="18"/>
        </w:rPr>
      </w:pPr>
      <w:r>
        <w:rPr>
          <w:rFonts w:hint="eastAsia" w:ascii="汉仪书宋一简" w:eastAsia="汉仪书宋一简" w:cs="汉仪书宋一简"/>
          <w:b/>
          <w:bCs/>
          <w:sz w:val="18"/>
          <w:szCs w:val="18"/>
        </w:rPr>
        <w:t>批准逮捕</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人民检察院对公安机关、国家安全机关、监狱管理机关提出逮捕的犯罪嫌疑人进行审查，根据事实，依法做出逮捕决定。该指标主要反映人民检察院对提请逮捕机关提请逮捕犯罪嫌疑人进行审查后依法做出批准逮捕决定的情况。</w:t>
      </w:r>
    </w:p>
    <w:p>
      <w:pPr>
        <w:spacing w:line="330" w:lineRule="exact"/>
        <w:ind w:firstLine="360" w:firstLineChars="200"/>
        <w:rPr>
          <w:rFonts w:ascii="汉仪书宋一简" w:eastAsia="汉仪书宋一简"/>
          <w:sz w:val="18"/>
          <w:szCs w:val="18"/>
        </w:rPr>
      </w:pPr>
      <w:r>
        <w:rPr>
          <w:rFonts w:hint="eastAsia" w:ascii="汉仪书宋一简" w:eastAsia="汉仪书宋一简" w:cs="汉仪书宋一简"/>
          <w:b/>
          <w:bCs/>
          <w:sz w:val="18"/>
          <w:szCs w:val="18"/>
        </w:rPr>
        <w:t>决定起诉</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人民检察院对公安机关、国家安全机关、监狱管理机关和检察机关内设机构反贪污贿赂部门等移送起诉的案件进行审查，根据事实，做出提起公诉的案件。该指标主要反映人民检察院对各种刑事案件向人民法院提起公诉的情况。</w:t>
      </w:r>
    </w:p>
    <w:p>
      <w:pPr>
        <w:spacing w:line="330" w:lineRule="exact"/>
        <w:ind w:firstLine="360" w:firstLineChars="200"/>
        <w:rPr>
          <w:rFonts w:ascii="汉仪书宋一简" w:eastAsia="汉仪书宋一简"/>
          <w:sz w:val="18"/>
          <w:szCs w:val="18"/>
        </w:rPr>
      </w:pPr>
      <w:r>
        <w:rPr>
          <w:rFonts w:hint="eastAsia" w:ascii="汉仪书宋一简" w:eastAsia="汉仪书宋一简" w:cs="汉仪书宋一简"/>
          <w:b/>
          <w:bCs/>
          <w:sz w:val="18"/>
          <w:szCs w:val="18"/>
        </w:rPr>
        <w:t>申诉</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指经检察机关信访部门审查处理后，移送到检察机关申诉部门的申诉案件，包括不服检察机关处理决定和不服法院刑事判决和裁定的申诉的案件。</w:t>
      </w:r>
    </w:p>
    <w:p>
      <w:pPr>
        <w:spacing w:line="360" w:lineRule="exact"/>
        <w:ind w:firstLine="360" w:firstLineChars="200"/>
        <w:rPr>
          <w:rFonts w:hint="eastAsia" w:ascii="汉仪书宋一简" w:hAnsi="宋体" w:eastAsia="汉仪书宋一简" w:cs="汉仪书宋一简"/>
          <w:kern w:val="0"/>
          <w:sz w:val="18"/>
          <w:szCs w:val="18"/>
        </w:rPr>
      </w:pPr>
      <w:r>
        <w:rPr>
          <w:rFonts w:hint="eastAsia" w:ascii="汉仪书宋一简" w:eastAsia="汉仪书宋一简" w:cs="汉仪书宋一简"/>
          <w:b/>
          <w:bCs/>
          <w:sz w:val="18"/>
          <w:szCs w:val="18"/>
        </w:rPr>
        <w:t>受理劳动争议案件数</w:t>
      </w:r>
      <w:r>
        <w:rPr>
          <w:rFonts w:ascii="汉仪书宋一简" w:eastAsia="汉仪书宋一简" w:cs="汉仪书宋一简"/>
          <w:sz w:val="18"/>
          <w:szCs w:val="18"/>
        </w:rPr>
        <w:t xml:space="preserve">  </w:t>
      </w:r>
      <w:r>
        <w:rPr>
          <w:rFonts w:hint="eastAsia" w:ascii="汉仪书宋一简" w:eastAsia="汉仪书宋一简" w:cs="汉仪书宋一简"/>
          <w:sz w:val="18"/>
          <w:szCs w:val="18"/>
        </w:rPr>
        <w:t>指劳动争议仲裁委员会根据国家有关规定，对劳动争议当事人的申请予以审查，符合受理条件而正式立案、准备处理的劳动争议案件数。</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书宋一简"/>
          <w:kern w:val="0"/>
          <w:sz w:val="18"/>
          <w:szCs w:val="18"/>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pPr>
        <w:rPr>
          <w:b/>
          <w:sz w:val="28"/>
          <w:szCs w:val="28"/>
        </w:rPr>
      </w:pPr>
      <w:r>
        <w:rPr>
          <w:b/>
          <w:sz w:val="28"/>
          <w:szCs w:val="28"/>
        </w:rPr>
        <w:br w:type="page"/>
      </w:r>
    </w:p>
    <w:p>
      <w:pPr>
        <w:snapToGrid w:val="0"/>
        <w:spacing w:line="360" w:lineRule="auto"/>
        <w:jc w:val="right"/>
        <w:rPr>
          <w:b/>
          <w:sz w:val="28"/>
          <w:szCs w:val="28"/>
        </w:rPr>
      </w:pP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spacing w:line="360" w:lineRule="exact"/>
        <w:jc w:val="center"/>
        <w:rPr>
          <w:b/>
          <w:sz w:val="28"/>
          <w:szCs w:val="28"/>
        </w:rPr>
      </w:pPr>
    </w:p>
    <w:p>
      <w:pPr>
        <w:pStyle w:val="12"/>
        <w:snapToGrid w:val="0"/>
        <w:spacing w:line="360" w:lineRule="exact"/>
        <w:rPr>
          <w:b/>
          <w:bCs/>
          <w:color w:val="auto"/>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spacing w:line="330" w:lineRule="exact"/>
        <w:ind w:firstLine="361" w:firstLineChars="200"/>
        <w:rPr>
          <w:b/>
          <w:bCs/>
          <w:sz w:val="18"/>
          <w:szCs w:val="18"/>
        </w:rPr>
      </w:pPr>
      <w:r>
        <w:rPr>
          <w:b/>
          <w:bCs/>
          <w:sz w:val="18"/>
          <w:szCs w:val="18"/>
        </w:rPr>
        <w:t xml:space="preserve">Basic Medical Care Insurance: </w:t>
      </w:r>
    </w:p>
    <w:p>
      <w:pPr>
        <w:spacing w:line="330" w:lineRule="exact"/>
        <w:ind w:firstLine="360" w:firstLineChars="200"/>
        <w:rPr>
          <w:sz w:val="18"/>
          <w:szCs w:val="18"/>
        </w:rPr>
      </w:pPr>
      <w:r>
        <w:rPr>
          <w:sz w:val="18"/>
          <w:szCs w:val="18"/>
        </w:rPr>
        <w:t>1. Number of people participating in the insurance programme refers to people participating in the basic medical care insurance programme according to related regulations by the end of reference period, including number of staff and workers and retirees participating in this insurance programme.</w:t>
      </w:r>
    </w:p>
    <w:p>
      <w:pPr>
        <w:spacing w:line="330" w:lineRule="exact"/>
        <w:ind w:firstLine="360" w:firstLineChars="200"/>
        <w:rPr>
          <w:sz w:val="18"/>
          <w:szCs w:val="18"/>
        </w:rPr>
      </w:pPr>
      <w:r>
        <w:rPr>
          <w:sz w:val="18"/>
          <w:szCs w:val="18"/>
        </w:rPr>
        <w:t>2. Revenue of insurance programme refer to payments made by employers and individuals participating in medical care insurance programs in accordance with the basis and proportion stipulated in state regulations, and income from other sources that become source of medical insurance fund, including income of social comprehensive funds paid by employers, income from individual accounts, government financial subsidies, interest income and other income.</w:t>
      </w:r>
    </w:p>
    <w:p>
      <w:pPr>
        <w:spacing w:line="330" w:lineRule="exact"/>
        <w:ind w:firstLine="360" w:firstLineChars="200"/>
        <w:rPr>
          <w:sz w:val="18"/>
          <w:szCs w:val="18"/>
        </w:rPr>
      </w:pPr>
      <w:r>
        <w:rPr>
          <w:sz w:val="18"/>
          <w:szCs w:val="18"/>
        </w:rPr>
        <w:t>3. Expenses of insurance programme refer to payment made from social comprehensive funds to those retired and resigned people covered in basic medical care insurance within the scope and standards of expenditure according to related national policies, and medical care payment made from individual accounts to staff and workers and retirees, and other expenses, including medical expenses of hospital inpatients, medical expenses for outpatients and emergency patients, payment from individual accounts and other expenditure.</w:t>
      </w:r>
    </w:p>
    <w:p>
      <w:pPr>
        <w:spacing w:line="330" w:lineRule="exact"/>
        <w:ind w:firstLine="360" w:firstLineChars="200"/>
        <w:rPr>
          <w:sz w:val="18"/>
          <w:szCs w:val="18"/>
        </w:rPr>
      </w:pPr>
      <w:r>
        <w:rPr>
          <w:sz w:val="18"/>
          <w:szCs w:val="18"/>
        </w:rPr>
        <w:t>4. Balance of basic medical care insurance refer to the balance of medical care insurance of social comprehensive funds and individual accounts at the end of the reference period, including bank savings, special fiscal accounts, investment in bonds and others.</w:t>
      </w:r>
    </w:p>
    <w:p>
      <w:pPr>
        <w:spacing w:line="330" w:lineRule="exact"/>
        <w:ind w:firstLine="361" w:firstLineChars="200"/>
        <w:rPr>
          <w:b/>
          <w:bCs/>
          <w:sz w:val="18"/>
          <w:szCs w:val="18"/>
        </w:rPr>
      </w:pPr>
      <w:r>
        <w:rPr>
          <w:b/>
          <w:bCs/>
          <w:sz w:val="18"/>
          <w:szCs w:val="18"/>
        </w:rPr>
        <w:t>Unemployment Insurance</w:t>
      </w:r>
    </w:p>
    <w:p>
      <w:pPr>
        <w:spacing w:line="330" w:lineRule="exact"/>
        <w:ind w:firstLine="360" w:firstLineChars="200"/>
        <w:rPr>
          <w:sz w:val="18"/>
          <w:szCs w:val="18"/>
        </w:rPr>
      </w:pPr>
      <w:r>
        <w:rPr>
          <w:sz w:val="18"/>
          <w:szCs w:val="18"/>
        </w:rPr>
        <w:t>1. Number of people covered refers to staff and workers in urban enterprises or institutions who have participated in unemployment insurance programme in line relevant policies and regulations, and other people who have participated according to local government regulations, by the end of reference period.</w:t>
      </w:r>
    </w:p>
    <w:p>
      <w:pPr>
        <w:spacing w:line="330" w:lineRule="exact"/>
        <w:ind w:firstLine="360" w:firstLineChars="200"/>
        <w:rPr>
          <w:sz w:val="18"/>
          <w:szCs w:val="18"/>
        </w:rPr>
      </w:pPr>
      <w:r>
        <w:rPr>
          <w:sz w:val="18"/>
          <w:szCs w:val="18"/>
        </w:rPr>
        <w:t>2. Revenue of unemployment insurance refer to payments made by employers and individuals participating in unemployment insurance programme in accordance with relevant regulations and other income contributed to this programme, including unemployment insurance premium made by employers and individuals, interest income, subsidies from higher level agencies, income as transfer from subordinate agencies, transferred income, government financial subsidies and other income.</w:t>
      </w:r>
    </w:p>
    <w:p>
      <w:pPr>
        <w:spacing w:line="330" w:lineRule="exact"/>
        <w:ind w:firstLine="360" w:firstLineChars="200"/>
        <w:rPr>
          <w:sz w:val="18"/>
          <w:szCs w:val="18"/>
        </w:rPr>
      </w:pPr>
      <w:r>
        <w:rPr>
          <w:sz w:val="18"/>
          <w:szCs w:val="18"/>
        </w:rPr>
        <w:t>3. Expenses of unemployment insurance refer to total expenses during the reference period to guarantee the basic livelihood of unemployed people and laid-off staff and workers and to encourage their re-employment. Included are unemployment relief, medical fees, funeral subsidies, compensation pension, training expenses, management fees for unemployment insurance agencies, subsidies to lower level agencies, expenses as transfer to higher level agencies, transferred expenditure and other expenditure.</w:t>
      </w:r>
    </w:p>
    <w:p>
      <w:pPr>
        <w:spacing w:line="330" w:lineRule="exact"/>
        <w:ind w:firstLine="360" w:firstLineChars="200"/>
        <w:rPr>
          <w:sz w:val="18"/>
          <w:szCs w:val="18"/>
        </w:rPr>
      </w:pPr>
      <w:r>
        <w:rPr>
          <w:sz w:val="18"/>
          <w:szCs w:val="18"/>
        </w:rPr>
        <w:t>4. Balance of unemployment insurance refer to the balance of unemployment revenue deducting unemployment expenses at the end of the reference period.</w:t>
      </w:r>
    </w:p>
    <w:p>
      <w:pPr>
        <w:spacing w:line="330" w:lineRule="exact"/>
        <w:ind w:firstLine="361" w:firstLineChars="200"/>
        <w:rPr>
          <w:b/>
          <w:bCs/>
          <w:sz w:val="18"/>
          <w:szCs w:val="18"/>
        </w:rPr>
      </w:pPr>
      <w:r>
        <w:rPr>
          <w:b/>
          <w:bCs/>
          <w:sz w:val="18"/>
          <w:szCs w:val="18"/>
        </w:rPr>
        <w:t xml:space="preserve">Work Injury Insurance </w:t>
      </w:r>
    </w:p>
    <w:p>
      <w:pPr>
        <w:spacing w:line="330" w:lineRule="exact"/>
        <w:ind w:firstLine="360" w:firstLineChars="200"/>
        <w:rPr>
          <w:sz w:val="18"/>
          <w:szCs w:val="18"/>
        </w:rPr>
      </w:pPr>
      <w:r>
        <w:rPr>
          <w:sz w:val="18"/>
          <w:szCs w:val="18"/>
        </w:rPr>
        <w:t>1. Number of people covered refers to staff and workers who have participated in work injury insurance programme in line with relevant national regulations.</w:t>
      </w:r>
    </w:p>
    <w:p>
      <w:pPr>
        <w:spacing w:line="330" w:lineRule="exact"/>
        <w:ind w:firstLine="360" w:firstLineChars="200"/>
        <w:rPr>
          <w:sz w:val="18"/>
          <w:szCs w:val="18"/>
        </w:rPr>
      </w:pPr>
      <w:r>
        <w:rPr>
          <w:sz w:val="18"/>
          <w:szCs w:val="18"/>
        </w:rPr>
        <w:t>2. Number of beneficiaries refers to staff and workers and their direct dependents who can, in line with relevant regulations, benefit from work injury insurance, as a result of work injury leading to disability or death of the staff/worker, or occupational disease leading to disability. Included in this category are number of injured and disabled people, number of people with occupational diseases, number of deaths at work places, and number of direct dependents.</w:t>
      </w:r>
    </w:p>
    <w:p>
      <w:pPr>
        <w:spacing w:line="330" w:lineRule="exact"/>
        <w:ind w:firstLine="360" w:firstLineChars="200"/>
        <w:rPr>
          <w:sz w:val="18"/>
          <w:szCs w:val="18"/>
        </w:rPr>
      </w:pPr>
      <w:r>
        <w:rPr>
          <w:sz w:val="18"/>
          <w:szCs w:val="18"/>
        </w:rPr>
        <w:t>3. Revenue of work injury insurance refer to payments made by employers participating in work injury insurance programs in accordance with the basis and proportion stipulated in state regulations, and income from other sources that become source of work injury insurance fund, including income of social comprehensive funds paid by employers, government financial subsidies, interest income and other income.</w:t>
      </w:r>
    </w:p>
    <w:p>
      <w:pPr>
        <w:spacing w:line="330" w:lineRule="exact"/>
        <w:ind w:firstLine="360" w:firstLineChars="200"/>
        <w:rPr>
          <w:sz w:val="18"/>
          <w:szCs w:val="18"/>
        </w:rPr>
      </w:pPr>
      <w:r>
        <w:rPr>
          <w:sz w:val="18"/>
          <w:szCs w:val="18"/>
        </w:rPr>
        <w:t>4. Expenses of work injury insurance refer to payments made from work injury insurance funds to those who participated in the work injury insurance programme and their direct dependents within the scope and standards of expenditure according to related national policies, and other expenditure, including medical fees for work injury, injury and disability subsidies, death subsidies, nursing fees, funeral subsidies, injury prevention fees, rehabilitation fees for occupational diseases and other expenditure.</w:t>
      </w:r>
    </w:p>
    <w:p>
      <w:pPr>
        <w:spacing w:line="330" w:lineRule="exact"/>
        <w:ind w:firstLine="360" w:firstLineChars="200"/>
        <w:rPr>
          <w:sz w:val="18"/>
          <w:szCs w:val="18"/>
        </w:rPr>
      </w:pPr>
      <w:r>
        <w:rPr>
          <w:sz w:val="18"/>
          <w:szCs w:val="18"/>
        </w:rPr>
        <w:t>5. Balance of work injury insurance refer to the balance of the work injury funds at the end of the reference period, including bank savings, special fiscal account, investment in bonds and others.</w:t>
      </w:r>
    </w:p>
    <w:p>
      <w:pPr>
        <w:spacing w:line="330" w:lineRule="exact"/>
        <w:ind w:firstLine="361" w:firstLineChars="200"/>
        <w:rPr>
          <w:b/>
          <w:bCs/>
          <w:sz w:val="18"/>
          <w:szCs w:val="18"/>
        </w:rPr>
      </w:pPr>
      <w:r>
        <w:rPr>
          <w:b/>
          <w:bCs/>
          <w:sz w:val="18"/>
          <w:szCs w:val="18"/>
        </w:rPr>
        <w:t>Maternity Insurance</w:t>
      </w:r>
    </w:p>
    <w:p>
      <w:pPr>
        <w:spacing w:line="330" w:lineRule="exact"/>
        <w:ind w:firstLine="360" w:firstLineChars="200"/>
        <w:rPr>
          <w:sz w:val="18"/>
          <w:szCs w:val="18"/>
        </w:rPr>
      </w:pPr>
      <w:r>
        <w:rPr>
          <w:sz w:val="18"/>
          <w:szCs w:val="18"/>
        </w:rPr>
        <w:t>1. Number of people covered refers to staff and workers who have participated in maternity insurance programme according to relevant regulation at the end of the reporting period.</w:t>
      </w:r>
    </w:p>
    <w:p>
      <w:pPr>
        <w:spacing w:line="330" w:lineRule="exact"/>
        <w:ind w:firstLine="360" w:firstLineChars="200"/>
        <w:rPr>
          <w:sz w:val="18"/>
          <w:szCs w:val="18"/>
        </w:rPr>
      </w:pPr>
      <w:r>
        <w:rPr>
          <w:sz w:val="18"/>
          <w:szCs w:val="18"/>
        </w:rPr>
        <w:t>2. Revenue of maternity insurance refers to payments made by employers participating in maternity insurance programs in accordance with the basis and proportion stipulated in state regulations, and income from other sources that become source of maternity insurance fund, including income of funds paid by employers, interest income and other income.</w:t>
      </w:r>
    </w:p>
    <w:p>
      <w:pPr>
        <w:spacing w:line="330" w:lineRule="exact"/>
        <w:ind w:firstLine="360" w:firstLineChars="200"/>
        <w:rPr>
          <w:sz w:val="18"/>
          <w:szCs w:val="18"/>
        </w:rPr>
      </w:pPr>
      <w:r>
        <w:rPr>
          <w:sz w:val="18"/>
          <w:szCs w:val="18"/>
        </w:rPr>
        <w:t>3. Expenses of maternity insurance refer to payments made from maternity insurance funds to staff and workers who participated in maternity insurance programme within the scope and standards of expenditure according to related national policies, expenses paid for pregnancy, child delivery or surgeries related to family planning, and other expenditure, including allowance for child bearing, medical fees and other expenditure.</w:t>
      </w:r>
    </w:p>
    <w:p>
      <w:pPr>
        <w:spacing w:line="330" w:lineRule="exact"/>
        <w:ind w:firstLine="360" w:firstLineChars="200"/>
        <w:rPr>
          <w:sz w:val="18"/>
          <w:szCs w:val="18"/>
        </w:rPr>
      </w:pPr>
      <w:r>
        <w:rPr>
          <w:sz w:val="18"/>
          <w:szCs w:val="18"/>
        </w:rPr>
        <w:t>4. Balance of the maternity insurance refers to the balance of the maternity insurance funds at the end of reference period, including bank savings, special fiscal account, investment in funds and others.</w:t>
      </w:r>
    </w:p>
    <w:p>
      <w:pPr>
        <w:spacing w:line="330" w:lineRule="exact"/>
        <w:ind w:firstLine="361" w:firstLineChars="200"/>
        <w:rPr>
          <w:sz w:val="18"/>
          <w:szCs w:val="18"/>
        </w:rPr>
      </w:pPr>
      <w:r>
        <w:rPr>
          <w:b/>
          <w:bCs/>
          <w:sz w:val="18"/>
          <w:szCs w:val="18"/>
        </w:rPr>
        <w:t>Insurance and Welfare Funds for Retirees</w:t>
      </w:r>
      <w:r>
        <w:rPr>
          <w:sz w:val="18"/>
          <w:szCs w:val="18"/>
        </w:rPr>
        <w:t xml:space="preserve">  refer to the total payment for living expenses actually received by retirees, including payment received from social insurance management agencies and units.                                                              </w:t>
      </w:r>
    </w:p>
    <w:p>
      <w:pPr>
        <w:spacing w:line="330" w:lineRule="exact"/>
        <w:ind w:firstLine="360" w:firstLineChars="200"/>
        <w:rPr>
          <w:sz w:val="18"/>
          <w:szCs w:val="18"/>
        </w:rPr>
      </w:pPr>
      <w:r>
        <w:rPr>
          <w:sz w:val="18"/>
          <w:szCs w:val="18"/>
        </w:rPr>
        <w:t>1. Pensions for retired veteran cadres refer to living expenses paid to retired veteran cadres according to related regulations.</w:t>
      </w:r>
    </w:p>
    <w:p>
      <w:pPr>
        <w:spacing w:line="330" w:lineRule="exact"/>
        <w:ind w:firstLine="360" w:firstLineChars="200"/>
        <w:rPr>
          <w:sz w:val="18"/>
          <w:szCs w:val="18"/>
        </w:rPr>
      </w:pPr>
      <w:r>
        <w:rPr>
          <w:sz w:val="18"/>
          <w:szCs w:val="18"/>
        </w:rPr>
        <w:t>2. Pensions for retirement refer to living expenses paid to retired staff and workers according to related regulations.</w:t>
      </w:r>
    </w:p>
    <w:p>
      <w:pPr>
        <w:spacing w:line="330" w:lineRule="exact"/>
        <w:ind w:firstLine="360" w:firstLineChars="200"/>
        <w:rPr>
          <w:sz w:val="18"/>
          <w:szCs w:val="18"/>
        </w:rPr>
      </w:pPr>
      <w:r>
        <w:rPr>
          <w:sz w:val="18"/>
          <w:szCs w:val="18"/>
        </w:rPr>
        <w:t>3. Living allowances for resigned staff and workers refer to living expenses paid to resigned staff and workers according to related regulation.</w:t>
      </w:r>
    </w:p>
    <w:p>
      <w:pPr>
        <w:spacing w:line="330" w:lineRule="exact"/>
        <w:ind w:firstLine="360" w:firstLineChars="200"/>
        <w:rPr>
          <w:sz w:val="18"/>
          <w:szCs w:val="18"/>
        </w:rPr>
      </w:pPr>
      <w:r>
        <w:rPr>
          <w:sz w:val="18"/>
          <w:szCs w:val="18"/>
        </w:rPr>
        <w:t>4. Medical care expenses refer to medical fees, hospitalization cost and per diem subsidies during hospitalizations paid by employers directly to retirees.</w:t>
      </w:r>
    </w:p>
    <w:p>
      <w:pPr>
        <w:spacing w:line="330" w:lineRule="exact"/>
        <w:ind w:firstLine="360" w:firstLineChars="200"/>
        <w:rPr>
          <w:sz w:val="18"/>
          <w:szCs w:val="18"/>
        </w:rPr>
      </w:pPr>
      <w:r>
        <w:rPr>
          <w:sz w:val="18"/>
          <w:szCs w:val="18"/>
        </w:rPr>
        <w:t>5. Others refer to insurance and welfare payments other than the above-mentioned payments, including funeral subsidies, living allowances, price subsidies and heating subsidies during winter.</w:t>
      </w:r>
    </w:p>
    <w:p>
      <w:pPr>
        <w:spacing w:line="330" w:lineRule="exact"/>
        <w:ind w:firstLine="361" w:firstLineChars="200"/>
        <w:rPr>
          <w:sz w:val="18"/>
          <w:szCs w:val="18"/>
        </w:rPr>
      </w:pPr>
      <w:r>
        <w:rPr>
          <w:b/>
          <w:bCs/>
          <w:sz w:val="18"/>
          <w:szCs w:val="18"/>
        </w:rPr>
        <w:t>Lawyers</w:t>
      </w:r>
      <w:r>
        <w:rPr>
          <w:sz w:val="18"/>
          <w:szCs w:val="18"/>
        </w:rPr>
        <w:t xml:space="preserve"> are certified legal workers according to law, and who are employed by legal counseling firms to act as legal advisers, agents in criminal or civil lawsuits, or defenders in criminal lawsuits, or to handle non-litigious legal affairs, to advise on matters of law or to write legal papers for others, and provide service to the public.</w:t>
      </w:r>
    </w:p>
    <w:p>
      <w:pPr>
        <w:spacing w:line="330" w:lineRule="exact"/>
        <w:ind w:firstLine="361" w:firstLineChars="200"/>
        <w:rPr>
          <w:sz w:val="18"/>
          <w:szCs w:val="18"/>
        </w:rPr>
      </w:pPr>
      <w:r>
        <w:rPr>
          <w:b/>
          <w:bCs/>
          <w:sz w:val="18"/>
          <w:szCs w:val="18"/>
        </w:rPr>
        <w:t>Notary Personnel</w:t>
      </w:r>
      <w:r>
        <w:rPr>
          <w:sz w:val="18"/>
          <w:szCs w:val="18"/>
        </w:rPr>
        <w:t xml:space="preserve">  refers to people working for notary offices including: directors, deputy director, notaries, assistant notaries, and other people providing assistance.</w:t>
      </w:r>
    </w:p>
    <w:p>
      <w:pPr>
        <w:spacing w:line="330" w:lineRule="exact"/>
        <w:ind w:firstLine="361" w:firstLineChars="200"/>
        <w:rPr>
          <w:sz w:val="18"/>
          <w:szCs w:val="18"/>
        </w:rPr>
      </w:pPr>
      <w:r>
        <w:rPr>
          <w:b/>
          <w:bCs/>
          <w:sz w:val="18"/>
          <w:szCs w:val="18"/>
        </w:rPr>
        <w:t>Notary Documents</w:t>
      </w:r>
      <w:r>
        <w:rPr>
          <w:sz w:val="18"/>
          <w:szCs w:val="18"/>
        </w:rPr>
        <w:t xml:space="preserve">  refer to the judicatory notary documents drawn up by the request of the party and are in accordance with facts and laws and following certain legal proceedings. According to usage and locality, the notary documents are divided into following 4 types: domestic notary documents, domestic economic notary documents, foreign-related civil notary documents and foreign-related economic notary documents. </w:t>
      </w:r>
    </w:p>
    <w:p>
      <w:pPr>
        <w:spacing w:line="330" w:lineRule="exact"/>
        <w:ind w:firstLine="361" w:firstLineChars="200"/>
        <w:rPr>
          <w:sz w:val="18"/>
          <w:szCs w:val="18"/>
        </w:rPr>
      </w:pPr>
      <w:r>
        <w:rPr>
          <w:b/>
          <w:bCs/>
          <w:sz w:val="18"/>
          <w:szCs w:val="18"/>
        </w:rPr>
        <w:t>Mediators</w:t>
      </w:r>
      <w:r>
        <w:rPr>
          <w:sz w:val="18"/>
          <w:szCs w:val="18"/>
        </w:rPr>
        <w:t xml:space="preserve">  refer to workers on peoples mediation committees responsible for mediating in civil disputes and cases of slight infraction of the law. They include members of the mediation committees and mediators of mediation groups. This indicator reflects the number of people engaged in meditation.</w:t>
      </w:r>
    </w:p>
    <w:p>
      <w:pPr>
        <w:spacing w:line="330" w:lineRule="exact"/>
        <w:ind w:firstLine="361" w:firstLineChars="200"/>
        <w:rPr>
          <w:sz w:val="18"/>
          <w:szCs w:val="18"/>
        </w:rPr>
      </w:pPr>
      <w:r>
        <w:rPr>
          <w:b/>
          <w:bCs/>
          <w:sz w:val="18"/>
          <w:szCs w:val="18"/>
        </w:rPr>
        <w:t>Mediation of Civil Disputes</w:t>
      </w:r>
      <w:r>
        <w:rPr>
          <w:sz w:val="18"/>
          <w:szCs w:val="18"/>
        </w:rPr>
        <w:t xml:space="preserve">  refers to number of cases made by mediation committees in mediating in civil disputes concerning civil rights and duties through persuasion and education in accordance with the provisions of law on a voluntary basis, so as to solve disputes by helping the parties involved come to an agreement and understanding, including those unsuccessful ones. This indicator reflects the workload of the mediation committees.</w:t>
      </w:r>
    </w:p>
    <w:p>
      <w:pPr>
        <w:spacing w:line="330" w:lineRule="exact"/>
        <w:ind w:firstLine="361" w:firstLineChars="200"/>
        <w:rPr>
          <w:sz w:val="18"/>
          <w:szCs w:val="18"/>
        </w:rPr>
      </w:pPr>
      <w:r>
        <w:rPr>
          <w:b/>
          <w:bCs/>
          <w:sz w:val="18"/>
          <w:szCs w:val="18"/>
        </w:rPr>
        <w:t>Acceptance of Case</w:t>
      </w:r>
      <w:r>
        <w:rPr>
          <w:sz w:val="18"/>
          <w:szCs w:val="18"/>
        </w:rPr>
        <w:t xml:space="preserve">  refers to the decision made by the people’s procuratorate office on reported cases, prosecution, impeachment, surrender, self-found criminal clues or suspects after initial investigation to confirm the act of crime and to start legal proceedings of the case as criminal case.</w:t>
      </w:r>
    </w:p>
    <w:p>
      <w:pPr>
        <w:spacing w:line="330" w:lineRule="exact"/>
        <w:ind w:firstLine="361" w:firstLineChars="200"/>
        <w:rPr>
          <w:sz w:val="18"/>
          <w:szCs w:val="18"/>
        </w:rPr>
      </w:pPr>
      <w:r>
        <w:rPr>
          <w:b/>
          <w:bCs/>
          <w:sz w:val="18"/>
          <w:szCs w:val="18"/>
        </w:rPr>
        <w:t>Large Cases</w:t>
      </w:r>
      <w:r>
        <w:rPr>
          <w:sz w:val="18"/>
          <w:szCs w:val="18"/>
        </w:rPr>
        <w:t xml:space="preserve">  refer to cases involving a corruption or bribery of over 50,000 yuan, or a misappropriation of over 100,000 yuan. Cases of collectively illegal possession of public funds, unstated sources of large properties, or disguised overseas savings deposits involving 500,000 yuan, or a case that has been defined by the “Standard on Serious and Large Cases of Misconduct and Tortious that Directly Accepted by People’s Procurators Office (trial)”. This indicator mainly reflects number of accepted cases of job-related criminals that caused serious economic losses or extremely harmful to the society.</w:t>
      </w:r>
    </w:p>
    <w:p>
      <w:pPr>
        <w:spacing w:line="330" w:lineRule="exact"/>
        <w:ind w:firstLine="361" w:firstLineChars="200"/>
        <w:rPr>
          <w:sz w:val="18"/>
          <w:szCs w:val="18"/>
        </w:rPr>
      </w:pPr>
      <w:r>
        <w:rPr>
          <w:b/>
          <w:bCs/>
          <w:sz w:val="18"/>
          <w:szCs w:val="18"/>
        </w:rPr>
        <w:t>Key Cases</w:t>
      </w:r>
      <w:r>
        <w:rPr>
          <w:sz w:val="18"/>
          <w:szCs w:val="18"/>
        </w:rPr>
        <w:t xml:space="preserve">  refer to cases committed by government officials with a ranking of division director or county administrator. This indicator mainly reflects the recorded and spied on cases by the people’s procurators offices toward government official with a ranking of division director or county administrator.</w:t>
      </w:r>
    </w:p>
    <w:p>
      <w:pPr>
        <w:spacing w:line="330" w:lineRule="exact"/>
        <w:ind w:firstLine="361" w:firstLineChars="200"/>
        <w:rPr>
          <w:sz w:val="18"/>
          <w:szCs w:val="18"/>
        </w:rPr>
      </w:pPr>
      <w:r>
        <w:rPr>
          <w:b/>
          <w:bCs/>
          <w:sz w:val="18"/>
          <w:szCs w:val="18"/>
        </w:rPr>
        <w:t>Decision on Arrest</w:t>
      </w:r>
      <w:r>
        <w:rPr>
          <w:sz w:val="18"/>
          <w:szCs w:val="18"/>
        </w:rPr>
        <w:t xml:space="preserve">  refers to decision made by people’s procurators office, in accordance with laws, to arrest the suspect(s) in the cases that are accepted and to be investigated by procurators office. This indicator mainly reflects the implementation of the decision on arrest by people’s procurators office. </w:t>
      </w:r>
    </w:p>
    <w:p>
      <w:pPr>
        <w:spacing w:line="330" w:lineRule="exact"/>
        <w:ind w:firstLine="361" w:firstLineChars="200"/>
        <w:rPr>
          <w:sz w:val="18"/>
          <w:szCs w:val="18"/>
        </w:rPr>
      </w:pPr>
      <w:r>
        <w:rPr>
          <w:b/>
          <w:bCs/>
          <w:sz w:val="18"/>
          <w:szCs w:val="18"/>
        </w:rPr>
        <w:t>Approval for Arrest</w:t>
      </w:r>
      <w:r>
        <w:rPr>
          <w:sz w:val="18"/>
          <w:szCs w:val="18"/>
        </w:rPr>
        <w:t xml:space="preserve">  refers to the decision made by people’s procurators office, in accordance with laws and relevant facts, to approve the arrest of the suspect(s) that is proposed by the public security departments, state security departments or authority of prisons. This indicator reflects approved arrests made by people’s procurators office that are proposed by related departments.</w:t>
      </w:r>
    </w:p>
    <w:p>
      <w:pPr>
        <w:spacing w:line="330" w:lineRule="exact"/>
        <w:ind w:firstLine="361" w:firstLineChars="200"/>
        <w:rPr>
          <w:sz w:val="18"/>
          <w:szCs w:val="18"/>
        </w:rPr>
      </w:pPr>
      <w:r>
        <w:rPr>
          <w:b/>
          <w:bCs/>
          <w:sz w:val="18"/>
          <w:szCs w:val="18"/>
        </w:rPr>
        <w:t>Decision on Prosecution</w:t>
      </w:r>
      <w:r>
        <w:rPr>
          <w:sz w:val="18"/>
          <w:szCs w:val="18"/>
        </w:rPr>
        <w:t xml:space="preserve">  refers to the decision made by people’s procurators office, in accordance with laws and relevant facts, to institute proceedings to the people’s court against the suspect(s) of criminal cases handed over by the public security departments, state security departments or authority of prisons, or by the anti-corruption departments within the procurators office. This indicator reflects the condition of the prosecutions made by people’s procurators office toward the people’s court.</w:t>
      </w:r>
    </w:p>
    <w:p>
      <w:pPr>
        <w:spacing w:line="330" w:lineRule="exact"/>
        <w:ind w:firstLine="361" w:firstLineChars="200"/>
        <w:rPr>
          <w:sz w:val="18"/>
          <w:szCs w:val="18"/>
        </w:rPr>
      </w:pPr>
      <w:r>
        <w:rPr>
          <w:b/>
          <w:bCs/>
          <w:sz w:val="18"/>
          <w:szCs w:val="18"/>
        </w:rPr>
        <w:t>Appeals</w:t>
      </w:r>
      <w:r>
        <w:rPr>
          <w:sz w:val="18"/>
          <w:szCs w:val="18"/>
        </w:rPr>
        <w:t xml:space="preserve">  refer to cases transferred to the appeal departments of procurator’s offices after initial review by departments dealing with complaint letters and calls of the public. Included are appeals against decisions made by procurator’s offices and appeals against court rules and verdicts.</w:t>
      </w:r>
    </w:p>
    <w:p>
      <w:pPr>
        <w:spacing w:line="330" w:lineRule="exact"/>
        <w:ind w:firstLine="361" w:firstLineChars="200"/>
        <w:rPr>
          <w:sz w:val="18"/>
          <w:szCs w:val="18"/>
        </w:rPr>
      </w:pPr>
      <w:r>
        <w:rPr>
          <w:b/>
          <w:bCs/>
          <w:sz w:val="18"/>
          <w:szCs w:val="18"/>
        </w:rPr>
        <w:t>Number of Labor Dispute Cases Accepted</w:t>
      </w:r>
      <w:r>
        <w:rPr>
          <w:sz w:val="18"/>
          <w:szCs w:val="18"/>
        </w:rPr>
        <w:t xml:space="preserve">  refers to the number of cases of labor dispute submitted that, after being reviewed by the labor dispute arbitration committees in line with the relevant national regulations, are accepted and registered for treatment.</w:t>
      </w:r>
    </w:p>
    <w:p>
      <w:pPr>
        <w:spacing w:line="330" w:lineRule="exact"/>
        <w:ind w:firstLine="361" w:firstLineChars="200"/>
        <w:rPr>
          <w:b/>
          <w:bCs/>
          <w:sz w:val="18"/>
          <w:szCs w:val="18"/>
        </w:rPr>
      </w:pPr>
      <w:r>
        <w:rPr>
          <w:b/>
          <w:bCs/>
          <w:sz w:val="18"/>
          <w:szCs w:val="18"/>
        </w:rPr>
        <w:t>Basic Pension Insurance</w:t>
      </w:r>
    </w:p>
    <w:p>
      <w:pPr>
        <w:spacing w:line="330" w:lineRule="exact"/>
        <w:ind w:firstLine="360" w:firstLineChars="200"/>
        <w:rPr>
          <w:sz w:val="18"/>
          <w:szCs w:val="18"/>
        </w:rPr>
      </w:pPr>
      <w:r>
        <w:rPr>
          <w:sz w:val="18"/>
          <w:szCs w:val="18"/>
        </w:rPr>
        <w:t>1.Number of staff and workers covered refer to staff and workers participating in basic pension insurance programme in line with national laws, regulations and related policies by the end of reference period, who have already had payment records in social security management agencies, including those who interrupt payment without terminating the insurance programme. Those who have registered in the programme with no payment records are not included.</w:t>
      </w:r>
    </w:p>
    <w:p>
      <w:pPr>
        <w:spacing w:line="330" w:lineRule="exact"/>
        <w:ind w:firstLine="360" w:firstLineChars="200"/>
        <w:rPr>
          <w:sz w:val="18"/>
          <w:szCs w:val="18"/>
        </w:rPr>
      </w:pPr>
      <w:r>
        <w:rPr>
          <w:sz w:val="18"/>
          <w:szCs w:val="18"/>
        </w:rPr>
        <w:t>2. Number of retirees participating in basic pension insurance programme refer to number of retirees participating in basic pension insurance programme by the end of reference period.</w:t>
      </w:r>
    </w:p>
    <w:p>
      <w:pPr>
        <w:spacing w:line="330" w:lineRule="exact"/>
        <w:ind w:firstLine="360" w:firstLineChars="200"/>
        <w:rPr>
          <w:sz w:val="18"/>
          <w:szCs w:val="18"/>
        </w:rPr>
      </w:pPr>
      <w:r>
        <w:rPr>
          <w:sz w:val="18"/>
          <w:szCs w:val="18"/>
        </w:rPr>
        <w:t>3. Revenue of basic pension insurance refer to payments made by employers and individuals participating in pension insurance programs in accordance with the basis and proportion stipulated in state regulations, and income from other sources that become source of pension insurance fund, including the premium paid by employers and staff and works, interest income, subsidies from higher level agencies, income as transfer from subordinate agencies, transferred income, government financial subsidies and other income.</w:t>
      </w:r>
    </w:p>
    <w:p>
      <w:pPr>
        <w:spacing w:line="330" w:lineRule="exact"/>
        <w:ind w:firstLine="360" w:firstLineChars="200"/>
        <w:rPr>
          <w:sz w:val="18"/>
          <w:szCs w:val="18"/>
        </w:rPr>
      </w:pPr>
      <w:r>
        <w:rPr>
          <w:sz w:val="18"/>
          <w:szCs w:val="18"/>
        </w:rPr>
        <w:t>4. Expenses of basic pension insurance  refer to payment made to those retired and resigned people covered in pension insurance program in terms of pension or compensation within the scope and standards of expenditure according to related national policies, and expenditure occurred due to shift of the insurance relationship or adjustment of funds among agencies, including pension for resigned people, pension for retired people, pension for people quitting jobs, various subsidies, medical fees, funeral subsidies, compensation pension, management fees for social security agencies, expenses on subsidies to lower subordinates, expenses as transfer to agencies at higher level, transferred expenditure and other expenditure.</w:t>
      </w:r>
    </w:p>
    <w:p>
      <w:pPr>
        <w:spacing w:line="330" w:lineRule="exact"/>
        <w:ind w:firstLine="360" w:firstLineChars="200"/>
        <w:rPr>
          <w:sz w:val="18"/>
          <w:szCs w:val="18"/>
        </w:rPr>
      </w:pPr>
      <w:r>
        <w:rPr>
          <w:sz w:val="18"/>
          <w:szCs w:val="18"/>
        </w:rPr>
        <w:t>5. Balance of basic pension insurance refers to the balance of basic pension insurance at the end of the reference period after deducting expenses from revenue.</w:t>
      </w:r>
    </w:p>
    <w:p>
      <w:pPr>
        <w:pStyle w:val="13"/>
        <w:snapToGrid w:val="0"/>
        <w:spacing w:line="360" w:lineRule="exact"/>
      </w:pPr>
      <w:r>
        <w:rPr>
          <w:b/>
          <w:bCs/>
          <w:sz w:val="18"/>
          <w:szCs w:val="18"/>
        </w:rPr>
        <w:t>Retired or Resigned Personnel</w:t>
      </w:r>
      <w:r>
        <w:rPr>
          <w:sz w:val="18"/>
          <w:szCs w:val="18"/>
        </w:rPr>
        <w:t xml:space="preserve">  refers to people who have formally completed formalities for their retirement or quitting work and enjoy the corresponding retirement treatments.</w:t>
      </w:r>
      <w:bookmarkStart w:id="0" w:name="_GoBack"/>
      <w:bookmarkEnd w:id="0"/>
    </w:p>
    <w:p>
      <w:p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22</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52</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hint="eastAsia" w:ascii="汉仪书宋一简" w:eastAsia="汉仪书宋一简"/>
                              <w:sz w:val="15"/>
                              <w:szCs w:val="15"/>
                            </w:rPr>
                          </w:pPr>
                          <w:r>
                            <w:rPr>
                              <w:rFonts w:hint="eastAsia" w:ascii="汉仪书宋一简" w:eastAsia="汉仪书宋一简"/>
                              <w:sz w:val="15"/>
                              <w:szCs w:val="15"/>
                            </w:rPr>
                            <w:t>公共管理及其他</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hint="eastAsia" w:ascii="汉仪书宋一简" w:eastAsia="汉仪书宋一简"/>
                        <w:sz w:val="15"/>
                        <w:szCs w:val="15"/>
                      </w:rPr>
                    </w:pPr>
                    <w:r>
                      <w:rPr>
                        <w:rFonts w:hint="eastAsia" w:ascii="汉仪书宋一简" w:eastAsia="汉仪书宋一简"/>
                        <w:sz w:val="15"/>
                        <w:szCs w:val="15"/>
                      </w:rPr>
                      <w:t>公共管理及其他</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General Survey</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General Survey</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8"/>
    <w:rsid w:val="004973FF"/>
    <w:rsid w:val="00551479"/>
    <w:rsid w:val="006B75AD"/>
    <w:rsid w:val="00BA4E86"/>
    <w:rsid w:val="00BF5019"/>
    <w:rsid w:val="00CF2858"/>
    <w:rsid w:val="00F00E53"/>
    <w:rsid w:val="137E2745"/>
    <w:rsid w:val="2CC82985"/>
    <w:rsid w:val="45B75B82"/>
    <w:rsid w:val="4FFD103F"/>
    <w:rsid w:val="782E3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uiPriority w:val="0"/>
    <w:rPr>
      <w:rFonts w:ascii="宋体" w:hAnsi="Courier New" w:cs="Courier New"/>
      <w:szCs w:val="21"/>
    </w:rPr>
  </w:style>
  <w:style w:type="paragraph" w:styleId="3">
    <w:name w:val="footer"/>
    <w:basedOn w:val="1"/>
    <w:link w:val="9"/>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 w:type="character" w:customStyle="1" w:styleId="9">
    <w:name w:val="页脚 Char"/>
    <w:basedOn w:val="7"/>
    <w:link w:val="3"/>
    <w:uiPriority w:val="0"/>
    <w:rPr>
      <w:rFonts w:ascii="Times New Roman" w:hAnsi="Times New Roman" w:eastAsia="宋体" w:cs="Times New Roman"/>
      <w:sz w:val="18"/>
      <w:szCs w:val="18"/>
    </w:rPr>
  </w:style>
  <w:style w:type="character" w:customStyle="1" w:styleId="10">
    <w:name w:val="页眉 Char"/>
    <w:basedOn w:val="7"/>
    <w:link w:val="4"/>
    <w:uiPriority w:val="0"/>
    <w:rPr>
      <w:rFonts w:ascii="Times New Roman" w:hAnsi="Times New Roman" w:eastAsia="宋体" w:cs="Times New Roman"/>
      <w:sz w:val="18"/>
      <w:szCs w:val="18"/>
    </w:rPr>
  </w:style>
  <w:style w:type="character" w:customStyle="1" w:styleId="11">
    <w:name w:val="纯文本 Char"/>
    <w:basedOn w:val="7"/>
    <w:link w:val="2"/>
    <w:uiPriority w:val="0"/>
    <w:rPr>
      <w:rFonts w:ascii="宋体" w:hAnsi="Courier New" w:eastAsia="宋体" w:cs="Courier New"/>
      <w:szCs w:val="21"/>
    </w:rPr>
  </w:style>
  <w:style w:type="paragraph" w:customStyle="1" w:styleId="12">
    <w:name w:val="Ó¢-Ö¸±êÄÚÎÄ"/>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 w:type="paragraph" w:customStyle="1" w:styleId="13">
    <w:name w:val="¨®¡é-?¡Â???¨²??"/>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hAnsi="Times New Roman" w:eastAsia="宋体" w:cs="Times New Roman"/>
      <w:color w:val="000000"/>
      <w:kern w:val="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8</Pages>
  <Words>4005</Words>
  <Characters>22829</Characters>
  <Lines>190</Lines>
  <Paragraphs>53</Paragraphs>
  <TotalTime>1</TotalTime>
  <ScaleCrop>false</ScaleCrop>
  <LinksUpToDate>false</LinksUpToDate>
  <CharactersWithSpaces>26781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2016-08-08T02:06:00Z</dcterms:created>
  <dc:creator>lenovo</dc:creator>
  <cp:lastModifiedBy>Administrator</cp:lastModifiedBy>
  <dcterms:modified xsi:type="dcterms:W3CDTF">2021-09-04T16:18:07Z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F42C56E97E1344BAA138C05ADA2BA897</vt:lpwstr>
  </property>
</Properties>
</file>