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1.xml" ContentType="application/vnd.openxmlformats-officedocument.themeOverride+xml"/>
  <Override PartName="/word/charts/chart6.xml" ContentType="application/vnd.openxmlformats-officedocument.drawingml.chart+xml"/>
  <Override PartName="/word/theme/themeOverride2.xml" ContentType="application/vnd.openxmlformats-officedocument.themeOverride+xml"/>
  <Override PartName="/word/drawings/drawing1.xml" ContentType="application/vnd.openxmlformats-officedocument.drawingml.chartshapes+xml"/>
  <Override PartName="/word/charts/chart7.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8.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9.xml" ContentType="application/vnd.openxmlformats-officedocument.drawingml.chart+xml"/>
  <Override PartName="/word/charts/style8.xml" ContentType="application/vnd.ms-office.chartstyle+xml"/>
  <Override PartName="/word/charts/colors8.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06EA983" w14:textId="77777777" w:rsidR="006D2677" w:rsidRPr="00D82EE2" w:rsidRDefault="00A21C00" w:rsidP="00D82EE2">
      <w:pPr>
        <w:topLinePunct/>
        <w:spacing w:afterLines="50" w:after="156"/>
        <w:jc w:val="center"/>
        <w:rPr>
          <w:rFonts w:eastAsia="宋体" w:cs="Times New Roman"/>
          <w:b/>
          <w:bCs/>
          <w:sz w:val="32"/>
          <w:szCs w:val="32"/>
        </w:rPr>
      </w:pPr>
      <w:r w:rsidRPr="00D82EE2">
        <w:rPr>
          <w:rFonts w:eastAsia="宋体" w:cs="Times New Roman"/>
          <w:b/>
          <w:bCs/>
          <w:sz w:val="32"/>
          <w:szCs w:val="32"/>
        </w:rPr>
        <w:t xml:space="preserve">2020 Statistics </w:t>
      </w:r>
      <w:bookmarkStart w:id="0" w:name="OLE_LINK13"/>
      <w:bookmarkStart w:id="1" w:name="OLE_LINK14"/>
      <w:r w:rsidRPr="00D82EE2">
        <w:rPr>
          <w:rFonts w:eastAsia="宋体" w:cs="Times New Roman"/>
          <w:b/>
          <w:bCs/>
          <w:sz w:val="32"/>
          <w:szCs w:val="32"/>
        </w:rPr>
        <w:t xml:space="preserve">Bulletin </w:t>
      </w:r>
      <w:bookmarkEnd w:id="0"/>
      <w:bookmarkEnd w:id="1"/>
      <w:r w:rsidRPr="00D82EE2">
        <w:rPr>
          <w:rFonts w:eastAsia="宋体" w:cs="Times New Roman"/>
          <w:b/>
          <w:bCs/>
          <w:sz w:val="32"/>
          <w:szCs w:val="32"/>
        </w:rPr>
        <w:t>of the National Economic and Social Development of Hubei Province</w:t>
      </w:r>
    </w:p>
    <w:p w14:paraId="1069EA06" w14:textId="77777777" w:rsidR="006D2677" w:rsidRPr="00D82EE2" w:rsidRDefault="00A21C00" w:rsidP="00D82EE2">
      <w:pPr>
        <w:topLinePunct/>
        <w:snapToGrid w:val="0"/>
        <w:ind w:firstLine="560"/>
        <w:jc w:val="center"/>
        <w:rPr>
          <w:rFonts w:eastAsia="宋体" w:cs="Times New Roman"/>
          <w:bCs/>
          <w:sz w:val="28"/>
          <w:szCs w:val="28"/>
        </w:rPr>
      </w:pPr>
      <w:r w:rsidRPr="00D82EE2">
        <w:rPr>
          <w:rFonts w:eastAsia="宋体" w:cs="Times New Roman"/>
          <w:bCs/>
          <w:sz w:val="28"/>
          <w:szCs w:val="28"/>
        </w:rPr>
        <w:t>Hubei Provincial Bureau of Statistics</w:t>
      </w:r>
      <w:bookmarkStart w:id="2" w:name="_GoBack"/>
      <w:bookmarkEnd w:id="2"/>
    </w:p>
    <w:p w14:paraId="4A439D14" w14:textId="77777777" w:rsidR="006D2677" w:rsidRPr="00D82EE2" w:rsidRDefault="00A21C00" w:rsidP="00D82EE2">
      <w:pPr>
        <w:topLinePunct/>
        <w:snapToGrid w:val="0"/>
        <w:ind w:firstLine="560"/>
        <w:jc w:val="center"/>
        <w:rPr>
          <w:rFonts w:eastAsia="宋体" w:cs="Times New Roman"/>
          <w:bCs/>
          <w:sz w:val="28"/>
          <w:szCs w:val="28"/>
        </w:rPr>
      </w:pPr>
      <w:r w:rsidRPr="00D82EE2">
        <w:rPr>
          <w:rFonts w:eastAsia="宋体" w:cs="Times New Roman"/>
          <w:bCs/>
          <w:sz w:val="28"/>
          <w:szCs w:val="28"/>
        </w:rPr>
        <w:t>Survey Office of the National Bureau of Statistics in Hubei</w:t>
      </w:r>
    </w:p>
    <w:p w14:paraId="1EEDEB40" w14:textId="77777777" w:rsidR="006D2677" w:rsidRDefault="006D2677" w:rsidP="00D82EE2">
      <w:pPr>
        <w:topLinePunct/>
        <w:spacing w:afterLines="50" w:after="156"/>
        <w:ind w:firstLine="480"/>
        <w:rPr>
          <w:rFonts w:ascii="Arial" w:eastAsia="宋体" w:hAnsi="Arial" w:cs="Arial"/>
          <w:sz w:val="24"/>
          <w:szCs w:val="24"/>
        </w:rPr>
      </w:pPr>
    </w:p>
    <w:p w14:paraId="2866A7B4" w14:textId="77777777" w:rsidR="006D2677" w:rsidRPr="00D82EE2" w:rsidRDefault="00A21C00" w:rsidP="00D82EE2">
      <w:pPr>
        <w:ind w:firstLine="360"/>
        <w:rPr>
          <w:szCs w:val="18"/>
        </w:rPr>
      </w:pPr>
      <w:r w:rsidRPr="00D82EE2">
        <w:rPr>
          <w:szCs w:val="18"/>
        </w:rPr>
        <w:t xml:space="preserve">2020 was an extremely extraordinary, extremely difficult and extremely unforgettable year in Hubei’s history since the founding of the People’s Republic of China. Under the strong leadership of the Party Central Committee with Comrade Xi </w:t>
      </w:r>
      <w:proofErr w:type="spellStart"/>
      <w:r w:rsidRPr="00D82EE2">
        <w:rPr>
          <w:szCs w:val="18"/>
        </w:rPr>
        <w:t>Jinping</w:t>
      </w:r>
      <w:proofErr w:type="spellEnd"/>
      <w:r w:rsidRPr="00D82EE2">
        <w:rPr>
          <w:szCs w:val="18"/>
        </w:rPr>
        <w:t xml:space="preserve"> as the core, the whole province united together to overcome difficulties and fight hard battles against the COVID-19 epidemics, floods, and poverty. The province has stabilized the basic economic fundamentals, held the bottom line of people’s livelihood, secured the bottom line of social stability, and won the “double victories” of coordinating the COVID-19 epidemic prevention and control and the economic and social development. The economy throughout the year achieved a recovery trend in the face of huge difficulties and challenges. Hubei had handed over a heroic answer sheet that the people of the whole province are proud of.</w:t>
      </w:r>
    </w:p>
    <w:p w14:paraId="053C79BD" w14:textId="77777777" w:rsidR="006D2677" w:rsidRPr="00D82EE2" w:rsidRDefault="00A21C00" w:rsidP="00D82EE2">
      <w:pPr>
        <w:ind w:firstLine="361"/>
        <w:rPr>
          <w:b/>
          <w:bCs/>
          <w:szCs w:val="18"/>
        </w:rPr>
      </w:pPr>
      <w:r w:rsidRPr="00D82EE2">
        <w:rPr>
          <w:b/>
          <w:bCs/>
          <w:szCs w:val="18"/>
        </w:rPr>
        <w:fldChar w:fldCharType="begin"/>
      </w:r>
      <w:r w:rsidRPr="00D82EE2">
        <w:rPr>
          <w:b/>
          <w:bCs/>
          <w:szCs w:val="18"/>
        </w:rPr>
        <w:instrText xml:space="preserve"> = 1 \* ROMAN </w:instrText>
      </w:r>
      <w:r w:rsidRPr="00D82EE2">
        <w:rPr>
          <w:b/>
          <w:bCs/>
          <w:szCs w:val="18"/>
        </w:rPr>
        <w:fldChar w:fldCharType="separate"/>
      </w:r>
      <w:r w:rsidRPr="00D82EE2">
        <w:rPr>
          <w:b/>
          <w:bCs/>
          <w:szCs w:val="18"/>
        </w:rPr>
        <w:t>I</w:t>
      </w:r>
      <w:r w:rsidRPr="00D82EE2">
        <w:rPr>
          <w:b/>
          <w:bCs/>
          <w:szCs w:val="18"/>
        </w:rPr>
        <w:fldChar w:fldCharType="end"/>
      </w:r>
      <w:r w:rsidRPr="00D82EE2">
        <w:rPr>
          <w:b/>
          <w:bCs/>
          <w:szCs w:val="18"/>
        </w:rPr>
        <w:t xml:space="preserve">. General </w:t>
      </w:r>
    </w:p>
    <w:p w14:paraId="7C16F6DD" w14:textId="77777777" w:rsidR="006D2677" w:rsidRPr="00D82EE2" w:rsidRDefault="00A21C00" w:rsidP="00D82EE2">
      <w:pPr>
        <w:ind w:firstLine="360"/>
        <w:rPr>
          <w:szCs w:val="18"/>
        </w:rPr>
      </w:pPr>
      <w:r w:rsidRPr="00D82EE2">
        <w:rPr>
          <w:szCs w:val="18"/>
        </w:rPr>
        <w:t xml:space="preserve">In 2020, the province saw a GDP of 4,344.346 billion </w:t>
      </w:r>
      <w:proofErr w:type="spellStart"/>
      <w:r w:rsidRPr="00D82EE2">
        <w:rPr>
          <w:szCs w:val="18"/>
        </w:rPr>
        <w:t>yuan</w:t>
      </w:r>
      <w:proofErr w:type="spellEnd"/>
      <w:r w:rsidRPr="00D82EE2">
        <w:rPr>
          <w:szCs w:val="18"/>
        </w:rPr>
        <w:t xml:space="preserve">, a decrease of 5.0% from the previous year. The primary industry saw the added value of 413.191 billion </w:t>
      </w:r>
      <w:proofErr w:type="spellStart"/>
      <w:r w:rsidRPr="00D82EE2">
        <w:rPr>
          <w:szCs w:val="18"/>
        </w:rPr>
        <w:t>yuan</w:t>
      </w:r>
      <w:proofErr w:type="spellEnd"/>
      <w:r w:rsidRPr="00D82EE2">
        <w:rPr>
          <w:szCs w:val="18"/>
        </w:rPr>
        <w:t xml:space="preserve">, which was basically the same as the previous year at constant prices; the secondary industry saw the added value of 1702.390 billion </w:t>
      </w:r>
      <w:proofErr w:type="spellStart"/>
      <w:r w:rsidRPr="00D82EE2">
        <w:rPr>
          <w:szCs w:val="18"/>
        </w:rPr>
        <w:t>yuan</w:t>
      </w:r>
      <w:proofErr w:type="spellEnd"/>
      <w:r w:rsidRPr="00D82EE2">
        <w:rPr>
          <w:szCs w:val="18"/>
        </w:rPr>
        <w:t xml:space="preserve">, a decrease of 7.4%; the tertiary industry saw the added value of 2,228.765 billion </w:t>
      </w:r>
      <w:proofErr w:type="spellStart"/>
      <w:r w:rsidRPr="00D82EE2">
        <w:rPr>
          <w:szCs w:val="18"/>
        </w:rPr>
        <w:t>yuan</w:t>
      </w:r>
      <w:proofErr w:type="spellEnd"/>
      <w:r w:rsidRPr="00D82EE2">
        <w:rPr>
          <w:szCs w:val="18"/>
        </w:rPr>
        <w:t>, a decrease of 3.8%. The structure of the three industries was adjusted from 8.4:41.2:50.4 in 2019 to 9.5:39.2:51.3. In the tertiary industry, the added value of the financial industry and other service industries increased by 6.3% and 3.2%, respectively. The added value of transportation, storage and postal industry, wholesale and retail industry, accommodation and catering industry, and real estate industry decreased by 16.5%, 12.1%, 23.7%, and 8.7%, respectively.</w:t>
      </w:r>
    </w:p>
    <w:p w14:paraId="180966C3" w14:textId="77777777" w:rsidR="006D2677" w:rsidRDefault="00A21C00" w:rsidP="00D82EE2">
      <w:pPr>
        <w:topLinePunct/>
        <w:spacing w:beforeLines="50" w:before="156"/>
        <w:ind w:firstLine="360"/>
        <w:jc w:val="center"/>
      </w:pPr>
      <w:r>
        <w:rPr>
          <w:noProof/>
        </w:rPr>
        <w:drawing>
          <wp:inline distT="0" distB="0" distL="114300" distR="114300" wp14:anchorId="24EE76C3" wp14:editId="76CAC82F">
            <wp:extent cx="6103620" cy="2578100"/>
            <wp:effectExtent l="0" t="0" r="0" b="0"/>
            <wp:docPr id="13"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3BB7FEA9" w14:textId="77777777" w:rsidR="006D2677" w:rsidRDefault="00A21C00" w:rsidP="00D82EE2">
      <w:pPr>
        <w:topLinePunct/>
        <w:spacing w:beforeLines="50" w:before="156"/>
        <w:ind w:firstLine="442"/>
        <w:jc w:val="center"/>
        <w:rPr>
          <w:rFonts w:ascii="Arial" w:eastAsia="宋体" w:hAnsi="Arial" w:cs="Arial"/>
          <w:b/>
          <w:bCs/>
          <w:sz w:val="22"/>
        </w:rPr>
      </w:pPr>
      <w:r>
        <w:rPr>
          <w:rFonts w:ascii="Arial" w:eastAsia="宋体" w:hAnsi="Arial" w:cs="Arial"/>
          <w:b/>
          <w:bCs/>
          <w:sz w:val="22"/>
        </w:rPr>
        <w:t>Figure 1 Hubei GDP and Growth Rates from 2016-2020</w:t>
      </w:r>
    </w:p>
    <w:p w14:paraId="1CB17F99" w14:textId="77777777" w:rsidR="006D2677" w:rsidRDefault="006D2677" w:rsidP="00D82EE2">
      <w:pPr>
        <w:topLinePunct/>
        <w:spacing w:beforeLines="50" w:before="156"/>
        <w:ind w:firstLine="480"/>
        <w:jc w:val="center"/>
        <w:rPr>
          <w:rFonts w:eastAsia="宋体" w:cs="Times New Roman"/>
          <w:sz w:val="24"/>
          <w:szCs w:val="24"/>
        </w:rPr>
      </w:pPr>
    </w:p>
    <w:p w14:paraId="6078E121" w14:textId="77777777" w:rsidR="006D2677" w:rsidRPr="00D82EE2" w:rsidRDefault="00A21C00" w:rsidP="00D82EE2">
      <w:pPr>
        <w:ind w:firstLine="360"/>
        <w:rPr>
          <w:szCs w:val="18"/>
        </w:rPr>
      </w:pPr>
      <w:r w:rsidRPr="00D82EE2">
        <w:rPr>
          <w:szCs w:val="18"/>
        </w:rPr>
        <w:t>The price level remained basically stable. The consumer prices in Hubei rose by 2.7%, 0.4% less than that of the previous year. Within this category, urban consumer price increased by 2.5%, and rural 3.5%. By categories, among the eight categories of commodity, five saw price rises and three saw price falls. Specifically, the prices of food, tobacco and wine rose by 9.3%, clothing fell by 0.3%, residence fell by 0.8%, articles of daily use and services rose by 0.1%, traffic and communication fell by 3.5%, education, culture and entertainment rose by 0.9%, medical care rose by 2.2%, and other articles for use and services rose by 4.8%. In Hubei, the producer price for industrial producers fell by 0.9% and the purchase price for industrial producers fell by 1.6%.</w:t>
      </w:r>
    </w:p>
    <w:p w14:paraId="186192F2" w14:textId="77777777" w:rsidR="006D2677" w:rsidRPr="00D82EE2" w:rsidRDefault="00A21C00" w:rsidP="00D82EE2">
      <w:pPr>
        <w:ind w:firstLine="360"/>
        <w:rPr>
          <w:szCs w:val="18"/>
        </w:rPr>
      </w:pPr>
      <w:r w:rsidRPr="00D82EE2">
        <w:rPr>
          <w:szCs w:val="18"/>
        </w:rPr>
        <w:lastRenderedPageBreak/>
        <w:t>Market entities kept development. The whole province saw 731,000 newly registered market entities, including 226,200 newly registered private enterprises and 491,300 newly registered individual businesses.</w:t>
      </w:r>
    </w:p>
    <w:p w14:paraId="724F0D3A" w14:textId="77777777" w:rsidR="006D2677" w:rsidRPr="00D82EE2" w:rsidRDefault="00A21C00" w:rsidP="00D82EE2">
      <w:pPr>
        <w:ind w:firstLine="360"/>
        <w:rPr>
          <w:szCs w:val="18"/>
        </w:rPr>
      </w:pPr>
      <w:r w:rsidRPr="00D82EE2">
        <w:rPr>
          <w:szCs w:val="18"/>
        </w:rPr>
        <w:t>Employment remained stable. A total of 751,800 new urban jobs were created, exceeding the annual target. The registered urban unemployment rate was 3.35% at the end of the year.</w:t>
      </w:r>
    </w:p>
    <w:p w14:paraId="5DBB5691" w14:textId="77777777" w:rsidR="006D2677" w:rsidRDefault="00A21C00" w:rsidP="00D82EE2">
      <w:pPr>
        <w:topLinePunct/>
        <w:spacing w:beforeLines="50" w:before="156"/>
        <w:ind w:firstLine="360"/>
        <w:jc w:val="center"/>
        <w:rPr>
          <w:rFonts w:ascii="Arial" w:eastAsia="宋体" w:hAnsi="Arial" w:cs="Arial"/>
          <w:b/>
          <w:bCs/>
          <w:sz w:val="22"/>
        </w:rPr>
      </w:pPr>
      <w:r>
        <w:rPr>
          <w:noProof/>
        </w:rPr>
        <w:drawing>
          <wp:inline distT="0" distB="0" distL="114300" distR="114300" wp14:anchorId="4C9AB222" wp14:editId="65B08D5A">
            <wp:extent cx="5486400" cy="2865120"/>
            <wp:effectExtent l="0" t="0" r="0" b="11430"/>
            <wp:docPr id="14"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6F4D31C" w14:textId="77777777" w:rsidR="006D2677" w:rsidRDefault="00A21C00" w:rsidP="00D82EE2">
      <w:pPr>
        <w:topLinePunct/>
        <w:spacing w:beforeLines="50" w:before="156"/>
        <w:ind w:firstLine="442"/>
        <w:jc w:val="center"/>
        <w:rPr>
          <w:rFonts w:ascii="Arial" w:eastAsia="宋体" w:hAnsi="Arial" w:cs="Arial"/>
          <w:b/>
          <w:bCs/>
          <w:sz w:val="22"/>
        </w:rPr>
      </w:pPr>
      <w:r>
        <w:rPr>
          <w:rFonts w:ascii="Arial" w:eastAsia="宋体" w:hAnsi="Arial" w:cs="Arial"/>
          <w:b/>
          <w:bCs/>
          <w:sz w:val="22"/>
        </w:rPr>
        <w:t>Figure 2 New Urban Jobs of Hubei for 2016-2020</w:t>
      </w:r>
    </w:p>
    <w:p w14:paraId="2953E298" w14:textId="77777777" w:rsidR="006D2677" w:rsidRDefault="006D2677" w:rsidP="00D82EE2">
      <w:pPr>
        <w:topLinePunct/>
        <w:spacing w:beforeLines="50" w:before="156"/>
        <w:ind w:firstLine="442"/>
        <w:jc w:val="center"/>
        <w:rPr>
          <w:rFonts w:ascii="Arial" w:eastAsia="宋体" w:hAnsi="Arial" w:cs="Arial"/>
          <w:b/>
          <w:bCs/>
          <w:sz w:val="22"/>
        </w:rPr>
      </w:pPr>
    </w:p>
    <w:p w14:paraId="122899CB" w14:textId="77777777" w:rsidR="006D2677" w:rsidRPr="00D82EE2" w:rsidRDefault="00A21C00" w:rsidP="00D82EE2">
      <w:pPr>
        <w:topLinePunct/>
        <w:ind w:firstLine="360"/>
        <w:rPr>
          <w:rFonts w:eastAsia="宋体" w:cs="Times New Roman"/>
          <w:szCs w:val="18"/>
        </w:rPr>
      </w:pPr>
      <w:r w:rsidRPr="00D82EE2">
        <w:rPr>
          <w:rFonts w:eastAsia="宋体" w:cs="Times New Roman"/>
          <w:szCs w:val="18"/>
        </w:rPr>
        <w:t xml:space="preserve">Labor productivity remained steady. The overall labor productivity of the whole province was 121,900 </w:t>
      </w:r>
      <w:proofErr w:type="spellStart"/>
      <w:r w:rsidRPr="00D82EE2">
        <w:rPr>
          <w:rFonts w:eastAsia="宋体" w:cs="Times New Roman"/>
          <w:szCs w:val="18"/>
        </w:rPr>
        <w:t>yuan</w:t>
      </w:r>
      <w:proofErr w:type="spellEnd"/>
      <w:r w:rsidRPr="00D82EE2">
        <w:rPr>
          <w:rFonts w:eastAsia="宋体" w:cs="Times New Roman"/>
          <w:szCs w:val="18"/>
        </w:rPr>
        <w:t>/person, a decrease of 5.2% compared with the previous year.</w:t>
      </w:r>
    </w:p>
    <w:p w14:paraId="3AA0B98B" w14:textId="77777777" w:rsidR="006D2677" w:rsidRPr="00D82EE2" w:rsidRDefault="00A21C00" w:rsidP="00D82EE2">
      <w:pPr>
        <w:topLinePunct/>
        <w:ind w:firstLine="360"/>
        <w:rPr>
          <w:rFonts w:eastAsia="宋体" w:cs="Times New Roman"/>
          <w:szCs w:val="18"/>
        </w:rPr>
      </w:pPr>
      <w:r w:rsidRPr="00D82EE2">
        <w:rPr>
          <w:rFonts w:eastAsia="宋体" w:cs="Times New Roman"/>
          <w:szCs w:val="18"/>
        </w:rPr>
        <w:t xml:space="preserve">Significant progress has been made in the decisive efforts to poverty alleviation. According to the national poverty line of 2,300 </w:t>
      </w:r>
      <w:proofErr w:type="spellStart"/>
      <w:r w:rsidRPr="00D82EE2">
        <w:rPr>
          <w:rFonts w:eastAsia="宋体" w:cs="Times New Roman"/>
          <w:szCs w:val="18"/>
        </w:rPr>
        <w:t>yuan</w:t>
      </w:r>
      <w:proofErr w:type="spellEnd"/>
      <w:r w:rsidRPr="00D82EE2">
        <w:rPr>
          <w:rFonts w:eastAsia="宋体" w:cs="Times New Roman"/>
          <w:szCs w:val="18"/>
        </w:rPr>
        <w:t xml:space="preserve"> per person per year (at constant price as 2010), the remaining 58,000 poor people were all lifted out of poverty, and all poverty-stricken counties were removed from poverty. Absolute poverty had been eliminated on a historic basis. The per capita disposable income of rural residents in poor areas was 13,075 </w:t>
      </w:r>
      <w:proofErr w:type="spellStart"/>
      <w:r w:rsidRPr="00D82EE2">
        <w:rPr>
          <w:rFonts w:eastAsia="宋体" w:cs="Times New Roman"/>
          <w:szCs w:val="18"/>
        </w:rPr>
        <w:t>yuan</w:t>
      </w:r>
      <w:proofErr w:type="spellEnd"/>
      <w:r w:rsidRPr="00D82EE2">
        <w:rPr>
          <w:rFonts w:eastAsia="宋体" w:cs="Times New Roman"/>
          <w:szCs w:val="18"/>
        </w:rPr>
        <w:t>, up 1.6% over the previous year.</w:t>
      </w:r>
    </w:p>
    <w:p w14:paraId="42FAD732" w14:textId="77777777" w:rsidR="006D2677" w:rsidRDefault="00A21C00" w:rsidP="00D82EE2">
      <w:pPr>
        <w:topLinePunct/>
        <w:spacing w:beforeLines="50" w:before="156" w:afterLines="50" w:after="156"/>
        <w:ind w:firstLineChars="0" w:firstLine="0"/>
        <w:jc w:val="center"/>
      </w:pPr>
      <w:r>
        <w:rPr>
          <w:noProof/>
        </w:rPr>
        <w:drawing>
          <wp:inline distT="0" distB="0" distL="114300" distR="114300" wp14:anchorId="4FC6CAE4" wp14:editId="18627A73">
            <wp:extent cx="6057265" cy="2920365"/>
            <wp:effectExtent l="4445" t="4445" r="15240" b="8890"/>
            <wp:docPr id="15"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C1E80DE" w14:textId="77777777" w:rsidR="006D2677" w:rsidRDefault="00A21C00" w:rsidP="00D82EE2">
      <w:pPr>
        <w:topLinePunct/>
        <w:spacing w:beforeLines="50" w:before="156" w:afterLines="50" w:after="156"/>
        <w:ind w:firstLineChars="0" w:firstLine="0"/>
        <w:jc w:val="center"/>
        <w:rPr>
          <w:rFonts w:ascii="Arial" w:eastAsia="宋体" w:hAnsi="Arial" w:cs="Arial"/>
        </w:rPr>
      </w:pPr>
      <w:r>
        <w:rPr>
          <w:rFonts w:ascii="Arial" w:eastAsia="宋体" w:hAnsi="Arial" w:cs="Arial"/>
          <w:b/>
          <w:sz w:val="24"/>
          <w:szCs w:val="24"/>
        </w:rPr>
        <w:t>Figure 3 Poverty Alleviated Population of Hubei for 2016-2020</w:t>
      </w:r>
    </w:p>
    <w:p w14:paraId="2942871D" w14:textId="77777777" w:rsidR="006D2677" w:rsidRPr="00D82EE2" w:rsidRDefault="00A21C00" w:rsidP="00D82EE2">
      <w:pPr>
        <w:ind w:firstLine="361"/>
        <w:rPr>
          <w:b/>
          <w:bCs/>
          <w:szCs w:val="18"/>
        </w:rPr>
      </w:pPr>
      <w:r w:rsidRPr="00D82EE2">
        <w:rPr>
          <w:b/>
          <w:bCs/>
          <w:szCs w:val="18"/>
        </w:rPr>
        <w:lastRenderedPageBreak/>
        <w:fldChar w:fldCharType="begin"/>
      </w:r>
      <w:r w:rsidRPr="00D82EE2">
        <w:rPr>
          <w:b/>
          <w:bCs/>
          <w:szCs w:val="18"/>
        </w:rPr>
        <w:instrText xml:space="preserve"> = 2 \* ROMAN </w:instrText>
      </w:r>
      <w:r w:rsidRPr="00D82EE2">
        <w:rPr>
          <w:b/>
          <w:bCs/>
          <w:szCs w:val="18"/>
        </w:rPr>
        <w:fldChar w:fldCharType="separate"/>
      </w:r>
      <w:r w:rsidRPr="00D82EE2">
        <w:rPr>
          <w:b/>
          <w:bCs/>
          <w:szCs w:val="18"/>
        </w:rPr>
        <w:t>II</w:t>
      </w:r>
      <w:r w:rsidRPr="00D82EE2">
        <w:rPr>
          <w:b/>
          <w:bCs/>
          <w:szCs w:val="18"/>
        </w:rPr>
        <w:fldChar w:fldCharType="end"/>
      </w:r>
      <w:r w:rsidRPr="00D82EE2">
        <w:rPr>
          <w:b/>
          <w:bCs/>
          <w:szCs w:val="18"/>
        </w:rPr>
        <w:t>. Agriculture</w:t>
      </w:r>
    </w:p>
    <w:p w14:paraId="78461B6E" w14:textId="77777777" w:rsidR="006D2677" w:rsidRPr="00D82EE2" w:rsidRDefault="00A21C00" w:rsidP="00D82EE2">
      <w:pPr>
        <w:ind w:firstLine="360"/>
      </w:pPr>
      <w:r w:rsidRPr="00D82EE2">
        <w:t xml:space="preserve">The added value of agriculture, forestry, animal husbandry and fishery was 435.869 billion </w:t>
      </w:r>
      <w:proofErr w:type="spellStart"/>
      <w:r w:rsidRPr="00D82EE2">
        <w:t>yuan</w:t>
      </w:r>
      <w:proofErr w:type="spellEnd"/>
      <w:r w:rsidRPr="00D82EE2">
        <w:t>, an increase of 0.3% over the previous year, calculated at comparable prices.</w:t>
      </w:r>
    </w:p>
    <w:p w14:paraId="34973822" w14:textId="77777777" w:rsidR="006D2677" w:rsidRPr="00D82EE2" w:rsidRDefault="00A21C00" w:rsidP="00D82EE2">
      <w:pPr>
        <w:ind w:firstLine="360"/>
      </w:pPr>
      <w:r w:rsidRPr="00D82EE2">
        <w:t xml:space="preserve">Grain production capacity remained stable. The total grain output of the province was 27.2743 million tons, up 0.1%, maintaining an output of above 25 million tons (50 billion </w:t>
      </w:r>
      <w:proofErr w:type="spellStart"/>
      <w:proofErr w:type="gramStart"/>
      <w:r w:rsidRPr="00D82EE2">
        <w:t>jin</w:t>
      </w:r>
      <w:proofErr w:type="spellEnd"/>
      <w:proofErr w:type="gramEnd"/>
      <w:r w:rsidRPr="00D82EE2">
        <w:t>) for 8 consecutive years. The planted area was 4645.27 thousand hectares, up 0.8%.</w:t>
      </w:r>
    </w:p>
    <w:p w14:paraId="28513CDB" w14:textId="77777777" w:rsidR="006D2677" w:rsidRDefault="00A21C00">
      <w:pPr>
        <w:topLinePunct/>
        <w:spacing w:beforeLines="50" w:before="156" w:afterLines="50" w:after="156"/>
        <w:ind w:firstLine="360"/>
        <w:jc w:val="center"/>
        <w:rPr>
          <w:rFonts w:ascii="Arial" w:eastAsia="宋体" w:hAnsi="Arial" w:cs="Arial"/>
          <w:b/>
          <w:sz w:val="24"/>
          <w:szCs w:val="24"/>
        </w:rPr>
      </w:pPr>
      <w:r>
        <w:rPr>
          <w:noProof/>
        </w:rPr>
        <w:drawing>
          <wp:inline distT="0" distB="0" distL="114300" distR="114300" wp14:anchorId="1089949E" wp14:editId="091727BA">
            <wp:extent cx="5821680" cy="2893060"/>
            <wp:effectExtent l="4445" t="4445" r="22225" b="17145"/>
            <wp:docPr id="2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F98627E" w14:textId="77777777" w:rsidR="006D2677" w:rsidRDefault="00A21C00" w:rsidP="00D82EE2">
      <w:pPr>
        <w:topLinePunct/>
        <w:spacing w:beforeLines="50" w:before="156" w:afterLines="50" w:after="156"/>
        <w:ind w:firstLine="482"/>
        <w:jc w:val="center"/>
        <w:rPr>
          <w:rFonts w:ascii="Arial" w:eastAsia="宋体" w:hAnsi="Arial" w:cs="Arial"/>
        </w:rPr>
      </w:pPr>
      <w:r>
        <w:rPr>
          <w:rFonts w:ascii="Arial" w:eastAsia="宋体" w:hAnsi="Arial" w:cs="Arial"/>
          <w:b/>
          <w:sz w:val="24"/>
          <w:szCs w:val="24"/>
        </w:rPr>
        <w:t>Figure 4 Grain Output of Hubei for 2016-2020</w:t>
      </w:r>
    </w:p>
    <w:p w14:paraId="240759CF" w14:textId="77777777" w:rsidR="006D2677" w:rsidRPr="00D82EE2" w:rsidRDefault="00A21C00" w:rsidP="00D82EE2">
      <w:pPr>
        <w:ind w:firstLine="360"/>
        <w:rPr>
          <w:szCs w:val="18"/>
        </w:rPr>
      </w:pPr>
      <w:r w:rsidRPr="00D82EE2">
        <w:rPr>
          <w:szCs w:val="18"/>
        </w:rPr>
        <w:t>Economic crops with distinctive advantages maintained growth. The output of oil plants was 3,444,500 tons, an increase of 9.7%; the output of tea was 360,800 tons, an increase of 2.4%; the output of garden fruits was 7,163,800 tons, an increase of 8.4%.</w:t>
      </w:r>
    </w:p>
    <w:p w14:paraId="490D3277" w14:textId="77777777" w:rsidR="006D2677" w:rsidRPr="00D82EE2" w:rsidRDefault="00A21C00" w:rsidP="00D82EE2">
      <w:pPr>
        <w:ind w:firstLine="360"/>
        <w:rPr>
          <w:szCs w:val="18"/>
        </w:rPr>
      </w:pPr>
      <w:r w:rsidRPr="00D82EE2">
        <w:rPr>
          <w:szCs w:val="18"/>
        </w:rPr>
        <w:t>Livestock production declined, and poultry breeding remained stable. The slaughter of pigs was 26,311,200, a decrease of 17.5%; the slaughter of cattle was 1,019,600, a decrease of 6.9%; the slaughter of sheep was 5,326,800, a decrease of 13.5%; the slaughter of poultry was 593.2584 million, a decrease of 0.1%; the output of poultry eggs was 1,930,900 tons, an increase of 8.0%.</w:t>
      </w:r>
    </w:p>
    <w:p w14:paraId="1A55D806" w14:textId="77777777" w:rsidR="006D2677" w:rsidRPr="00D82EE2" w:rsidRDefault="00A21C00" w:rsidP="00D82EE2">
      <w:pPr>
        <w:ind w:firstLine="360"/>
        <w:rPr>
          <w:szCs w:val="18"/>
        </w:rPr>
      </w:pPr>
      <w:r w:rsidRPr="00D82EE2">
        <w:rPr>
          <w:szCs w:val="18"/>
        </w:rPr>
        <w:t>The production of aquatic products remained stable, and fishery production remained basically the same. The total output of aquatic products was 4,678,800 tons, a slight decrease of 0.4%.</w:t>
      </w:r>
    </w:p>
    <w:p w14:paraId="6A4D1B05" w14:textId="77777777" w:rsidR="006D2677" w:rsidRDefault="006D2677" w:rsidP="00D82EE2">
      <w:pPr>
        <w:topLinePunct/>
        <w:ind w:firstLine="482"/>
        <w:jc w:val="center"/>
        <w:rPr>
          <w:rFonts w:ascii="Arial" w:eastAsia="宋体" w:hAnsi="Arial" w:cs="Arial"/>
          <w:b/>
          <w:sz w:val="24"/>
          <w:szCs w:val="24"/>
        </w:rPr>
      </w:pPr>
    </w:p>
    <w:p w14:paraId="2B127B8A" w14:textId="77777777" w:rsidR="006D2677" w:rsidRDefault="00A21C00" w:rsidP="00D82EE2">
      <w:pPr>
        <w:topLinePunct/>
        <w:ind w:firstLine="482"/>
        <w:jc w:val="center"/>
        <w:rPr>
          <w:rFonts w:ascii="Arial" w:eastAsia="宋体" w:hAnsi="Arial" w:cs="Arial"/>
          <w:b/>
          <w:sz w:val="24"/>
          <w:szCs w:val="24"/>
        </w:rPr>
      </w:pPr>
      <w:r>
        <w:rPr>
          <w:rFonts w:ascii="Arial" w:eastAsia="宋体" w:hAnsi="Arial" w:cs="Arial"/>
          <w:b/>
          <w:sz w:val="24"/>
          <w:szCs w:val="24"/>
        </w:rPr>
        <w:t>Table 1 Output of Main Agricultural Products of Hubei in 2020</w:t>
      </w:r>
    </w:p>
    <w:p w14:paraId="7F1A261C" w14:textId="77777777" w:rsidR="006D2677" w:rsidRPr="00D82EE2" w:rsidRDefault="00A21C00" w:rsidP="00D82EE2">
      <w:pPr>
        <w:topLinePunct/>
        <w:ind w:firstLine="361"/>
        <w:jc w:val="right"/>
        <w:rPr>
          <w:rFonts w:ascii="Arial" w:eastAsia="宋体" w:hAnsi="Arial" w:cs="Arial"/>
          <w:b/>
          <w:szCs w:val="18"/>
        </w:rPr>
      </w:pPr>
      <w:r w:rsidRPr="00D82EE2">
        <w:rPr>
          <w:rFonts w:ascii="Arial" w:eastAsia="宋体" w:hAnsi="Arial" w:cs="Arial"/>
          <w:b/>
          <w:szCs w:val="18"/>
        </w:rPr>
        <w:t>Unit: 10,000 tons</w:t>
      </w:r>
    </w:p>
    <w:tbl>
      <w:tblPr>
        <w:tblStyle w:val="a9"/>
        <w:tblW w:w="5000" w:type="pct"/>
        <w:tblBorders>
          <w:left w:val="none" w:sz="0" w:space="0" w:color="auto"/>
          <w:right w:val="none" w:sz="0" w:space="0" w:color="auto"/>
        </w:tblBorders>
        <w:tblLook w:val="04A0" w:firstRow="1" w:lastRow="0" w:firstColumn="1" w:lastColumn="0" w:noHBand="0" w:noVBand="1"/>
      </w:tblPr>
      <w:tblGrid>
        <w:gridCol w:w="4140"/>
        <w:gridCol w:w="2429"/>
        <w:gridCol w:w="3285"/>
      </w:tblGrid>
      <w:tr w:rsidR="006D2677" w14:paraId="3F627EDA" w14:textId="77777777" w:rsidTr="00D82EE2">
        <w:trPr>
          <w:trHeight w:val="258"/>
        </w:trPr>
        <w:tc>
          <w:tcPr>
            <w:tcW w:w="2100" w:type="pct"/>
          </w:tcPr>
          <w:p w14:paraId="2934FD3B" w14:textId="77777777" w:rsidR="006D2677" w:rsidRPr="00D82EE2" w:rsidRDefault="00A21C00" w:rsidP="00D82EE2">
            <w:pPr>
              <w:topLinePunct/>
              <w:ind w:firstLine="360"/>
              <w:rPr>
                <w:rFonts w:eastAsia="宋体" w:cs="Times New Roman"/>
                <w:szCs w:val="18"/>
              </w:rPr>
            </w:pPr>
            <w:r w:rsidRPr="00D82EE2">
              <w:rPr>
                <w:rFonts w:eastAsia="宋体" w:cs="Times New Roman"/>
                <w:szCs w:val="18"/>
              </w:rPr>
              <w:t>Product</w:t>
            </w:r>
          </w:p>
        </w:tc>
        <w:tc>
          <w:tcPr>
            <w:tcW w:w="1232" w:type="pct"/>
          </w:tcPr>
          <w:p w14:paraId="70E37A0D" w14:textId="77777777" w:rsidR="006D2677" w:rsidRPr="00D82EE2" w:rsidRDefault="00A21C00" w:rsidP="00D82EE2">
            <w:pPr>
              <w:topLinePunct/>
              <w:ind w:firstLine="360"/>
              <w:rPr>
                <w:rFonts w:eastAsia="宋体" w:cs="Times New Roman"/>
                <w:szCs w:val="18"/>
              </w:rPr>
            </w:pPr>
            <w:r w:rsidRPr="00D82EE2">
              <w:rPr>
                <w:rFonts w:eastAsia="宋体" w:cs="Times New Roman"/>
                <w:szCs w:val="18"/>
              </w:rPr>
              <w:t>Output</w:t>
            </w:r>
          </w:p>
        </w:tc>
        <w:tc>
          <w:tcPr>
            <w:tcW w:w="1667" w:type="pct"/>
          </w:tcPr>
          <w:p w14:paraId="61CE38B6" w14:textId="77777777" w:rsidR="006D2677" w:rsidRPr="00D82EE2" w:rsidRDefault="00A21C00" w:rsidP="00D82EE2">
            <w:pPr>
              <w:topLinePunct/>
              <w:ind w:firstLine="360"/>
              <w:rPr>
                <w:rFonts w:eastAsia="宋体" w:cs="Times New Roman"/>
                <w:szCs w:val="18"/>
              </w:rPr>
            </w:pPr>
            <w:proofErr w:type="spellStart"/>
            <w:r w:rsidRPr="00D82EE2">
              <w:rPr>
                <w:rFonts w:eastAsia="宋体" w:cs="Times New Roman"/>
                <w:szCs w:val="18"/>
              </w:rPr>
              <w:t>YoY</w:t>
            </w:r>
            <w:proofErr w:type="spellEnd"/>
            <w:r w:rsidRPr="00D82EE2">
              <w:rPr>
                <w:rFonts w:eastAsia="宋体" w:cs="Times New Roman"/>
                <w:szCs w:val="18"/>
              </w:rPr>
              <w:t xml:space="preserve"> Growth Rate (%)</w:t>
            </w:r>
          </w:p>
        </w:tc>
      </w:tr>
      <w:tr w:rsidR="006D2677" w14:paraId="72DBF815" w14:textId="77777777" w:rsidTr="00D82EE2">
        <w:trPr>
          <w:trHeight w:val="2090"/>
        </w:trPr>
        <w:tc>
          <w:tcPr>
            <w:tcW w:w="2100" w:type="pct"/>
          </w:tcPr>
          <w:p w14:paraId="40A937C7" w14:textId="77777777" w:rsidR="006D2677" w:rsidRPr="00D82EE2" w:rsidRDefault="00A21C00" w:rsidP="00D82EE2">
            <w:pPr>
              <w:topLinePunct/>
              <w:ind w:firstLine="360"/>
              <w:rPr>
                <w:rFonts w:eastAsia="宋体" w:cs="Times New Roman"/>
                <w:szCs w:val="18"/>
              </w:rPr>
            </w:pPr>
            <w:r w:rsidRPr="00D82EE2">
              <w:rPr>
                <w:rFonts w:eastAsia="宋体" w:cs="Times New Roman"/>
                <w:szCs w:val="18"/>
              </w:rPr>
              <w:t>Grain</w:t>
            </w:r>
          </w:p>
          <w:p w14:paraId="36CDAB2E" w14:textId="77777777" w:rsidR="006D2677" w:rsidRPr="00D82EE2" w:rsidRDefault="00A21C00" w:rsidP="00D82EE2">
            <w:pPr>
              <w:topLinePunct/>
              <w:ind w:firstLine="360"/>
              <w:rPr>
                <w:rFonts w:eastAsia="宋体" w:cs="Times New Roman"/>
                <w:szCs w:val="18"/>
              </w:rPr>
            </w:pPr>
            <w:r w:rsidRPr="00D82EE2">
              <w:rPr>
                <w:rFonts w:eastAsia="宋体" w:cs="Times New Roman"/>
                <w:szCs w:val="18"/>
              </w:rPr>
              <w:t>Cotton</w:t>
            </w:r>
          </w:p>
          <w:p w14:paraId="0B2CCE0B" w14:textId="77777777" w:rsidR="006D2677" w:rsidRPr="00D82EE2" w:rsidRDefault="00A21C00" w:rsidP="00D82EE2">
            <w:pPr>
              <w:topLinePunct/>
              <w:ind w:firstLine="360"/>
              <w:rPr>
                <w:rFonts w:eastAsia="宋体" w:cs="Times New Roman"/>
                <w:szCs w:val="18"/>
              </w:rPr>
            </w:pPr>
            <w:bookmarkStart w:id="3" w:name="OLE_LINK26"/>
            <w:bookmarkStart w:id="4" w:name="OLE_LINK25"/>
            <w:r w:rsidRPr="00D82EE2">
              <w:rPr>
                <w:rFonts w:eastAsia="宋体" w:cs="Times New Roman"/>
                <w:szCs w:val="18"/>
              </w:rPr>
              <w:t>Oil</w:t>
            </w:r>
          </w:p>
          <w:bookmarkEnd w:id="3"/>
          <w:bookmarkEnd w:id="4"/>
          <w:p w14:paraId="50E936AA" w14:textId="77777777" w:rsidR="006D2677" w:rsidRPr="00D82EE2" w:rsidRDefault="00A21C00" w:rsidP="00D82EE2">
            <w:pPr>
              <w:topLinePunct/>
              <w:ind w:firstLineChars="300" w:firstLine="540"/>
              <w:rPr>
                <w:rFonts w:eastAsia="宋体" w:cs="Times New Roman"/>
                <w:szCs w:val="18"/>
              </w:rPr>
            </w:pPr>
            <w:r w:rsidRPr="00D82EE2">
              <w:rPr>
                <w:rFonts w:eastAsia="宋体" w:cs="Times New Roman"/>
                <w:szCs w:val="18"/>
              </w:rPr>
              <w:t>#Rapeseed</w:t>
            </w:r>
          </w:p>
          <w:p w14:paraId="1DE2FA37" w14:textId="77777777" w:rsidR="006D2677" w:rsidRPr="00D82EE2" w:rsidRDefault="00A21C00" w:rsidP="00D82EE2">
            <w:pPr>
              <w:topLinePunct/>
              <w:ind w:firstLine="360"/>
              <w:rPr>
                <w:rFonts w:eastAsia="宋体" w:cs="Times New Roman"/>
                <w:szCs w:val="18"/>
              </w:rPr>
            </w:pPr>
            <w:r w:rsidRPr="00D82EE2">
              <w:rPr>
                <w:rFonts w:eastAsia="宋体" w:cs="Times New Roman"/>
                <w:szCs w:val="18"/>
              </w:rPr>
              <w:t>Tea</w:t>
            </w:r>
          </w:p>
          <w:p w14:paraId="27A5DD62" w14:textId="77777777" w:rsidR="006D2677" w:rsidRPr="00D82EE2" w:rsidRDefault="00A21C00" w:rsidP="00D82EE2">
            <w:pPr>
              <w:topLinePunct/>
              <w:ind w:firstLine="360"/>
              <w:rPr>
                <w:rFonts w:eastAsia="宋体" w:cs="Times New Roman"/>
                <w:szCs w:val="18"/>
              </w:rPr>
            </w:pPr>
            <w:r w:rsidRPr="00D82EE2">
              <w:rPr>
                <w:rFonts w:eastAsia="宋体" w:cs="Times New Roman"/>
                <w:szCs w:val="18"/>
              </w:rPr>
              <w:t>Garden fruits (excluding melons)</w:t>
            </w:r>
          </w:p>
          <w:p w14:paraId="212AC46E" w14:textId="77777777" w:rsidR="006D2677" w:rsidRPr="00D82EE2" w:rsidRDefault="00A21C00" w:rsidP="00D82EE2">
            <w:pPr>
              <w:topLinePunct/>
              <w:ind w:firstLine="360"/>
              <w:rPr>
                <w:rFonts w:eastAsia="宋体" w:cs="Times New Roman"/>
                <w:szCs w:val="18"/>
              </w:rPr>
            </w:pPr>
            <w:r w:rsidRPr="00D82EE2">
              <w:rPr>
                <w:rFonts w:eastAsia="宋体" w:cs="Times New Roman"/>
                <w:szCs w:val="18"/>
              </w:rPr>
              <w:t>Vegetables and edible fungi</w:t>
            </w:r>
          </w:p>
        </w:tc>
        <w:tc>
          <w:tcPr>
            <w:tcW w:w="1232" w:type="pct"/>
          </w:tcPr>
          <w:p w14:paraId="00BE82E9" w14:textId="77777777" w:rsidR="006D2677" w:rsidRPr="00D82EE2" w:rsidRDefault="00A21C00" w:rsidP="003D2C05">
            <w:pPr>
              <w:topLinePunct/>
              <w:ind w:firstLine="360"/>
              <w:jc w:val="right"/>
              <w:rPr>
                <w:rFonts w:eastAsia="宋体" w:cs="Times New Roman"/>
                <w:szCs w:val="18"/>
              </w:rPr>
            </w:pPr>
            <w:r w:rsidRPr="00D82EE2">
              <w:rPr>
                <w:rFonts w:eastAsia="宋体" w:cs="Times New Roman"/>
                <w:szCs w:val="18"/>
              </w:rPr>
              <w:t>2727.43</w:t>
            </w:r>
          </w:p>
          <w:p w14:paraId="27B0DB0B" w14:textId="77777777" w:rsidR="006D2677" w:rsidRPr="00D82EE2" w:rsidRDefault="00A21C00" w:rsidP="003D2C05">
            <w:pPr>
              <w:topLinePunct/>
              <w:ind w:firstLine="360"/>
              <w:jc w:val="right"/>
              <w:rPr>
                <w:rFonts w:eastAsia="宋体" w:cs="Times New Roman"/>
                <w:szCs w:val="18"/>
              </w:rPr>
            </w:pPr>
            <w:r w:rsidRPr="00D82EE2">
              <w:rPr>
                <w:rFonts w:eastAsia="宋体" w:cs="Times New Roman"/>
                <w:szCs w:val="18"/>
              </w:rPr>
              <w:t>10.79</w:t>
            </w:r>
          </w:p>
          <w:p w14:paraId="46D009E4" w14:textId="77777777" w:rsidR="006D2677" w:rsidRPr="00D82EE2" w:rsidRDefault="00A21C00" w:rsidP="003D2C05">
            <w:pPr>
              <w:topLinePunct/>
              <w:ind w:firstLine="360"/>
              <w:jc w:val="right"/>
              <w:rPr>
                <w:rFonts w:eastAsia="宋体" w:cs="Times New Roman"/>
                <w:szCs w:val="18"/>
              </w:rPr>
            </w:pPr>
            <w:r w:rsidRPr="00D82EE2">
              <w:rPr>
                <w:rFonts w:eastAsia="宋体" w:cs="Times New Roman"/>
                <w:szCs w:val="18"/>
              </w:rPr>
              <w:t>344.45</w:t>
            </w:r>
          </w:p>
          <w:p w14:paraId="36184D74" w14:textId="77777777" w:rsidR="006D2677" w:rsidRPr="00D82EE2" w:rsidRDefault="00A21C00" w:rsidP="003D2C05">
            <w:pPr>
              <w:topLinePunct/>
              <w:ind w:firstLine="360"/>
              <w:jc w:val="right"/>
              <w:rPr>
                <w:rFonts w:eastAsia="宋体" w:cs="Times New Roman"/>
                <w:szCs w:val="18"/>
              </w:rPr>
            </w:pPr>
            <w:r w:rsidRPr="00D82EE2">
              <w:rPr>
                <w:rFonts w:eastAsia="宋体" w:cs="Times New Roman"/>
                <w:szCs w:val="18"/>
              </w:rPr>
              <w:t>241.06</w:t>
            </w:r>
          </w:p>
          <w:p w14:paraId="5D602039" w14:textId="77777777" w:rsidR="006D2677" w:rsidRPr="00D82EE2" w:rsidRDefault="00A21C00" w:rsidP="003D2C05">
            <w:pPr>
              <w:topLinePunct/>
              <w:ind w:firstLine="360"/>
              <w:jc w:val="right"/>
              <w:rPr>
                <w:rFonts w:eastAsia="宋体" w:cs="Times New Roman"/>
                <w:szCs w:val="18"/>
              </w:rPr>
            </w:pPr>
            <w:r w:rsidRPr="00D82EE2">
              <w:rPr>
                <w:rFonts w:eastAsia="宋体" w:cs="Times New Roman"/>
                <w:szCs w:val="18"/>
              </w:rPr>
              <w:t>36.08</w:t>
            </w:r>
          </w:p>
          <w:p w14:paraId="4BC116AE" w14:textId="77777777" w:rsidR="006D2677" w:rsidRPr="00D82EE2" w:rsidRDefault="00A21C00" w:rsidP="003D2C05">
            <w:pPr>
              <w:topLinePunct/>
              <w:ind w:firstLine="360"/>
              <w:jc w:val="right"/>
              <w:rPr>
                <w:rFonts w:eastAsia="宋体" w:cs="Times New Roman"/>
                <w:szCs w:val="18"/>
              </w:rPr>
            </w:pPr>
            <w:r w:rsidRPr="00D82EE2">
              <w:rPr>
                <w:rFonts w:eastAsia="宋体" w:cs="Times New Roman"/>
                <w:szCs w:val="18"/>
              </w:rPr>
              <w:t>716.38</w:t>
            </w:r>
          </w:p>
          <w:p w14:paraId="498FE13C" w14:textId="77777777" w:rsidR="006D2677" w:rsidRPr="00D82EE2" w:rsidRDefault="00A21C00" w:rsidP="003D2C05">
            <w:pPr>
              <w:topLinePunct/>
              <w:ind w:firstLine="360"/>
              <w:jc w:val="right"/>
              <w:rPr>
                <w:rFonts w:eastAsia="宋体" w:cs="Times New Roman"/>
                <w:szCs w:val="18"/>
              </w:rPr>
            </w:pPr>
            <w:r w:rsidRPr="00D82EE2">
              <w:rPr>
                <w:rFonts w:eastAsia="宋体" w:cs="Times New Roman"/>
                <w:szCs w:val="18"/>
              </w:rPr>
              <w:t>4119.37</w:t>
            </w:r>
          </w:p>
        </w:tc>
        <w:tc>
          <w:tcPr>
            <w:tcW w:w="1667" w:type="pct"/>
          </w:tcPr>
          <w:p w14:paraId="2FC09456" w14:textId="77777777" w:rsidR="006D2677" w:rsidRPr="00D82EE2" w:rsidRDefault="00A21C00" w:rsidP="003D2C05">
            <w:pPr>
              <w:topLinePunct/>
              <w:ind w:firstLine="360"/>
              <w:jc w:val="right"/>
              <w:rPr>
                <w:rFonts w:eastAsia="宋体" w:cs="Times New Roman"/>
                <w:szCs w:val="18"/>
              </w:rPr>
            </w:pPr>
            <w:r w:rsidRPr="00D82EE2">
              <w:rPr>
                <w:rFonts w:eastAsia="宋体" w:cs="Times New Roman"/>
                <w:szCs w:val="18"/>
              </w:rPr>
              <w:t>0.1</w:t>
            </w:r>
          </w:p>
          <w:p w14:paraId="0A078368" w14:textId="77777777" w:rsidR="006D2677" w:rsidRPr="00D82EE2" w:rsidRDefault="00A21C00" w:rsidP="003D2C05">
            <w:pPr>
              <w:topLinePunct/>
              <w:ind w:firstLine="360"/>
              <w:jc w:val="right"/>
              <w:rPr>
                <w:rFonts w:eastAsia="宋体" w:cs="Times New Roman"/>
                <w:szCs w:val="18"/>
              </w:rPr>
            </w:pPr>
            <w:r w:rsidRPr="00D82EE2">
              <w:rPr>
                <w:rFonts w:eastAsia="宋体" w:cs="Times New Roman"/>
                <w:szCs w:val="18"/>
              </w:rPr>
              <w:t>-24.9</w:t>
            </w:r>
          </w:p>
          <w:p w14:paraId="5D48F04A" w14:textId="77777777" w:rsidR="006D2677" w:rsidRPr="00D82EE2" w:rsidRDefault="00A21C00" w:rsidP="003D2C05">
            <w:pPr>
              <w:topLinePunct/>
              <w:ind w:firstLine="360"/>
              <w:jc w:val="right"/>
              <w:rPr>
                <w:rFonts w:eastAsia="宋体" w:cs="Times New Roman"/>
                <w:szCs w:val="18"/>
              </w:rPr>
            </w:pPr>
            <w:r w:rsidRPr="00D82EE2">
              <w:rPr>
                <w:rFonts w:eastAsia="宋体" w:cs="Times New Roman"/>
                <w:szCs w:val="18"/>
              </w:rPr>
              <w:t>9.7</w:t>
            </w:r>
          </w:p>
          <w:p w14:paraId="523739F9" w14:textId="77777777" w:rsidR="006D2677" w:rsidRPr="00D82EE2" w:rsidRDefault="00A21C00" w:rsidP="003D2C05">
            <w:pPr>
              <w:topLinePunct/>
              <w:ind w:firstLine="360"/>
              <w:jc w:val="right"/>
              <w:rPr>
                <w:rFonts w:eastAsia="宋体" w:cs="Times New Roman"/>
                <w:szCs w:val="18"/>
              </w:rPr>
            </w:pPr>
            <w:r w:rsidRPr="00D82EE2">
              <w:rPr>
                <w:rFonts w:eastAsia="宋体" w:cs="Times New Roman"/>
                <w:szCs w:val="18"/>
              </w:rPr>
              <w:t>14.1</w:t>
            </w:r>
          </w:p>
          <w:p w14:paraId="2BB7DF4C" w14:textId="77777777" w:rsidR="006D2677" w:rsidRPr="00D82EE2" w:rsidRDefault="00A21C00" w:rsidP="003D2C05">
            <w:pPr>
              <w:topLinePunct/>
              <w:ind w:firstLine="360"/>
              <w:jc w:val="right"/>
              <w:rPr>
                <w:rFonts w:eastAsia="宋体" w:cs="Times New Roman"/>
                <w:szCs w:val="18"/>
              </w:rPr>
            </w:pPr>
            <w:r w:rsidRPr="00D82EE2">
              <w:rPr>
                <w:rFonts w:eastAsia="宋体" w:cs="Times New Roman"/>
                <w:szCs w:val="18"/>
              </w:rPr>
              <w:t>2.4</w:t>
            </w:r>
          </w:p>
          <w:p w14:paraId="47FE3848" w14:textId="77777777" w:rsidR="006D2677" w:rsidRPr="00D82EE2" w:rsidRDefault="00A21C00" w:rsidP="003D2C05">
            <w:pPr>
              <w:topLinePunct/>
              <w:ind w:firstLine="360"/>
              <w:jc w:val="right"/>
              <w:rPr>
                <w:rFonts w:eastAsia="宋体" w:cs="Times New Roman"/>
                <w:szCs w:val="18"/>
              </w:rPr>
            </w:pPr>
            <w:r w:rsidRPr="00D82EE2">
              <w:rPr>
                <w:rFonts w:eastAsia="宋体" w:cs="Times New Roman"/>
                <w:szCs w:val="18"/>
              </w:rPr>
              <w:t>8.4</w:t>
            </w:r>
          </w:p>
          <w:p w14:paraId="7EC1FB8B" w14:textId="77777777" w:rsidR="006D2677" w:rsidRPr="00D82EE2" w:rsidRDefault="00A21C00" w:rsidP="003D2C05">
            <w:pPr>
              <w:topLinePunct/>
              <w:ind w:firstLine="360"/>
              <w:jc w:val="right"/>
              <w:rPr>
                <w:rFonts w:eastAsia="宋体" w:cs="Times New Roman"/>
                <w:szCs w:val="18"/>
              </w:rPr>
            </w:pPr>
            <w:r w:rsidRPr="00D82EE2">
              <w:rPr>
                <w:rFonts w:eastAsia="宋体" w:cs="Times New Roman"/>
                <w:szCs w:val="18"/>
              </w:rPr>
              <w:t>0.8</w:t>
            </w:r>
          </w:p>
        </w:tc>
      </w:tr>
    </w:tbl>
    <w:p w14:paraId="7BC92FBE" w14:textId="77777777" w:rsidR="006D2677" w:rsidRPr="00D82EE2" w:rsidRDefault="00A21C00" w:rsidP="00D82EE2">
      <w:pPr>
        <w:topLinePunct/>
        <w:ind w:firstLine="361"/>
        <w:rPr>
          <w:rFonts w:eastAsia="宋体" w:cs="Times New Roman"/>
          <w:b/>
          <w:bCs/>
          <w:szCs w:val="18"/>
        </w:rPr>
      </w:pPr>
      <w:r w:rsidRPr="00D82EE2">
        <w:rPr>
          <w:rFonts w:eastAsia="宋体" w:cs="Times New Roman"/>
          <w:b/>
          <w:bCs/>
          <w:szCs w:val="18"/>
        </w:rPr>
        <w:fldChar w:fldCharType="begin"/>
      </w:r>
      <w:r w:rsidRPr="00D82EE2">
        <w:rPr>
          <w:rFonts w:eastAsia="宋体" w:cs="Times New Roman"/>
          <w:b/>
          <w:bCs/>
          <w:szCs w:val="18"/>
        </w:rPr>
        <w:instrText xml:space="preserve"> = 3 \* ROMAN </w:instrText>
      </w:r>
      <w:r w:rsidRPr="00D82EE2">
        <w:rPr>
          <w:rFonts w:eastAsia="宋体" w:cs="Times New Roman"/>
          <w:b/>
          <w:bCs/>
          <w:szCs w:val="18"/>
        </w:rPr>
        <w:fldChar w:fldCharType="separate"/>
      </w:r>
      <w:r w:rsidRPr="00D82EE2">
        <w:rPr>
          <w:rFonts w:eastAsia="宋体" w:cs="Times New Roman"/>
          <w:b/>
          <w:bCs/>
          <w:szCs w:val="18"/>
        </w:rPr>
        <w:t>III</w:t>
      </w:r>
      <w:r w:rsidRPr="00D82EE2">
        <w:rPr>
          <w:rFonts w:eastAsia="宋体" w:cs="Times New Roman"/>
          <w:b/>
          <w:bCs/>
          <w:szCs w:val="18"/>
        </w:rPr>
        <w:fldChar w:fldCharType="end"/>
      </w:r>
      <w:r w:rsidRPr="00D82EE2">
        <w:rPr>
          <w:rFonts w:eastAsia="宋体" w:cs="Times New Roman"/>
          <w:b/>
          <w:bCs/>
          <w:szCs w:val="18"/>
        </w:rPr>
        <w:t xml:space="preserve"> Industry and Construction</w:t>
      </w:r>
    </w:p>
    <w:p w14:paraId="70397E70" w14:textId="77777777" w:rsidR="006D2677" w:rsidRPr="00D82EE2" w:rsidRDefault="00A21C00" w:rsidP="00D82EE2">
      <w:pPr>
        <w:topLinePunct/>
        <w:ind w:firstLine="360"/>
        <w:rPr>
          <w:rFonts w:eastAsia="宋体" w:cs="Times New Roman"/>
          <w:szCs w:val="18"/>
        </w:rPr>
      </w:pPr>
      <w:r w:rsidRPr="00D82EE2">
        <w:rPr>
          <w:rFonts w:eastAsia="宋体" w:cs="Times New Roman"/>
          <w:szCs w:val="18"/>
        </w:rPr>
        <w:t xml:space="preserve">By the end of the year, the number of industrial enterprises above designated size of the whole province reached 15769. The added value of industrial enterprises above designated size of the whole province decreased by 6.1% in the whole year. By category of economy, state-owned and state-controlled enterprises fell by 1.6%; collectively-owned enterprises fell by 12.4%; joint-stock cooperative enterprises decreased by 31.9%; joint-stock enterprises fell by 6.2%; enterprises invested by foreign investors or </w:t>
      </w:r>
      <w:r w:rsidRPr="00D82EE2">
        <w:rPr>
          <w:rFonts w:eastAsia="宋体" w:cs="Times New Roman"/>
          <w:szCs w:val="18"/>
        </w:rPr>
        <w:lastRenderedPageBreak/>
        <w:t>investors from Hong Kong, Macao and Taiwan fell by 6.7%; enterprises under other economic categories fell by 9.3%. Light industry fell by 7.2%; heavy industry fell by 5.6%. By sector, mining fell by 16.0%, manufacturing by 6.2% and electricity, heat, gas and water production and supply by 2.5%.</w:t>
      </w:r>
    </w:p>
    <w:p w14:paraId="68B4769C" w14:textId="77777777" w:rsidR="006D2677" w:rsidRPr="00D82EE2" w:rsidRDefault="00A21C00" w:rsidP="00D82EE2">
      <w:pPr>
        <w:topLinePunct/>
        <w:ind w:firstLine="360"/>
        <w:rPr>
          <w:rFonts w:eastAsia="宋体" w:cs="Times New Roman"/>
          <w:szCs w:val="18"/>
        </w:rPr>
      </w:pPr>
      <w:r w:rsidRPr="00D82EE2">
        <w:rPr>
          <w:rFonts w:eastAsia="宋体" w:cs="Times New Roman"/>
          <w:szCs w:val="18"/>
        </w:rPr>
        <w:t>The added value of high-tech manufacturing sector increased by 4.1%, 10.2% faster than that of industries above designated size, and accounting for 10.2% of the total added value of industries above designated size. Among them, manufacturing of computers, communications and other electronic equipment grew by 4.4%.</w:t>
      </w:r>
    </w:p>
    <w:p w14:paraId="6E373C79" w14:textId="77777777" w:rsidR="006D2677" w:rsidRPr="00D82EE2" w:rsidRDefault="00A21C00" w:rsidP="00D82EE2">
      <w:pPr>
        <w:topLinePunct/>
        <w:ind w:firstLine="360"/>
        <w:rPr>
          <w:rFonts w:eastAsia="宋体" w:cs="Times New Roman"/>
          <w:szCs w:val="18"/>
        </w:rPr>
      </w:pPr>
      <w:r w:rsidRPr="00D82EE2">
        <w:rPr>
          <w:rFonts w:eastAsia="宋体" w:cs="Times New Roman"/>
          <w:szCs w:val="18"/>
        </w:rPr>
        <w:t xml:space="preserve">Throughout the year, the output value of industries above designated size decreased by 7.7%, the product sales rate was 97.3% and the export delivery value decreased by 0.4%. The profits of industrial enterprises above designated size reached 251.9 billion </w:t>
      </w:r>
      <w:proofErr w:type="spellStart"/>
      <w:r w:rsidRPr="00D82EE2">
        <w:rPr>
          <w:rFonts w:eastAsia="宋体" w:cs="Times New Roman"/>
          <w:szCs w:val="18"/>
        </w:rPr>
        <w:t>yuan</w:t>
      </w:r>
      <w:proofErr w:type="spellEnd"/>
      <w:r w:rsidRPr="00D82EE2">
        <w:rPr>
          <w:rFonts w:eastAsia="宋体" w:cs="Times New Roman"/>
          <w:szCs w:val="18"/>
        </w:rPr>
        <w:t>, down by 8.3 %.</w:t>
      </w:r>
    </w:p>
    <w:p w14:paraId="5817ED2F" w14:textId="77777777" w:rsidR="006D2677" w:rsidRPr="00D82EE2" w:rsidRDefault="00A21C00" w:rsidP="00D82EE2">
      <w:pPr>
        <w:topLinePunct/>
        <w:spacing w:beforeLines="50" w:before="156" w:afterLines="50" w:after="156"/>
        <w:ind w:firstLine="442"/>
        <w:jc w:val="center"/>
        <w:rPr>
          <w:rFonts w:ascii="Arial" w:eastAsia="宋体" w:hAnsi="Arial" w:cs="Arial"/>
          <w:sz w:val="22"/>
        </w:rPr>
      </w:pPr>
      <w:r w:rsidRPr="00D82EE2">
        <w:rPr>
          <w:rFonts w:ascii="Arial" w:eastAsia="宋体" w:hAnsi="Arial" w:cs="Arial"/>
          <w:b/>
          <w:sz w:val="22"/>
        </w:rPr>
        <w:t>Table 2 Output of Major Products of Industries above Designated Size of Hubei and its Growth in 2020</w:t>
      </w:r>
    </w:p>
    <w:tbl>
      <w:tblPr>
        <w:tblW w:w="9638" w:type="dxa"/>
        <w:jc w:val="center"/>
        <w:tblBorders>
          <w:top w:val="single" w:sz="4" w:space="0" w:color="000000"/>
          <w:bottom w:val="single" w:sz="4" w:space="0" w:color="000000"/>
          <w:insideH w:val="single" w:sz="4" w:space="0" w:color="000000"/>
          <w:insideV w:val="single" w:sz="4" w:space="0" w:color="000000"/>
        </w:tblBorders>
        <w:tblLayout w:type="fixed"/>
        <w:tblCellMar>
          <w:top w:w="28" w:type="dxa"/>
          <w:left w:w="17" w:type="dxa"/>
          <w:bottom w:w="28" w:type="dxa"/>
          <w:right w:w="17" w:type="dxa"/>
        </w:tblCellMar>
        <w:tblLook w:val="04A0" w:firstRow="1" w:lastRow="0" w:firstColumn="1" w:lastColumn="0" w:noHBand="0" w:noVBand="1"/>
      </w:tblPr>
      <w:tblGrid>
        <w:gridCol w:w="5496"/>
        <w:gridCol w:w="1631"/>
        <w:gridCol w:w="717"/>
        <w:gridCol w:w="1794"/>
      </w:tblGrid>
      <w:tr w:rsidR="006D2677" w14:paraId="2757D5EB" w14:textId="77777777" w:rsidTr="00D82EE2">
        <w:trPr>
          <w:jc w:val="center"/>
        </w:trPr>
        <w:tc>
          <w:tcPr>
            <w:tcW w:w="5496" w:type="dxa"/>
            <w:tcBorders>
              <w:bottom w:val="single" w:sz="4" w:space="0" w:color="000000"/>
            </w:tcBorders>
            <w:shd w:val="clear" w:color="auto" w:fill="auto"/>
            <w:vAlign w:val="center"/>
          </w:tcPr>
          <w:p w14:paraId="28F30E66" w14:textId="77777777" w:rsidR="006D2677" w:rsidRPr="00D82EE2" w:rsidRDefault="00A21C00" w:rsidP="00D82EE2">
            <w:pPr>
              <w:topLinePunct/>
              <w:snapToGrid w:val="0"/>
              <w:ind w:firstLineChars="0" w:firstLine="0"/>
              <w:textAlignment w:val="center"/>
              <w:rPr>
                <w:rFonts w:eastAsia="宋体" w:cs="Times New Roman"/>
                <w:szCs w:val="18"/>
              </w:rPr>
            </w:pPr>
            <w:r w:rsidRPr="00D82EE2">
              <w:rPr>
                <w:rFonts w:eastAsia="宋体" w:cs="Times New Roman"/>
                <w:color w:val="000000"/>
                <w:szCs w:val="18"/>
              </w:rPr>
              <w:t>Product name</w:t>
            </w:r>
          </w:p>
        </w:tc>
        <w:tc>
          <w:tcPr>
            <w:tcW w:w="1631" w:type="dxa"/>
            <w:tcBorders>
              <w:bottom w:val="single" w:sz="4" w:space="0" w:color="000000"/>
            </w:tcBorders>
            <w:shd w:val="clear" w:color="auto" w:fill="auto"/>
            <w:vAlign w:val="center"/>
          </w:tcPr>
          <w:p w14:paraId="0F7C2F3B" w14:textId="77777777" w:rsidR="006D2677" w:rsidRPr="00D82EE2" w:rsidRDefault="00A21C00" w:rsidP="00D82EE2">
            <w:pPr>
              <w:topLinePunct/>
              <w:snapToGrid w:val="0"/>
              <w:ind w:firstLineChars="0" w:firstLine="0"/>
              <w:jc w:val="center"/>
              <w:textAlignment w:val="center"/>
              <w:rPr>
                <w:rFonts w:eastAsia="宋体" w:cs="Times New Roman"/>
                <w:szCs w:val="18"/>
              </w:rPr>
            </w:pPr>
            <w:r w:rsidRPr="00D82EE2">
              <w:rPr>
                <w:rFonts w:eastAsia="宋体" w:cs="Times New Roman"/>
                <w:color w:val="000000"/>
                <w:kern w:val="0"/>
                <w:szCs w:val="18"/>
                <w:lang w:bidi="ar"/>
              </w:rPr>
              <w:t>Unit</w:t>
            </w:r>
          </w:p>
        </w:tc>
        <w:tc>
          <w:tcPr>
            <w:tcW w:w="717" w:type="dxa"/>
            <w:tcBorders>
              <w:bottom w:val="single" w:sz="4" w:space="0" w:color="000000"/>
            </w:tcBorders>
            <w:shd w:val="clear" w:color="auto" w:fill="auto"/>
            <w:vAlign w:val="center"/>
          </w:tcPr>
          <w:p w14:paraId="2A2CAB8C" w14:textId="77777777" w:rsidR="006D2677" w:rsidRPr="00D82EE2" w:rsidRDefault="00A21C00" w:rsidP="00D82EE2">
            <w:pPr>
              <w:topLinePunct/>
              <w:snapToGrid w:val="0"/>
              <w:ind w:firstLineChars="0" w:firstLine="0"/>
              <w:jc w:val="center"/>
              <w:textAlignment w:val="center"/>
              <w:rPr>
                <w:rFonts w:eastAsia="宋体" w:cs="Times New Roman"/>
                <w:szCs w:val="18"/>
              </w:rPr>
            </w:pPr>
            <w:r w:rsidRPr="00D82EE2">
              <w:rPr>
                <w:rFonts w:eastAsia="宋体" w:cs="Times New Roman"/>
                <w:color w:val="000000"/>
                <w:kern w:val="0"/>
                <w:szCs w:val="18"/>
                <w:lang w:bidi="ar"/>
              </w:rPr>
              <w:t>Output</w:t>
            </w:r>
          </w:p>
        </w:tc>
        <w:tc>
          <w:tcPr>
            <w:tcW w:w="1794" w:type="dxa"/>
            <w:tcBorders>
              <w:bottom w:val="single" w:sz="4" w:space="0" w:color="000000"/>
            </w:tcBorders>
            <w:shd w:val="clear" w:color="auto" w:fill="auto"/>
            <w:vAlign w:val="center"/>
          </w:tcPr>
          <w:p w14:paraId="0EBDEDC8" w14:textId="77777777" w:rsidR="006D2677" w:rsidRPr="00D82EE2" w:rsidRDefault="00A21C00" w:rsidP="00D82EE2">
            <w:pPr>
              <w:topLinePunct/>
              <w:snapToGrid w:val="0"/>
              <w:ind w:firstLineChars="0" w:firstLine="0"/>
              <w:jc w:val="center"/>
              <w:textAlignment w:val="center"/>
              <w:rPr>
                <w:rFonts w:eastAsia="宋体" w:cs="Times New Roman"/>
                <w:szCs w:val="18"/>
              </w:rPr>
            </w:pPr>
            <w:proofErr w:type="spellStart"/>
            <w:r w:rsidRPr="00D82EE2">
              <w:rPr>
                <w:rFonts w:eastAsia="宋体" w:cs="Times New Roman"/>
                <w:color w:val="000000"/>
                <w:kern w:val="0"/>
                <w:szCs w:val="18"/>
                <w:lang w:bidi="ar"/>
              </w:rPr>
              <w:t>YoY</w:t>
            </w:r>
            <w:proofErr w:type="spellEnd"/>
            <w:r w:rsidRPr="00D82EE2">
              <w:rPr>
                <w:rFonts w:eastAsia="宋体" w:cs="Times New Roman"/>
                <w:color w:val="000000"/>
                <w:kern w:val="0"/>
                <w:szCs w:val="18"/>
                <w:lang w:bidi="ar"/>
              </w:rPr>
              <w:t xml:space="preserve"> Growth Rate (%)</w:t>
            </w:r>
          </w:p>
        </w:tc>
      </w:tr>
      <w:tr w:rsidR="006D2677" w14:paraId="253F626B" w14:textId="77777777" w:rsidTr="00D82EE2">
        <w:trPr>
          <w:jc w:val="center"/>
        </w:trPr>
        <w:tc>
          <w:tcPr>
            <w:tcW w:w="5496" w:type="dxa"/>
            <w:tcBorders>
              <w:bottom w:val="nil"/>
            </w:tcBorders>
            <w:shd w:val="clear" w:color="auto" w:fill="auto"/>
          </w:tcPr>
          <w:p w14:paraId="6FB65E0D" w14:textId="77777777" w:rsidR="006D2677" w:rsidRPr="00D82EE2" w:rsidRDefault="00A21C00" w:rsidP="00D82EE2">
            <w:pPr>
              <w:topLinePunct/>
              <w:snapToGrid w:val="0"/>
              <w:ind w:firstLineChars="0" w:firstLine="0"/>
              <w:textAlignment w:val="center"/>
              <w:rPr>
                <w:rFonts w:eastAsia="宋体" w:cs="Times New Roman"/>
                <w:kern w:val="0"/>
                <w:szCs w:val="18"/>
                <w:lang w:bidi="ar"/>
              </w:rPr>
            </w:pPr>
            <w:r w:rsidRPr="00D82EE2">
              <w:rPr>
                <w:rFonts w:eastAsia="宋体" w:cs="Times New Roman"/>
                <w:color w:val="000000"/>
                <w:kern w:val="0"/>
                <w:szCs w:val="18"/>
                <w:lang w:bidi="ar"/>
              </w:rPr>
              <w:t>Liquor (65°, amount of goods)</w:t>
            </w:r>
          </w:p>
        </w:tc>
        <w:tc>
          <w:tcPr>
            <w:tcW w:w="1631" w:type="dxa"/>
            <w:tcBorders>
              <w:bottom w:val="nil"/>
            </w:tcBorders>
            <w:shd w:val="clear" w:color="auto" w:fill="auto"/>
          </w:tcPr>
          <w:p w14:paraId="42431614" w14:textId="77777777" w:rsidR="006D2677" w:rsidRPr="00D82EE2" w:rsidRDefault="00A21C00" w:rsidP="00D82EE2">
            <w:pPr>
              <w:topLinePunct/>
              <w:snapToGrid w:val="0"/>
              <w:ind w:firstLineChars="0" w:firstLine="0"/>
              <w:jc w:val="center"/>
              <w:rPr>
                <w:rFonts w:eastAsia="宋体" w:cs="Times New Roman"/>
                <w:szCs w:val="18"/>
              </w:rPr>
            </w:pPr>
            <w:r w:rsidRPr="00D82EE2">
              <w:rPr>
                <w:rFonts w:eastAsia="宋体" w:cs="Times New Roman"/>
                <w:color w:val="000000"/>
                <w:kern w:val="0"/>
                <w:szCs w:val="18"/>
                <w:lang w:bidi="ar"/>
              </w:rPr>
              <w:t>10</w:t>
            </w:r>
            <w:r>
              <w:rPr>
                <w:rFonts w:eastAsia="宋体" w:cs="Times New Roman" w:hint="eastAsia"/>
                <w:color w:val="000000"/>
                <w:kern w:val="0"/>
                <w:szCs w:val="18"/>
                <w:lang w:bidi="ar"/>
              </w:rPr>
              <w:t xml:space="preserve"> </w:t>
            </w:r>
            <w:r w:rsidRPr="00D82EE2">
              <w:rPr>
                <w:rFonts w:eastAsia="宋体" w:cs="Times New Roman"/>
                <w:color w:val="000000"/>
                <w:kern w:val="0"/>
                <w:szCs w:val="18"/>
                <w:lang w:bidi="ar"/>
              </w:rPr>
              <w:t>000 kiloliters</w:t>
            </w:r>
          </w:p>
        </w:tc>
        <w:tc>
          <w:tcPr>
            <w:tcW w:w="717" w:type="dxa"/>
            <w:tcBorders>
              <w:bottom w:val="nil"/>
            </w:tcBorders>
            <w:shd w:val="clear" w:color="auto" w:fill="auto"/>
            <w:vAlign w:val="center"/>
          </w:tcPr>
          <w:p w14:paraId="22B2D2C3"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szCs w:val="18"/>
              </w:rPr>
              <w:t xml:space="preserve">35.9 </w:t>
            </w:r>
          </w:p>
        </w:tc>
        <w:tc>
          <w:tcPr>
            <w:tcW w:w="1794" w:type="dxa"/>
            <w:tcBorders>
              <w:bottom w:val="nil"/>
            </w:tcBorders>
            <w:shd w:val="clear" w:color="auto" w:fill="auto"/>
            <w:vAlign w:val="center"/>
          </w:tcPr>
          <w:p w14:paraId="414C3FFB"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szCs w:val="18"/>
              </w:rPr>
              <w:t xml:space="preserve">-42.9 </w:t>
            </w:r>
          </w:p>
        </w:tc>
      </w:tr>
      <w:tr w:rsidR="006D2677" w14:paraId="41EFFA28" w14:textId="77777777" w:rsidTr="00D82EE2">
        <w:trPr>
          <w:jc w:val="center"/>
        </w:trPr>
        <w:tc>
          <w:tcPr>
            <w:tcW w:w="5496" w:type="dxa"/>
            <w:tcBorders>
              <w:top w:val="nil"/>
              <w:bottom w:val="nil"/>
            </w:tcBorders>
            <w:shd w:val="clear" w:color="auto" w:fill="auto"/>
          </w:tcPr>
          <w:p w14:paraId="0BAF5B5F" w14:textId="77777777" w:rsidR="006D2677" w:rsidRPr="00D82EE2" w:rsidRDefault="00A21C00" w:rsidP="00D82EE2">
            <w:pPr>
              <w:topLinePunct/>
              <w:snapToGrid w:val="0"/>
              <w:ind w:firstLineChars="0" w:firstLine="0"/>
              <w:textAlignment w:val="center"/>
              <w:rPr>
                <w:rFonts w:eastAsia="宋体" w:cs="Times New Roman"/>
                <w:kern w:val="0"/>
                <w:szCs w:val="18"/>
                <w:lang w:bidi="ar"/>
              </w:rPr>
            </w:pPr>
            <w:r w:rsidRPr="00D82EE2">
              <w:rPr>
                <w:rFonts w:eastAsia="宋体" w:cs="Times New Roman"/>
                <w:color w:val="000000"/>
                <w:kern w:val="0"/>
                <w:szCs w:val="18"/>
                <w:lang w:bidi="ar"/>
              </w:rPr>
              <w:t>Beer</w:t>
            </w:r>
          </w:p>
        </w:tc>
        <w:tc>
          <w:tcPr>
            <w:tcW w:w="1631" w:type="dxa"/>
            <w:tcBorders>
              <w:top w:val="nil"/>
              <w:bottom w:val="nil"/>
            </w:tcBorders>
            <w:shd w:val="clear" w:color="auto" w:fill="auto"/>
          </w:tcPr>
          <w:p w14:paraId="6150FD56" w14:textId="77777777" w:rsidR="006D2677" w:rsidRPr="00D82EE2" w:rsidRDefault="00A21C00" w:rsidP="00D82EE2">
            <w:pPr>
              <w:topLinePunct/>
              <w:snapToGrid w:val="0"/>
              <w:ind w:firstLineChars="0" w:firstLine="0"/>
              <w:jc w:val="center"/>
              <w:rPr>
                <w:rFonts w:eastAsia="宋体" w:cs="Times New Roman"/>
                <w:kern w:val="0"/>
                <w:szCs w:val="18"/>
              </w:rPr>
            </w:pPr>
            <w:r w:rsidRPr="00D82EE2">
              <w:rPr>
                <w:rFonts w:eastAsia="宋体" w:cs="Times New Roman"/>
                <w:color w:val="000000"/>
                <w:kern w:val="0"/>
                <w:szCs w:val="18"/>
                <w:lang w:bidi="ar"/>
              </w:rPr>
              <w:t>10</w:t>
            </w:r>
            <w:r>
              <w:rPr>
                <w:rFonts w:eastAsia="宋体" w:cs="Times New Roman" w:hint="eastAsia"/>
                <w:color w:val="000000"/>
                <w:kern w:val="0"/>
                <w:szCs w:val="18"/>
                <w:lang w:bidi="ar"/>
              </w:rPr>
              <w:t xml:space="preserve"> </w:t>
            </w:r>
            <w:r w:rsidRPr="00D82EE2">
              <w:rPr>
                <w:rFonts w:eastAsia="宋体" w:cs="Times New Roman"/>
                <w:color w:val="000000"/>
                <w:kern w:val="0"/>
                <w:szCs w:val="18"/>
                <w:lang w:bidi="ar"/>
              </w:rPr>
              <w:t>000 kiloliters</w:t>
            </w:r>
          </w:p>
        </w:tc>
        <w:tc>
          <w:tcPr>
            <w:tcW w:w="717" w:type="dxa"/>
            <w:tcBorders>
              <w:top w:val="nil"/>
              <w:bottom w:val="nil"/>
            </w:tcBorders>
            <w:shd w:val="clear" w:color="auto" w:fill="auto"/>
            <w:vAlign w:val="center"/>
          </w:tcPr>
          <w:p w14:paraId="7B13C46D"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szCs w:val="18"/>
              </w:rPr>
              <w:t xml:space="preserve">97.5 </w:t>
            </w:r>
          </w:p>
        </w:tc>
        <w:tc>
          <w:tcPr>
            <w:tcW w:w="1794" w:type="dxa"/>
            <w:tcBorders>
              <w:top w:val="nil"/>
              <w:bottom w:val="nil"/>
            </w:tcBorders>
            <w:shd w:val="clear" w:color="auto" w:fill="auto"/>
            <w:vAlign w:val="center"/>
          </w:tcPr>
          <w:p w14:paraId="406370ED"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szCs w:val="18"/>
              </w:rPr>
              <w:t xml:space="preserve">-11.8 </w:t>
            </w:r>
          </w:p>
        </w:tc>
      </w:tr>
      <w:tr w:rsidR="006D2677" w14:paraId="72801CE4" w14:textId="77777777" w:rsidTr="00D82EE2">
        <w:trPr>
          <w:jc w:val="center"/>
        </w:trPr>
        <w:tc>
          <w:tcPr>
            <w:tcW w:w="5496" w:type="dxa"/>
            <w:tcBorders>
              <w:top w:val="nil"/>
              <w:bottom w:val="nil"/>
            </w:tcBorders>
            <w:shd w:val="clear" w:color="auto" w:fill="auto"/>
          </w:tcPr>
          <w:p w14:paraId="2E5CA401" w14:textId="77777777" w:rsidR="006D2677" w:rsidRPr="00D82EE2" w:rsidRDefault="00A21C00" w:rsidP="00D82EE2">
            <w:pPr>
              <w:topLinePunct/>
              <w:snapToGrid w:val="0"/>
              <w:ind w:firstLineChars="0" w:firstLine="0"/>
              <w:textAlignment w:val="center"/>
              <w:rPr>
                <w:rFonts w:eastAsia="宋体" w:cs="Times New Roman"/>
                <w:kern w:val="0"/>
                <w:szCs w:val="18"/>
                <w:lang w:bidi="ar"/>
              </w:rPr>
            </w:pPr>
            <w:r w:rsidRPr="00D82EE2">
              <w:rPr>
                <w:rFonts w:eastAsia="宋体" w:cs="Times New Roman"/>
                <w:color w:val="000000"/>
                <w:kern w:val="0"/>
                <w:szCs w:val="18"/>
                <w:lang w:bidi="ar"/>
              </w:rPr>
              <w:t>Cigarette</w:t>
            </w:r>
          </w:p>
        </w:tc>
        <w:tc>
          <w:tcPr>
            <w:tcW w:w="1631" w:type="dxa"/>
            <w:tcBorders>
              <w:top w:val="nil"/>
              <w:bottom w:val="nil"/>
            </w:tcBorders>
            <w:shd w:val="clear" w:color="auto" w:fill="auto"/>
          </w:tcPr>
          <w:p w14:paraId="330C7B2D" w14:textId="77777777" w:rsidR="006D2677" w:rsidRPr="00D82EE2" w:rsidRDefault="00A21C00" w:rsidP="00D82EE2">
            <w:pPr>
              <w:topLinePunct/>
              <w:snapToGrid w:val="0"/>
              <w:ind w:firstLineChars="0" w:firstLine="0"/>
              <w:jc w:val="center"/>
              <w:rPr>
                <w:rFonts w:eastAsia="宋体" w:cs="Times New Roman"/>
                <w:kern w:val="0"/>
                <w:szCs w:val="18"/>
              </w:rPr>
            </w:pPr>
            <w:r w:rsidRPr="00D82EE2">
              <w:rPr>
                <w:rFonts w:eastAsia="宋体" w:cs="Times New Roman"/>
                <w:color w:val="000000"/>
                <w:kern w:val="0"/>
                <w:szCs w:val="18"/>
                <w:lang w:bidi="ar"/>
              </w:rPr>
              <w:t>100 million</w:t>
            </w:r>
          </w:p>
        </w:tc>
        <w:tc>
          <w:tcPr>
            <w:tcW w:w="717" w:type="dxa"/>
            <w:tcBorders>
              <w:top w:val="nil"/>
              <w:bottom w:val="nil"/>
            </w:tcBorders>
            <w:shd w:val="clear" w:color="auto" w:fill="auto"/>
            <w:vAlign w:val="center"/>
          </w:tcPr>
          <w:p w14:paraId="00DE4BC3"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szCs w:val="18"/>
              </w:rPr>
              <w:t xml:space="preserve">1330.5 </w:t>
            </w:r>
          </w:p>
        </w:tc>
        <w:tc>
          <w:tcPr>
            <w:tcW w:w="1794" w:type="dxa"/>
            <w:tcBorders>
              <w:top w:val="nil"/>
              <w:bottom w:val="nil"/>
            </w:tcBorders>
            <w:shd w:val="clear" w:color="auto" w:fill="auto"/>
            <w:vAlign w:val="center"/>
          </w:tcPr>
          <w:p w14:paraId="6B0D2638"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szCs w:val="18"/>
              </w:rPr>
              <w:t xml:space="preserve">4.5 </w:t>
            </w:r>
          </w:p>
        </w:tc>
      </w:tr>
      <w:tr w:rsidR="006D2677" w14:paraId="2EEDE7AF" w14:textId="77777777" w:rsidTr="00D82EE2">
        <w:trPr>
          <w:jc w:val="center"/>
        </w:trPr>
        <w:tc>
          <w:tcPr>
            <w:tcW w:w="5496" w:type="dxa"/>
            <w:tcBorders>
              <w:top w:val="nil"/>
              <w:bottom w:val="nil"/>
            </w:tcBorders>
            <w:shd w:val="clear" w:color="auto" w:fill="auto"/>
          </w:tcPr>
          <w:p w14:paraId="37E14772" w14:textId="77777777" w:rsidR="006D2677" w:rsidRPr="00D82EE2" w:rsidRDefault="00A21C00" w:rsidP="00D82EE2">
            <w:pPr>
              <w:topLinePunct/>
              <w:snapToGrid w:val="0"/>
              <w:ind w:firstLineChars="0" w:firstLine="0"/>
              <w:textAlignment w:val="center"/>
              <w:rPr>
                <w:rFonts w:eastAsia="宋体" w:cs="Times New Roman"/>
                <w:kern w:val="0"/>
                <w:szCs w:val="18"/>
                <w:lang w:bidi="ar"/>
              </w:rPr>
            </w:pPr>
            <w:r w:rsidRPr="00D82EE2">
              <w:rPr>
                <w:rFonts w:eastAsia="宋体" w:cs="Times New Roman"/>
                <w:color w:val="000000"/>
                <w:kern w:val="0"/>
                <w:szCs w:val="18"/>
                <w:lang w:bidi="ar"/>
              </w:rPr>
              <w:t>Cloth</w:t>
            </w:r>
          </w:p>
        </w:tc>
        <w:tc>
          <w:tcPr>
            <w:tcW w:w="1631" w:type="dxa"/>
            <w:tcBorders>
              <w:top w:val="nil"/>
              <w:bottom w:val="nil"/>
            </w:tcBorders>
            <w:shd w:val="clear" w:color="auto" w:fill="auto"/>
          </w:tcPr>
          <w:p w14:paraId="587EBA8D" w14:textId="77777777" w:rsidR="006D2677" w:rsidRPr="00D82EE2" w:rsidRDefault="00A21C00" w:rsidP="00D82EE2">
            <w:pPr>
              <w:topLinePunct/>
              <w:snapToGrid w:val="0"/>
              <w:ind w:firstLineChars="0" w:firstLine="0"/>
              <w:jc w:val="center"/>
              <w:rPr>
                <w:rFonts w:eastAsia="宋体" w:cs="Times New Roman"/>
                <w:kern w:val="0"/>
                <w:szCs w:val="18"/>
              </w:rPr>
            </w:pPr>
            <w:r w:rsidRPr="00D82EE2">
              <w:rPr>
                <w:rFonts w:eastAsia="宋体" w:cs="Times New Roman"/>
                <w:color w:val="000000"/>
                <w:kern w:val="0"/>
                <w:szCs w:val="18"/>
                <w:lang w:bidi="ar"/>
              </w:rPr>
              <w:t>100 million meters</w:t>
            </w:r>
          </w:p>
        </w:tc>
        <w:tc>
          <w:tcPr>
            <w:tcW w:w="717" w:type="dxa"/>
            <w:tcBorders>
              <w:top w:val="nil"/>
              <w:bottom w:val="nil"/>
            </w:tcBorders>
            <w:shd w:val="clear" w:color="auto" w:fill="auto"/>
            <w:vAlign w:val="center"/>
          </w:tcPr>
          <w:p w14:paraId="10C7A0C5"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szCs w:val="18"/>
              </w:rPr>
              <w:t xml:space="preserve">43.1 </w:t>
            </w:r>
          </w:p>
        </w:tc>
        <w:tc>
          <w:tcPr>
            <w:tcW w:w="1794" w:type="dxa"/>
            <w:tcBorders>
              <w:top w:val="nil"/>
              <w:bottom w:val="nil"/>
            </w:tcBorders>
            <w:shd w:val="clear" w:color="auto" w:fill="auto"/>
            <w:vAlign w:val="center"/>
          </w:tcPr>
          <w:p w14:paraId="556F6E78"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szCs w:val="18"/>
              </w:rPr>
              <w:t xml:space="preserve">-17.7 </w:t>
            </w:r>
          </w:p>
        </w:tc>
      </w:tr>
      <w:tr w:rsidR="006D2677" w14:paraId="607E2A46" w14:textId="77777777" w:rsidTr="00D82EE2">
        <w:trPr>
          <w:jc w:val="center"/>
        </w:trPr>
        <w:tc>
          <w:tcPr>
            <w:tcW w:w="5496" w:type="dxa"/>
            <w:tcBorders>
              <w:top w:val="nil"/>
              <w:bottom w:val="nil"/>
            </w:tcBorders>
            <w:shd w:val="clear" w:color="auto" w:fill="auto"/>
          </w:tcPr>
          <w:p w14:paraId="77DDE23D" w14:textId="77777777" w:rsidR="006D2677" w:rsidRPr="00D82EE2" w:rsidRDefault="00A21C00" w:rsidP="00D82EE2">
            <w:pPr>
              <w:topLinePunct/>
              <w:snapToGrid w:val="0"/>
              <w:ind w:firstLineChars="0" w:firstLine="0"/>
              <w:textAlignment w:val="center"/>
              <w:rPr>
                <w:rFonts w:eastAsia="宋体" w:cs="Times New Roman"/>
                <w:kern w:val="0"/>
                <w:szCs w:val="18"/>
                <w:lang w:bidi="ar"/>
              </w:rPr>
            </w:pPr>
            <w:r w:rsidRPr="00D82EE2">
              <w:rPr>
                <w:rFonts w:eastAsia="宋体" w:cs="Times New Roman"/>
                <w:color w:val="000000"/>
                <w:kern w:val="0"/>
                <w:szCs w:val="18"/>
                <w:lang w:bidi="ar"/>
              </w:rPr>
              <w:t>Sulfuric acid (100%)</w:t>
            </w:r>
          </w:p>
        </w:tc>
        <w:tc>
          <w:tcPr>
            <w:tcW w:w="1631" w:type="dxa"/>
            <w:tcBorders>
              <w:top w:val="nil"/>
              <w:bottom w:val="nil"/>
            </w:tcBorders>
            <w:shd w:val="clear" w:color="auto" w:fill="auto"/>
          </w:tcPr>
          <w:p w14:paraId="163D2ACF" w14:textId="77777777" w:rsidR="006D2677" w:rsidRPr="00D82EE2" w:rsidRDefault="00A21C00" w:rsidP="00D82EE2">
            <w:pPr>
              <w:topLinePunct/>
              <w:snapToGrid w:val="0"/>
              <w:ind w:firstLineChars="0" w:firstLine="0"/>
              <w:jc w:val="center"/>
              <w:rPr>
                <w:rFonts w:eastAsia="宋体" w:cs="Times New Roman"/>
                <w:kern w:val="0"/>
                <w:szCs w:val="18"/>
              </w:rPr>
            </w:pPr>
            <w:r w:rsidRPr="00D82EE2">
              <w:rPr>
                <w:rFonts w:eastAsia="宋体" w:cs="Times New Roman"/>
                <w:color w:val="000000"/>
                <w:kern w:val="0"/>
                <w:szCs w:val="18"/>
                <w:lang w:bidi="ar"/>
              </w:rPr>
              <w:t>10</w:t>
            </w:r>
            <w:r>
              <w:rPr>
                <w:rFonts w:eastAsia="宋体" w:cs="Times New Roman" w:hint="eastAsia"/>
                <w:color w:val="000000"/>
                <w:kern w:val="0"/>
                <w:szCs w:val="18"/>
                <w:lang w:bidi="ar"/>
              </w:rPr>
              <w:t xml:space="preserve"> </w:t>
            </w:r>
            <w:r w:rsidRPr="00D82EE2">
              <w:rPr>
                <w:rFonts w:eastAsia="宋体" w:cs="Times New Roman"/>
                <w:color w:val="000000"/>
                <w:kern w:val="0"/>
                <w:szCs w:val="18"/>
                <w:lang w:bidi="ar"/>
              </w:rPr>
              <w:t>000 tons</w:t>
            </w:r>
          </w:p>
        </w:tc>
        <w:tc>
          <w:tcPr>
            <w:tcW w:w="717" w:type="dxa"/>
            <w:tcBorders>
              <w:top w:val="nil"/>
              <w:bottom w:val="nil"/>
            </w:tcBorders>
            <w:shd w:val="clear" w:color="auto" w:fill="auto"/>
            <w:vAlign w:val="center"/>
          </w:tcPr>
          <w:p w14:paraId="43A0095C"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szCs w:val="18"/>
              </w:rPr>
              <w:t xml:space="preserve">1330.5 </w:t>
            </w:r>
          </w:p>
        </w:tc>
        <w:tc>
          <w:tcPr>
            <w:tcW w:w="1794" w:type="dxa"/>
            <w:tcBorders>
              <w:top w:val="nil"/>
              <w:bottom w:val="nil"/>
            </w:tcBorders>
            <w:shd w:val="clear" w:color="auto" w:fill="auto"/>
            <w:vAlign w:val="center"/>
          </w:tcPr>
          <w:p w14:paraId="6D93F72B"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szCs w:val="18"/>
              </w:rPr>
              <w:t>5.7</w:t>
            </w:r>
          </w:p>
        </w:tc>
      </w:tr>
      <w:tr w:rsidR="006D2677" w14:paraId="4E8C5CE5" w14:textId="77777777" w:rsidTr="00D82EE2">
        <w:trPr>
          <w:jc w:val="center"/>
        </w:trPr>
        <w:tc>
          <w:tcPr>
            <w:tcW w:w="5496" w:type="dxa"/>
            <w:tcBorders>
              <w:top w:val="nil"/>
              <w:bottom w:val="nil"/>
            </w:tcBorders>
            <w:shd w:val="clear" w:color="auto" w:fill="auto"/>
          </w:tcPr>
          <w:p w14:paraId="6328B0CB" w14:textId="77777777" w:rsidR="006D2677" w:rsidRPr="00D82EE2" w:rsidRDefault="00A21C00" w:rsidP="00D82EE2">
            <w:pPr>
              <w:topLinePunct/>
              <w:snapToGrid w:val="0"/>
              <w:ind w:firstLineChars="0" w:firstLine="0"/>
              <w:textAlignment w:val="center"/>
              <w:rPr>
                <w:rFonts w:eastAsia="宋体" w:cs="Times New Roman"/>
                <w:kern w:val="0"/>
                <w:szCs w:val="18"/>
                <w:lang w:bidi="ar"/>
              </w:rPr>
            </w:pPr>
            <w:r w:rsidRPr="00D82EE2">
              <w:rPr>
                <w:rFonts w:eastAsia="宋体" w:cs="Times New Roman"/>
                <w:color w:val="000000"/>
                <w:kern w:val="0"/>
                <w:szCs w:val="18"/>
                <w:lang w:bidi="ar"/>
              </w:rPr>
              <w:t>Agricultural nitrogen, phosphorus and potassium chemical fertilizer (pure)</w:t>
            </w:r>
          </w:p>
        </w:tc>
        <w:tc>
          <w:tcPr>
            <w:tcW w:w="1631" w:type="dxa"/>
            <w:tcBorders>
              <w:top w:val="nil"/>
              <w:bottom w:val="nil"/>
            </w:tcBorders>
            <w:shd w:val="clear" w:color="auto" w:fill="auto"/>
          </w:tcPr>
          <w:p w14:paraId="2B135522" w14:textId="77777777" w:rsidR="006D2677" w:rsidRPr="00D82EE2" w:rsidRDefault="00A21C00" w:rsidP="00D82EE2">
            <w:pPr>
              <w:topLinePunct/>
              <w:snapToGrid w:val="0"/>
              <w:ind w:firstLineChars="0" w:firstLine="0"/>
              <w:jc w:val="center"/>
              <w:rPr>
                <w:rFonts w:eastAsia="宋体" w:cs="Times New Roman"/>
                <w:kern w:val="0"/>
                <w:szCs w:val="18"/>
              </w:rPr>
            </w:pPr>
            <w:r w:rsidRPr="00D82EE2">
              <w:rPr>
                <w:rFonts w:eastAsia="宋体" w:cs="Times New Roman"/>
                <w:color w:val="000000"/>
                <w:kern w:val="0"/>
                <w:szCs w:val="18"/>
                <w:lang w:bidi="ar"/>
              </w:rPr>
              <w:t>10</w:t>
            </w:r>
            <w:r>
              <w:rPr>
                <w:rFonts w:eastAsia="宋体" w:cs="Times New Roman" w:hint="eastAsia"/>
                <w:color w:val="000000"/>
                <w:kern w:val="0"/>
                <w:szCs w:val="18"/>
                <w:lang w:bidi="ar"/>
              </w:rPr>
              <w:t xml:space="preserve"> </w:t>
            </w:r>
            <w:r w:rsidRPr="00D82EE2">
              <w:rPr>
                <w:rFonts w:eastAsia="宋体" w:cs="Times New Roman"/>
                <w:color w:val="000000"/>
                <w:kern w:val="0"/>
                <w:szCs w:val="18"/>
                <w:lang w:bidi="ar"/>
              </w:rPr>
              <w:t>000 tons</w:t>
            </w:r>
          </w:p>
        </w:tc>
        <w:tc>
          <w:tcPr>
            <w:tcW w:w="717" w:type="dxa"/>
            <w:tcBorders>
              <w:top w:val="nil"/>
              <w:bottom w:val="nil"/>
            </w:tcBorders>
            <w:shd w:val="clear" w:color="auto" w:fill="auto"/>
            <w:vAlign w:val="center"/>
          </w:tcPr>
          <w:p w14:paraId="1FB5B6B8"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szCs w:val="18"/>
              </w:rPr>
              <w:t xml:space="preserve">482.1 </w:t>
            </w:r>
          </w:p>
        </w:tc>
        <w:tc>
          <w:tcPr>
            <w:tcW w:w="1794" w:type="dxa"/>
            <w:tcBorders>
              <w:top w:val="nil"/>
              <w:bottom w:val="nil"/>
            </w:tcBorders>
            <w:shd w:val="clear" w:color="auto" w:fill="auto"/>
            <w:vAlign w:val="center"/>
          </w:tcPr>
          <w:p w14:paraId="192F819F"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szCs w:val="18"/>
              </w:rPr>
              <w:t xml:space="preserve">-8.9 </w:t>
            </w:r>
          </w:p>
        </w:tc>
      </w:tr>
      <w:tr w:rsidR="006D2677" w14:paraId="048B3A69" w14:textId="77777777" w:rsidTr="00D82EE2">
        <w:trPr>
          <w:jc w:val="center"/>
        </w:trPr>
        <w:tc>
          <w:tcPr>
            <w:tcW w:w="5496" w:type="dxa"/>
            <w:tcBorders>
              <w:top w:val="nil"/>
              <w:bottom w:val="nil"/>
            </w:tcBorders>
            <w:shd w:val="clear" w:color="auto" w:fill="auto"/>
          </w:tcPr>
          <w:p w14:paraId="79D49681" w14:textId="77777777" w:rsidR="006D2677" w:rsidRPr="00D82EE2" w:rsidRDefault="00A21C00" w:rsidP="00D82EE2">
            <w:pPr>
              <w:topLinePunct/>
              <w:snapToGrid w:val="0"/>
              <w:ind w:firstLineChars="0" w:firstLine="0"/>
              <w:textAlignment w:val="center"/>
              <w:rPr>
                <w:rFonts w:eastAsia="宋体" w:cs="Times New Roman"/>
                <w:kern w:val="0"/>
                <w:szCs w:val="18"/>
                <w:lang w:bidi="ar"/>
              </w:rPr>
            </w:pPr>
            <w:r w:rsidRPr="00D82EE2">
              <w:rPr>
                <w:rFonts w:eastAsia="宋体" w:cs="Times New Roman"/>
                <w:color w:val="000000"/>
                <w:kern w:val="0"/>
                <w:szCs w:val="18"/>
                <w:lang w:bidi="ar"/>
              </w:rPr>
              <w:t>Chemical ingredients</w:t>
            </w:r>
          </w:p>
        </w:tc>
        <w:tc>
          <w:tcPr>
            <w:tcW w:w="1631" w:type="dxa"/>
            <w:tcBorders>
              <w:top w:val="nil"/>
              <w:bottom w:val="nil"/>
            </w:tcBorders>
            <w:shd w:val="clear" w:color="auto" w:fill="auto"/>
          </w:tcPr>
          <w:p w14:paraId="6B9EC07B" w14:textId="77777777" w:rsidR="006D2677" w:rsidRPr="00D82EE2" w:rsidRDefault="00A21C00" w:rsidP="00D82EE2">
            <w:pPr>
              <w:topLinePunct/>
              <w:snapToGrid w:val="0"/>
              <w:ind w:firstLineChars="0" w:firstLine="0"/>
              <w:jc w:val="center"/>
              <w:rPr>
                <w:rFonts w:eastAsia="宋体" w:cs="Times New Roman"/>
                <w:kern w:val="0"/>
                <w:szCs w:val="18"/>
              </w:rPr>
            </w:pPr>
            <w:r w:rsidRPr="00D82EE2">
              <w:rPr>
                <w:rFonts w:eastAsia="宋体" w:cs="Times New Roman"/>
                <w:color w:val="000000"/>
                <w:kern w:val="0"/>
                <w:szCs w:val="18"/>
                <w:lang w:bidi="ar"/>
              </w:rPr>
              <w:t>10</w:t>
            </w:r>
            <w:r>
              <w:rPr>
                <w:rFonts w:eastAsia="宋体" w:cs="Times New Roman" w:hint="eastAsia"/>
                <w:color w:val="000000"/>
                <w:kern w:val="0"/>
                <w:szCs w:val="18"/>
                <w:lang w:bidi="ar"/>
              </w:rPr>
              <w:t xml:space="preserve"> </w:t>
            </w:r>
            <w:r w:rsidRPr="00D82EE2">
              <w:rPr>
                <w:rFonts w:eastAsia="宋体" w:cs="Times New Roman"/>
                <w:color w:val="000000"/>
                <w:kern w:val="0"/>
                <w:szCs w:val="18"/>
                <w:lang w:bidi="ar"/>
              </w:rPr>
              <w:t>000 tons</w:t>
            </w:r>
          </w:p>
        </w:tc>
        <w:tc>
          <w:tcPr>
            <w:tcW w:w="717" w:type="dxa"/>
            <w:tcBorders>
              <w:top w:val="nil"/>
              <w:bottom w:val="nil"/>
            </w:tcBorders>
            <w:shd w:val="clear" w:color="auto" w:fill="auto"/>
            <w:vAlign w:val="center"/>
          </w:tcPr>
          <w:p w14:paraId="444B24FF"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szCs w:val="18"/>
              </w:rPr>
              <w:t xml:space="preserve">18.3 </w:t>
            </w:r>
          </w:p>
        </w:tc>
        <w:tc>
          <w:tcPr>
            <w:tcW w:w="1794" w:type="dxa"/>
            <w:tcBorders>
              <w:top w:val="nil"/>
              <w:bottom w:val="nil"/>
            </w:tcBorders>
            <w:shd w:val="clear" w:color="auto" w:fill="auto"/>
            <w:vAlign w:val="center"/>
          </w:tcPr>
          <w:p w14:paraId="11D71D49"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szCs w:val="18"/>
              </w:rPr>
              <w:t xml:space="preserve">-6.2 </w:t>
            </w:r>
          </w:p>
        </w:tc>
      </w:tr>
      <w:tr w:rsidR="006D2677" w14:paraId="3B12A955" w14:textId="77777777" w:rsidTr="00D82EE2">
        <w:trPr>
          <w:jc w:val="center"/>
        </w:trPr>
        <w:tc>
          <w:tcPr>
            <w:tcW w:w="5496" w:type="dxa"/>
            <w:tcBorders>
              <w:top w:val="nil"/>
              <w:bottom w:val="nil"/>
            </w:tcBorders>
            <w:shd w:val="clear" w:color="auto" w:fill="auto"/>
          </w:tcPr>
          <w:p w14:paraId="6C4C8D28" w14:textId="77777777" w:rsidR="006D2677" w:rsidRPr="00D82EE2" w:rsidRDefault="00A21C00" w:rsidP="00D82EE2">
            <w:pPr>
              <w:topLinePunct/>
              <w:snapToGrid w:val="0"/>
              <w:ind w:firstLineChars="0" w:firstLine="0"/>
              <w:textAlignment w:val="center"/>
              <w:rPr>
                <w:rFonts w:eastAsia="宋体" w:cs="Times New Roman"/>
                <w:kern w:val="0"/>
                <w:szCs w:val="18"/>
                <w:lang w:bidi="ar"/>
              </w:rPr>
            </w:pPr>
            <w:r w:rsidRPr="00D82EE2">
              <w:rPr>
                <w:rFonts w:eastAsia="宋体" w:cs="Times New Roman"/>
                <w:color w:val="000000"/>
                <w:kern w:val="0"/>
                <w:szCs w:val="18"/>
                <w:lang w:bidi="ar"/>
              </w:rPr>
              <w:t>Chinese patent medicine</w:t>
            </w:r>
          </w:p>
        </w:tc>
        <w:tc>
          <w:tcPr>
            <w:tcW w:w="1631" w:type="dxa"/>
            <w:tcBorders>
              <w:top w:val="nil"/>
              <w:bottom w:val="nil"/>
            </w:tcBorders>
            <w:shd w:val="clear" w:color="auto" w:fill="auto"/>
          </w:tcPr>
          <w:p w14:paraId="4FD02E84" w14:textId="77777777" w:rsidR="006D2677" w:rsidRPr="00D82EE2" w:rsidRDefault="00A21C00" w:rsidP="00D82EE2">
            <w:pPr>
              <w:topLinePunct/>
              <w:snapToGrid w:val="0"/>
              <w:ind w:firstLineChars="0" w:firstLine="0"/>
              <w:jc w:val="center"/>
              <w:rPr>
                <w:rFonts w:eastAsia="宋体" w:cs="Times New Roman"/>
                <w:kern w:val="0"/>
                <w:szCs w:val="18"/>
              </w:rPr>
            </w:pPr>
            <w:r w:rsidRPr="00D82EE2">
              <w:rPr>
                <w:rFonts w:eastAsia="宋体" w:cs="Times New Roman"/>
                <w:color w:val="000000"/>
                <w:kern w:val="0"/>
                <w:szCs w:val="18"/>
                <w:lang w:bidi="ar"/>
              </w:rPr>
              <w:t>10</w:t>
            </w:r>
            <w:r>
              <w:rPr>
                <w:rFonts w:eastAsia="宋体" w:cs="Times New Roman" w:hint="eastAsia"/>
                <w:color w:val="000000"/>
                <w:kern w:val="0"/>
                <w:szCs w:val="18"/>
                <w:lang w:bidi="ar"/>
              </w:rPr>
              <w:t xml:space="preserve"> </w:t>
            </w:r>
            <w:r w:rsidRPr="00D82EE2">
              <w:rPr>
                <w:rFonts w:eastAsia="宋体" w:cs="Times New Roman"/>
                <w:color w:val="000000"/>
                <w:kern w:val="0"/>
                <w:szCs w:val="18"/>
                <w:lang w:bidi="ar"/>
              </w:rPr>
              <w:t>000 tons</w:t>
            </w:r>
          </w:p>
        </w:tc>
        <w:tc>
          <w:tcPr>
            <w:tcW w:w="717" w:type="dxa"/>
            <w:tcBorders>
              <w:top w:val="nil"/>
              <w:bottom w:val="nil"/>
            </w:tcBorders>
            <w:shd w:val="clear" w:color="auto" w:fill="auto"/>
            <w:vAlign w:val="center"/>
          </w:tcPr>
          <w:p w14:paraId="009568E1"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szCs w:val="18"/>
              </w:rPr>
              <w:t xml:space="preserve">23.1 </w:t>
            </w:r>
          </w:p>
        </w:tc>
        <w:tc>
          <w:tcPr>
            <w:tcW w:w="1794" w:type="dxa"/>
            <w:tcBorders>
              <w:top w:val="nil"/>
              <w:bottom w:val="nil"/>
            </w:tcBorders>
            <w:shd w:val="clear" w:color="auto" w:fill="auto"/>
            <w:vAlign w:val="center"/>
          </w:tcPr>
          <w:p w14:paraId="7EE53AEE"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szCs w:val="18"/>
              </w:rPr>
              <w:t xml:space="preserve">-22.7 </w:t>
            </w:r>
          </w:p>
        </w:tc>
      </w:tr>
      <w:tr w:rsidR="006D2677" w14:paraId="42207A39" w14:textId="77777777" w:rsidTr="00D82EE2">
        <w:trPr>
          <w:jc w:val="center"/>
        </w:trPr>
        <w:tc>
          <w:tcPr>
            <w:tcW w:w="5496" w:type="dxa"/>
            <w:tcBorders>
              <w:top w:val="nil"/>
              <w:bottom w:val="nil"/>
            </w:tcBorders>
            <w:shd w:val="clear" w:color="auto" w:fill="auto"/>
          </w:tcPr>
          <w:p w14:paraId="55F70469" w14:textId="77777777" w:rsidR="006D2677" w:rsidRPr="00D82EE2" w:rsidRDefault="00A21C00" w:rsidP="00D82EE2">
            <w:pPr>
              <w:topLinePunct/>
              <w:snapToGrid w:val="0"/>
              <w:ind w:firstLineChars="0" w:firstLine="0"/>
              <w:textAlignment w:val="center"/>
              <w:rPr>
                <w:rFonts w:eastAsia="宋体" w:cs="Times New Roman"/>
                <w:kern w:val="0"/>
                <w:szCs w:val="18"/>
                <w:lang w:bidi="ar"/>
              </w:rPr>
            </w:pPr>
            <w:r w:rsidRPr="00D82EE2">
              <w:rPr>
                <w:rFonts w:eastAsia="宋体" w:cs="Times New Roman"/>
                <w:color w:val="000000"/>
                <w:kern w:val="0"/>
                <w:szCs w:val="18"/>
                <w:lang w:bidi="ar"/>
              </w:rPr>
              <w:t>Power generation</w:t>
            </w:r>
          </w:p>
        </w:tc>
        <w:tc>
          <w:tcPr>
            <w:tcW w:w="1631" w:type="dxa"/>
            <w:tcBorders>
              <w:top w:val="nil"/>
              <w:bottom w:val="nil"/>
            </w:tcBorders>
            <w:shd w:val="clear" w:color="auto" w:fill="auto"/>
          </w:tcPr>
          <w:p w14:paraId="00710485" w14:textId="77777777" w:rsidR="006D2677" w:rsidRPr="00D82EE2" w:rsidRDefault="00A21C00" w:rsidP="00D82EE2">
            <w:pPr>
              <w:topLinePunct/>
              <w:snapToGrid w:val="0"/>
              <w:ind w:firstLineChars="0" w:firstLine="0"/>
              <w:jc w:val="center"/>
              <w:textAlignment w:val="center"/>
              <w:rPr>
                <w:rFonts w:eastAsia="宋体" w:cs="Times New Roman"/>
                <w:kern w:val="0"/>
                <w:szCs w:val="18"/>
                <w:lang w:bidi="ar"/>
              </w:rPr>
            </w:pPr>
            <w:r w:rsidRPr="00D82EE2">
              <w:rPr>
                <w:rFonts w:eastAsia="宋体" w:cs="Times New Roman"/>
                <w:color w:val="000000"/>
                <w:kern w:val="0"/>
                <w:szCs w:val="18"/>
                <w:lang w:bidi="ar"/>
              </w:rPr>
              <w:t>100 million kWh</w:t>
            </w:r>
          </w:p>
        </w:tc>
        <w:tc>
          <w:tcPr>
            <w:tcW w:w="717" w:type="dxa"/>
            <w:tcBorders>
              <w:top w:val="nil"/>
              <w:bottom w:val="nil"/>
            </w:tcBorders>
            <w:shd w:val="clear" w:color="auto" w:fill="auto"/>
            <w:vAlign w:val="center"/>
          </w:tcPr>
          <w:p w14:paraId="0AC703AA" w14:textId="77777777" w:rsidR="006D2677" w:rsidRPr="00D82EE2" w:rsidRDefault="00A21C00" w:rsidP="00D82EE2">
            <w:pPr>
              <w:topLinePunct/>
              <w:snapToGrid w:val="0"/>
              <w:ind w:firstLineChars="0" w:firstLine="0"/>
              <w:jc w:val="right"/>
              <w:textAlignment w:val="center"/>
              <w:rPr>
                <w:rFonts w:eastAsia="宋体" w:cs="Times New Roman"/>
                <w:kern w:val="0"/>
                <w:szCs w:val="18"/>
                <w:lang w:bidi="ar"/>
              </w:rPr>
            </w:pPr>
            <w:r w:rsidRPr="00D82EE2">
              <w:rPr>
                <w:rFonts w:eastAsia="宋体" w:cs="Times New Roman"/>
                <w:kern w:val="0"/>
                <w:szCs w:val="18"/>
                <w:lang w:bidi="ar"/>
              </w:rPr>
              <w:t>2911.35</w:t>
            </w:r>
          </w:p>
        </w:tc>
        <w:tc>
          <w:tcPr>
            <w:tcW w:w="1794" w:type="dxa"/>
            <w:tcBorders>
              <w:top w:val="nil"/>
              <w:bottom w:val="nil"/>
            </w:tcBorders>
            <w:shd w:val="clear" w:color="auto" w:fill="auto"/>
            <w:vAlign w:val="center"/>
          </w:tcPr>
          <w:p w14:paraId="0FE43DB8" w14:textId="77777777" w:rsidR="006D2677" w:rsidRPr="00D82EE2" w:rsidRDefault="00A21C00" w:rsidP="00D82EE2">
            <w:pPr>
              <w:topLinePunct/>
              <w:snapToGrid w:val="0"/>
              <w:ind w:firstLineChars="0" w:firstLine="0"/>
              <w:jc w:val="right"/>
              <w:textAlignment w:val="center"/>
              <w:rPr>
                <w:rFonts w:eastAsia="宋体" w:cs="Times New Roman"/>
                <w:kern w:val="0"/>
                <w:szCs w:val="18"/>
                <w:lang w:bidi="ar"/>
              </w:rPr>
            </w:pPr>
            <w:r w:rsidRPr="00D82EE2">
              <w:rPr>
                <w:rFonts w:eastAsia="宋体" w:cs="Times New Roman"/>
                <w:kern w:val="0"/>
                <w:szCs w:val="18"/>
                <w:lang w:bidi="ar"/>
              </w:rPr>
              <w:t>0.5</w:t>
            </w:r>
          </w:p>
        </w:tc>
      </w:tr>
      <w:tr w:rsidR="006D2677" w14:paraId="23E4EE7D" w14:textId="77777777" w:rsidTr="00D82EE2">
        <w:trPr>
          <w:jc w:val="center"/>
        </w:trPr>
        <w:tc>
          <w:tcPr>
            <w:tcW w:w="5496" w:type="dxa"/>
            <w:tcBorders>
              <w:top w:val="nil"/>
              <w:bottom w:val="nil"/>
            </w:tcBorders>
            <w:shd w:val="clear" w:color="auto" w:fill="auto"/>
          </w:tcPr>
          <w:p w14:paraId="72FDABA4" w14:textId="77777777" w:rsidR="006D2677" w:rsidRPr="00D82EE2" w:rsidRDefault="00A21C00" w:rsidP="00D82EE2">
            <w:pPr>
              <w:topLinePunct/>
              <w:snapToGrid w:val="0"/>
              <w:ind w:firstLineChars="100" w:firstLine="180"/>
              <w:textAlignment w:val="center"/>
              <w:rPr>
                <w:rFonts w:eastAsia="宋体" w:cs="Times New Roman"/>
                <w:kern w:val="0"/>
                <w:szCs w:val="18"/>
                <w:lang w:bidi="ar"/>
              </w:rPr>
            </w:pPr>
            <w:r w:rsidRPr="00D82EE2">
              <w:rPr>
                <w:rFonts w:eastAsia="宋体" w:cs="Times New Roman"/>
                <w:color w:val="000000"/>
                <w:kern w:val="0"/>
                <w:szCs w:val="18"/>
                <w:lang w:bidi="ar"/>
              </w:rPr>
              <w:t># Water and electricity</w:t>
            </w:r>
          </w:p>
        </w:tc>
        <w:tc>
          <w:tcPr>
            <w:tcW w:w="1631" w:type="dxa"/>
            <w:tcBorders>
              <w:top w:val="nil"/>
              <w:bottom w:val="nil"/>
            </w:tcBorders>
            <w:shd w:val="clear" w:color="auto" w:fill="auto"/>
          </w:tcPr>
          <w:p w14:paraId="08AEAD50" w14:textId="77777777" w:rsidR="006D2677" w:rsidRPr="00D82EE2" w:rsidRDefault="00A21C00" w:rsidP="00D82EE2">
            <w:pPr>
              <w:topLinePunct/>
              <w:snapToGrid w:val="0"/>
              <w:ind w:firstLineChars="0" w:firstLine="0"/>
              <w:jc w:val="center"/>
              <w:textAlignment w:val="center"/>
              <w:rPr>
                <w:rFonts w:eastAsia="宋体" w:cs="Times New Roman"/>
                <w:kern w:val="0"/>
                <w:szCs w:val="18"/>
                <w:lang w:bidi="ar"/>
              </w:rPr>
            </w:pPr>
            <w:r w:rsidRPr="00D82EE2">
              <w:rPr>
                <w:rFonts w:eastAsia="宋体" w:cs="Times New Roman"/>
                <w:color w:val="000000"/>
                <w:kern w:val="0"/>
                <w:szCs w:val="18"/>
                <w:lang w:bidi="ar"/>
              </w:rPr>
              <w:t>100 million kWh</w:t>
            </w:r>
          </w:p>
        </w:tc>
        <w:tc>
          <w:tcPr>
            <w:tcW w:w="717" w:type="dxa"/>
            <w:tcBorders>
              <w:top w:val="nil"/>
              <w:bottom w:val="nil"/>
            </w:tcBorders>
            <w:shd w:val="clear" w:color="auto" w:fill="auto"/>
            <w:vAlign w:val="center"/>
          </w:tcPr>
          <w:p w14:paraId="303B9DEC"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kern w:val="0"/>
                <w:szCs w:val="18"/>
                <w:lang w:bidi="ar"/>
              </w:rPr>
              <w:t>1574.53</w:t>
            </w:r>
            <w:r w:rsidRPr="00D82EE2">
              <w:rPr>
                <w:rFonts w:eastAsia="宋体" w:cs="Times New Roman"/>
                <w:szCs w:val="18"/>
              </w:rPr>
              <w:t xml:space="preserve"> </w:t>
            </w:r>
          </w:p>
        </w:tc>
        <w:tc>
          <w:tcPr>
            <w:tcW w:w="1794" w:type="dxa"/>
            <w:tcBorders>
              <w:top w:val="nil"/>
              <w:bottom w:val="nil"/>
            </w:tcBorders>
            <w:shd w:val="clear" w:color="auto" w:fill="auto"/>
            <w:vAlign w:val="center"/>
          </w:tcPr>
          <w:p w14:paraId="7A2621A0"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szCs w:val="18"/>
              </w:rPr>
              <w:t xml:space="preserve">19.0 </w:t>
            </w:r>
          </w:p>
        </w:tc>
      </w:tr>
      <w:tr w:rsidR="006D2677" w14:paraId="548C9E2E" w14:textId="77777777" w:rsidTr="00D82EE2">
        <w:trPr>
          <w:jc w:val="center"/>
        </w:trPr>
        <w:tc>
          <w:tcPr>
            <w:tcW w:w="5496" w:type="dxa"/>
            <w:tcBorders>
              <w:top w:val="nil"/>
              <w:bottom w:val="nil"/>
            </w:tcBorders>
            <w:shd w:val="clear" w:color="auto" w:fill="auto"/>
          </w:tcPr>
          <w:p w14:paraId="209DF286" w14:textId="77777777" w:rsidR="006D2677" w:rsidRPr="00D82EE2" w:rsidRDefault="00A21C00" w:rsidP="00D82EE2">
            <w:pPr>
              <w:topLinePunct/>
              <w:snapToGrid w:val="0"/>
              <w:ind w:firstLineChars="0" w:firstLine="0"/>
              <w:textAlignment w:val="center"/>
              <w:rPr>
                <w:rFonts w:eastAsia="宋体" w:cs="Times New Roman"/>
                <w:kern w:val="0"/>
                <w:szCs w:val="18"/>
                <w:lang w:bidi="ar"/>
              </w:rPr>
            </w:pPr>
            <w:r w:rsidRPr="00D82EE2">
              <w:rPr>
                <w:rFonts w:eastAsia="宋体" w:cs="Times New Roman"/>
                <w:color w:val="000000"/>
                <w:kern w:val="0"/>
                <w:szCs w:val="18"/>
                <w:lang w:bidi="ar"/>
              </w:rPr>
              <w:t>Cement</w:t>
            </w:r>
          </w:p>
        </w:tc>
        <w:tc>
          <w:tcPr>
            <w:tcW w:w="1631" w:type="dxa"/>
            <w:tcBorders>
              <w:top w:val="nil"/>
              <w:bottom w:val="nil"/>
            </w:tcBorders>
            <w:shd w:val="clear" w:color="auto" w:fill="auto"/>
          </w:tcPr>
          <w:p w14:paraId="666DD299" w14:textId="77777777" w:rsidR="006D2677" w:rsidRPr="00D82EE2" w:rsidRDefault="00A21C00" w:rsidP="00D82EE2">
            <w:pPr>
              <w:topLinePunct/>
              <w:snapToGrid w:val="0"/>
              <w:ind w:firstLineChars="0" w:firstLine="0"/>
              <w:jc w:val="center"/>
              <w:rPr>
                <w:rFonts w:eastAsia="宋体" w:cs="Times New Roman"/>
                <w:kern w:val="0"/>
                <w:szCs w:val="18"/>
              </w:rPr>
            </w:pPr>
            <w:r w:rsidRPr="00D82EE2">
              <w:rPr>
                <w:rFonts w:eastAsia="宋体" w:cs="Times New Roman"/>
                <w:color w:val="000000"/>
                <w:kern w:val="0"/>
                <w:szCs w:val="18"/>
                <w:lang w:bidi="ar"/>
              </w:rPr>
              <w:t>10</w:t>
            </w:r>
            <w:r>
              <w:rPr>
                <w:rFonts w:eastAsia="宋体" w:cs="Times New Roman" w:hint="eastAsia"/>
                <w:color w:val="000000"/>
                <w:kern w:val="0"/>
                <w:szCs w:val="18"/>
                <w:lang w:bidi="ar"/>
              </w:rPr>
              <w:t xml:space="preserve"> </w:t>
            </w:r>
            <w:r w:rsidRPr="00D82EE2">
              <w:rPr>
                <w:rFonts w:eastAsia="宋体" w:cs="Times New Roman"/>
                <w:color w:val="000000"/>
                <w:kern w:val="0"/>
                <w:szCs w:val="18"/>
                <w:lang w:bidi="ar"/>
              </w:rPr>
              <w:t>000 tons</w:t>
            </w:r>
          </w:p>
        </w:tc>
        <w:tc>
          <w:tcPr>
            <w:tcW w:w="717" w:type="dxa"/>
            <w:tcBorders>
              <w:top w:val="nil"/>
              <w:bottom w:val="nil"/>
            </w:tcBorders>
            <w:shd w:val="clear" w:color="auto" w:fill="auto"/>
            <w:vAlign w:val="center"/>
          </w:tcPr>
          <w:p w14:paraId="1E352235"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szCs w:val="18"/>
              </w:rPr>
              <w:t xml:space="preserve">10108.7 </w:t>
            </w:r>
          </w:p>
        </w:tc>
        <w:tc>
          <w:tcPr>
            <w:tcW w:w="1794" w:type="dxa"/>
            <w:tcBorders>
              <w:top w:val="nil"/>
              <w:bottom w:val="nil"/>
            </w:tcBorders>
            <w:shd w:val="clear" w:color="auto" w:fill="auto"/>
            <w:vAlign w:val="center"/>
          </w:tcPr>
          <w:p w14:paraId="776E10EF"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szCs w:val="18"/>
              </w:rPr>
              <w:t xml:space="preserve">-12.8 </w:t>
            </w:r>
          </w:p>
        </w:tc>
      </w:tr>
      <w:tr w:rsidR="006D2677" w14:paraId="6B05F547" w14:textId="77777777" w:rsidTr="00D82EE2">
        <w:trPr>
          <w:jc w:val="center"/>
        </w:trPr>
        <w:tc>
          <w:tcPr>
            <w:tcW w:w="5496" w:type="dxa"/>
            <w:tcBorders>
              <w:top w:val="nil"/>
              <w:bottom w:val="nil"/>
            </w:tcBorders>
            <w:shd w:val="clear" w:color="auto" w:fill="auto"/>
          </w:tcPr>
          <w:p w14:paraId="319D2035" w14:textId="77777777" w:rsidR="006D2677" w:rsidRPr="00D82EE2" w:rsidRDefault="00A21C00" w:rsidP="00D82EE2">
            <w:pPr>
              <w:topLinePunct/>
              <w:snapToGrid w:val="0"/>
              <w:ind w:firstLineChars="0" w:firstLine="0"/>
              <w:textAlignment w:val="center"/>
              <w:rPr>
                <w:rFonts w:eastAsia="宋体" w:cs="Times New Roman"/>
                <w:kern w:val="0"/>
                <w:szCs w:val="18"/>
                <w:lang w:bidi="ar"/>
              </w:rPr>
            </w:pPr>
            <w:r w:rsidRPr="00D82EE2">
              <w:rPr>
                <w:rFonts w:eastAsia="宋体" w:cs="Times New Roman"/>
                <w:color w:val="000000"/>
                <w:kern w:val="0"/>
                <w:szCs w:val="18"/>
                <w:lang w:bidi="ar"/>
              </w:rPr>
              <w:t>Plate glass</w:t>
            </w:r>
          </w:p>
        </w:tc>
        <w:tc>
          <w:tcPr>
            <w:tcW w:w="1631" w:type="dxa"/>
            <w:tcBorders>
              <w:top w:val="nil"/>
              <w:bottom w:val="nil"/>
            </w:tcBorders>
            <w:shd w:val="clear" w:color="auto" w:fill="auto"/>
          </w:tcPr>
          <w:p w14:paraId="73E94E64" w14:textId="77777777" w:rsidR="006D2677" w:rsidRPr="00D82EE2" w:rsidRDefault="00A21C00" w:rsidP="00D82EE2">
            <w:pPr>
              <w:topLinePunct/>
              <w:snapToGrid w:val="0"/>
              <w:ind w:firstLineChars="0" w:firstLine="0"/>
              <w:jc w:val="center"/>
              <w:rPr>
                <w:rFonts w:eastAsia="宋体" w:cs="Times New Roman"/>
                <w:kern w:val="0"/>
                <w:szCs w:val="18"/>
              </w:rPr>
            </w:pPr>
            <w:r w:rsidRPr="00D82EE2">
              <w:rPr>
                <w:rFonts w:eastAsia="宋体" w:cs="Times New Roman"/>
                <w:color w:val="000000"/>
                <w:kern w:val="0"/>
                <w:szCs w:val="18"/>
                <w:lang w:bidi="ar"/>
              </w:rPr>
              <w:t>10</w:t>
            </w:r>
            <w:r>
              <w:rPr>
                <w:rFonts w:eastAsia="宋体" w:cs="Times New Roman" w:hint="eastAsia"/>
                <w:color w:val="000000"/>
                <w:kern w:val="0"/>
                <w:szCs w:val="18"/>
                <w:lang w:bidi="ar"/>
              </w:rPr>
              <w:t xml:space="preserve"> </w:t>
            </w:r>
            <w:r w:rsidRPr="00D82EE2">
              <w:rPr>
                <w:rFonts w:eastAsia="宋体" w:cs="Times New Roman"/>
                <w:color w:val="000000"/>
                <w:kern w:val="0"/>
                <w:szCs w:val="18"/>
                <w:lang w:bidi="ar"/>
              </w:rPr>
              <w:t>000 weight cases</w:t>
            </w:r>
          </w:p>
        </w:tc>
        <w:tc>
          <w:tcPr>
            <w:tcW w:w="717" w:type="dxa"/>
            <w:tcBorders>
              <w:top w:val="nil"/>
              <w:bottom w:val="nil"/>
            </w:tcBorders>
            <w:shd w:val="clear" w:color="auto" w:fill="auto"/>
            <w:vAlign w:val="center"/>
          </w:tcPr>
          <w:p w14:paraId="58715AEC"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szCs w:val="18"/>
              </w:rPr>
              <w:t xml:space="preserve">9584.5 </w:t>
            </w:r>
          </w:p>
        </w:tc>
        <w:tc>
          <w:tcPr>
            <w:tcW w:w="1794" w:type="dxa"/>
            <w:tcBorders>
              <w:top w:val="nil"/>
              <w:bottom w:val="nil"/>
            </w:tcBorders>
            <w:shd w:val="clear" w:color="auto" w:fill="auto"/>
            <w:vAlign w:val="center"/>
          </w:tcPr>
          <w:p w14:paraId="0FB9EEAC"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szCs w:val="18"/>
              </w:rPr>
              <w:t xml:space="preserve">-7.5 </w:t>
            </w:r>
          </w:p>
        </w:tc>
      </w:tr>
      <w:tr w:rsidR="006D2677" w14:paraId="74F0A24E" w14:textId="77777777" w:rsidTr="00D82EE2">
        <w:trPr>
          <w:jc w:val="center"/>
        </w:trPr>
        <w:tc>
          <w:tcPr>
            <w:tcW w:w="5496" w:type="dxa"/>
            <w:tcBorders>
              <w:top w:val="nil"/>
              <w:bottom w:val="nil"/>
            </w:tcBorders>
            <w:shd w:val="clear" w:color="auto" w:fill="auto"/>
          </w:tcPr>
          <w:p w14:paraId="5E9F98DB" w14:textId="77777777" w:rsidR="006D2677" w:rsidRPr="00D82EE2" w:rsidRDefault="00A21C00" w:rsidP="00D82EE2">
            <w:pPr>
              <w:topLinePunct/>
              <w:snapToGrid w:val="0"/>
              <w:ind w:firstLineChars="0" w:firstLine="0"/>
              <w:textAlignment w:val="center"/>
              <w:rPr>
                <w:rFonts w:eastAsia="宋体" w:cs="Times New Roman"/>
                <w:kern w:val="0"/>
                <w:szCs w:val="18"/>
                <w:lang w:bidi="ar"/>
              </w:rPr>
            </w:pPr>
            <w:r w:rsidRPr="00D82EE2">
              <w:rPr>
                <w:rFonts w:eastAsia="宋体" w:cs="Times New Roman"/>
                <w:color w:val="000000"/>
                <w:kern w:val="0"/>
                <w:szCs w:val="18"/>
                <w:lang w:bidi="ar"/>
              </w:rPr>
              <w:t>Pig iron</w:t>
            </w:r>
          </w:p>
        </w:tc>
        <w:tc>
          <w:tcPr>
            <w:tcW w:w="1631" w:type="dxa"/>
            <w:tcBorders>
              <w:top w:val="nil"/>
              <w:bottom w:val="nil"/>
            </w:tcBorders>
            <w:shd w:val="clear" w:color="auto" w:fill="auto"/>
          </w:tcPr>
          <w:p w14:paraId="2BB7F156" w14:textId="77777777" w:rsidR="006D2677" w:rsidRPr="00D82EE2" w:rsidRDefault="00A21C00" w:rsidP="00D82EE2">
            <w:pPr>
              <w:topLinePunct/>
              <w:snapToGrid w:val="0"/>
              <w:ind w:firstLineChars="0" w:firstLine="0"/>
              <w:jc w:val="center"/>
              <w:rPr>
                <w:rFonts w:eastAsia="宋体" w:cs="Times New Roman"/>
                <w:kern w:val="0"/>
                <w:szCs w:val="18"/>
              </w:rPr>
            </w:pPr>
            <w:r w:rsidRPr="00D82EE2">
              <w:rPr>
                <w:rFonts w:eastAsia="宋体" w:cs="Times New Roman"/>
                <w:color w:val="000000"/>
                <w:kern w:val="0"/>
                <w:szCs w:val="18"/>
                <w:lang w:bidi="ar"/>
              </w:rPr>
              <w:t>10</w:t>
            </w:r>
            <w:r>
              <w:rPr>
                <w:rFonts w:eastAsia="宋体" w:cs="Times New Roman" w:hint="eastAsia"/>
                <w:color w:val="000000"/>
                <w:kern w:val="0"/>
                <w:szCs w:val="18"/>
                <w:lang w:bidi="ar"/>
              </w:rPr>
              <w:t xml:space="preserve"> </w:t>
            </w:r>
            <w:r w:rsidRPr="00D82EE2">
              <w:rPr>
                <w:rFonts w:eastAsia="宋体" w:cs="Times New Roman"/>
                <w:color w:val="000000"/>
                <w:kern w:val="0"/>
                <w:szCs w:val="18"/>
                <w:lang w:bidi="ar"/>
              </w:rPr>
              <w:t>000 tons</w:t>
            </w:r>
          </w:p>
        </w:tc>
        <w:tc>
          <w:tcPr>
            <w:tcW w:w="717" w:type="dxa"/>
            <w:tcBorders>
              <w:top w:val="nil"/>
              <w:bottom w:val="nil"/>
            </w:tcBorders>
            <w:shd w:val="clear" w:color="auto" w:fill="auto"/>
            <w:vAlign w:val="center"/>
          </w:tcPr>
          <w:p w14:paraId="4AB239AC"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szCs w:val="18"/>
              </w:rPr>
              <w:t xml:space="preserve">2727.4 </w:t>
            </w:r>
          </w:p>
        </w:tc>
        <w:tc>
          <w:tcPr>
            <w:tcW w:w="1794" w:type="dxa"/>
            <w:tcBorders>
              <w:top w:val="nil"/>
              <w:bottom w:val="nil"/>
            </w:tcBorders>
            <w:shd w:val="clear" w:color="auto" w:fill="auto"/>
            <w:vAlign w:val="center"/>
          </w:tcPr>
          <w:p w14:paraId="325B55A0"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szCs w:val="18"/>
              </w:rPr>
              <w:t xml:space="preserve">-4.9 </w:t>
            </w:r>
          </w:p>
        </w:tc>
      </w:tr>
      <w:tr w:rsidR="006D2677" w14:paraId="33D01E2C" w14:textId="77777777" w:rsidTr="00D82EE2">
        <w:trPr>
          <w:jc w:val="center"/>
        </w:trPr>
        <w:tc>
          <w:tcPr>
            <w:tcW w:w="5496" w:type="dxa"/>
            <w:tcBorders>
              <w:top w:val="nil"/>
              <w:bottom w:val="nil"/>
            </w:tcBorders>
            <w:shd w:val="clear" w:color="auto" w:fill="auto"/>
          </w:tcPr>
          <w:p w14:paraId="4E8F799B" w14:textId="77777777" w:rsidR="006D2677" w:rsidRPr="00D82EE2" w:rsidRDefault="00A21C00" w:rsidP="00D82EE2">
            <w:pPr>
              <w:topLinePunct/>
              <w:snapToGrid w:val="0"/>
              <w:ind w:firstLineChars="0" w:firstLine="0"/>
              <w:textAlignment w:val="center"/>
              <w:rPr>
                <w:rFonts w:eastAsia="宋体" w:cs="Times New Roman"/>
                <w:kern w:val="0"/>
                <w:szCs w:val="18"/>
                <w:lang w:bidi="ar"/>
              </w:rPr>
            </w:pPr>
            <w:r w:rsidRPr="00D82EE2">
              <w:rPr>
                <w:rFonts w:eastAsia="宋体" w:cs="Times New Roman"/>
                <w:color w:val="000000"/>
                <w:kern w:val="0"/>
                <w:szCs w:val="18"/>
                <w:lang w:bidi="ar"/>
              </w:rPr>
              <w:t>Crude steel</w:t>
            </w:r>
          </w:p>
        </w:tc>
        <w:tc>
          <w:tcPr>
            <w:tcW w:w="1631" w:type="dxa"/>
            <w:tcBorders>
              <w:top w:val="nil"/>
              <w:bottom w:val="nil"/>
            </w:tcBorders>
            <w:shd w:val="clear" w:color="auto" w:fill="auto"/>
          </w:tcPr>
          <w:p w14:paraId="7138FF1B" w14:textId="77777777" w:rsidR="006D2677" w:rsidRPr="00D82EE2" w:rsidRDefault="00A21C00" w:rsidP="00D82EE2">
            <w:pPr>
              <w:topLinePunct/>
              <w:snapToGrid w:val="0"/>
              <w:ind w:firstLineChars="0" w:firstLine="0"/>
              <w:jc w:val="center"/>
              <w:rPr>
                <w:rFonts w:eastAsia="宋体" w:cs="Times New Roman"/>
                <w:kern w:val="0"/>
                <w:szCs w:val="18"/>
              </w:rPr>
            </w:pPr>
            <w:r w:rsidRPr="00D82EE2">
              <w:rPr>
                <w:rFonts w:eastAsia="宋体" w:cs="Times New Roman"/>
                <w:color w:val="000000"/>
                <w:kern w:val="0"/>
                <w:szCs w:val="18"/>
                <w:lang w:bidi="ar"/>
              </w:rPr>
              <w:t>10</w:t>
            </w:r>
            <w:r>
              <w:rPr>
                <w:rFonts w:eastAsia="宋体" w:cs="Times New Roman" w:hint="eastAsia"/>
                <w:color w:val="000000"/>
                <w:kern w:val="0"/>
                <w:szCs w:val="18"/>
                <w:lang w:bidi="ar"/>
              </w:rPr>
              <w:t xml:space="preserve"> </w:t>
            </w:r>
            <w:r w:rsidRPr="00D82EE2">
              <w:rPr>
                <w:rFonts w:eastAsia="宋体" w:cs="Times New Roman"/>
                <w:color w:val="000000"/>
                <w:kern w:val="0"/>
                <w:szCs w:val="18"/>
                <w:lang w:bidi="ar"/>
              </w:rPr>
              <w:t>000 tons</w:t>
            </w:r>
          </w:p>
        </w:tc>
        <w:tc>
          <w:tcPr>
            <w:tcW w:w="717" w:type="dxa"/>
            <w:tcBorders>
              <w:top w:val="nil"/>
              <w:bottom w:val="nil"/>
            </w:tcBorders>
            <w:shd w:val="clear" w:color="auto" w:fill="auto"/>
            <w:vAlign w:val="center"/>
          </w:tcPr>
          <w:p w14:paraId="329F99CF"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szCs w:val="18"/>
              </w:rPr>
              <w:t xml:space="preserve">3557.2 </w:t>
            </w:r>
          </w:p>
        </w:tc>
        <w:tc>
          <w:tcPr>
            <w:tcW w:w="1794" w:type="dxa"/>
            <w:tcBorders>
              <w:top w:val="nil"/>
              <w:bottom w:val="nil"/>
            </w:tcBorders>
            <w:shd w:val="clear" w:color="auto" w:fill="auto"/>
            <w:vAlign w:val="center"/>
          </w:tcPr>
          <w:p w14:paraId="2FDC5C5D"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szCs w:val="18"/>
              </w:rPr>
              <w:t xml:space="preserve">-1.5 </w:t>
            </w:r>
          </w:p>
        </w:tc>
      </w:tr>
      <w:tr w:rsidR="006D2677" w14:paraId="4A374C6A" w14:textId="77777777" w:rsidTr="00D82EE2">
        <w:trPr>
          <w:jc w:val="center"/>
        </w:trPr>
        <w:tc>
          <w:tcPr>
            <w:tcW w:w="5496" w:type="dxa"/>
            <w:tcBorders>
              <w:top w:val="nil"/>
              <w:bottom w:val="nil"/>
            </w:tcBorders>
            <w:shd w:val="clear" w:color="auto" w:fill="auto"/>
          </w:tcPr>
          <w:p w14:paraId="52225546" w14:textId="77777777" w:rsidR="006D2677" w:rsidRPr="00D82EE2" w:rsidRDefault="00A21C00" w:rsidP="00D82EE2">
            <w:pPr>
              <w:topLinePunct/>
              <w:snapToGrid w:val="0"/>
              <w:ind w:firstLineChars="0" w:firstLine="0"/>
              <w:textAlignment w:val="center"/>
              <w:rPr>
                <w:rFonts w:eastAsia="宋体" w:cs="Times New Roman"/>
                <w:kern w:val="0"/>
                <w:szCs w:val="18"/>
                <w:lang w:bidi="ar"/>
              </w:rPr>
            </w:pPr>
            <w:r w:rsidRPr="00D82EE2">
              <w:rPr>
                <w:rFonts w:eastAsia="宋体" w:cs="Times New Roman"/>
                <w:color w:val="000000"/>
                <w:kern w:val="0"/>
                <w:szCs w:val="18"/>
                <w:lang w:bidi="ar"/>
              </w:rPr>
              <w:t>Steel products</w:t>
            </w:r>
          </w:p>
        </w:tc>
        <w:tc>
          <w:tcPr>
            <w:tcW w:w="1631" w:type="dxa"/>
            <w:tcBorders>
              <w:top w:val="nil"/>
              <w:bottom w:val="nil"/>
            </w:tcBorders>
            <w:shd w:val="clear" w:color="auto" w:fill="auto"/>
          </w:tcPr>
          <w:p w14:paraId="0A2E4FBA" w14:textId="77777777" w:rsidR="006D2677" w:rsidRPr="00D82EE2" w:rsidRDefault="00A21C00" w:rsidP="00D82EE2">
            <w:pPr>
              <w:topLinePunct/>
              <w:snapToGrid w:val="0"/>
              <w:ind w:firstLineChars="0" w:firstLine="0"/>
              <w:jc w:val="center"/>
              <w:rPr>
                <w:rFonts w:eastAsia="宋体" w:cs="Times New Roman"/>
                <w:szCs w:val="18"/>
              </w:rPr>
            </w:pPr>
            <w:r w:rsidRPr="00D82EE2">
              <w:rPr>
                <w:rFonts w:eastAsia="宋体" w:cs="Times New Roman"/>
                <w:color w:val="000000"/>
                <w:kern w:val="0"/>
                <w:szCs w:val="18"/>
                <w:lang w:bidi="ar"/>
              </w:rPr>
              <w:t>10</w:t>
            </w:r>
            <w:r>
              <w:rPr>
                <w:rFonts w:eastAsia="宋体" w:cs="Times New Roman" w:hint="eastAsia"/>
                <w:color w:val="000000"/>
                <w:kern w:val="0"/>
                <w:szCs w:val="18"/>
                <w:lang w:bidi="ar"/>
              </w:rPr>
              <w:t xml:space="preserve"> </w:t>
            </w:r>
            <w:r w:rsidRPr="00D82EE2">
              <w:rPr>
                <w:rFonts w:eastAsia="宋体" w:cs="Times New Roman"/>
                <w:color w:val="000000"/>
                <w:kern w:val="0"/>
                <w:szCs w:val="18"/>
                <w:lang w:bidi="ar"/>
              </w:rPr>
              <w:t>000 tons</w:t>
            </w:r>
          </w:p>
        </w:tc>
        <w:tc>
          <w:tcPr>
            <w:tcW w:w="717" w:type="dxa"/>
            <w:tcBorders>
              <w:top w:val="nil"/>
              <w:bottom w:val="nil"/>
            </w:tcBorders>
            <w:shd w:val="clear" w:color="auto" w:fill="auto"/>
            <w:vAlign w:val="center"/>
          </w:tcPr>
          <w:p w14:paraId="2DB53843"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szCs w:val="18"/>
              </w:rPr>
              <w:t xml:space="preserve">3653.0 </w:t>
            </w:r>
          </w:p>
        </w:tc>
        <w:tc>
          <w:tcPr>
            <w:tcW w:w="1794" w:type="dxa"/>
            <w:tcBorders>
              <w:top w:val="nil"/>
              <w:bottom w:val="nil"/>
            </w:tcBorders>
            <w:shd w:val="clear" w:color="auto" w:fill="auto"/>
            <w:vAlign w:val="center"/>
          </w:tcPr>
          <w:p w14:paraId="1C3C23D4"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szCs w:val="18"/>
              </w:rPr>
              <w:t xml:space="preserve">-2.2 </w:t>
            </w:r>
          </w:p>
        </w:tc>
      </w:tr>
      <w:tr w:rsidR="006D2677" w14:paraId="0928569E" w14:textId="77777777" w:rsidTr="00D82EE2">
        <w:trPr>
          <w:jc w:val="center"/>
        </w:trPr>
        <w:tc>
          <w:tcPr>
            <w:tcW w:w="5496" w:type="dxa"/>
            <w:tcBorders>
              <w:top w:val="nil"/>
              <w:bottom w:val="nil"/>
            </w:tcBorders>
            <w:shd w:val="clear" w:color="auto" w:fill="auto"/>
          </w:tcPr>
          <w:p w14:paraId="467B5487" w14:textId="77777777" w:rsidR="006D2677" w:rsidRPr="00D82EE2" w:rsidRDefault="00A21C00" w:rsidP="00D82EE2">
            <w:pPr>
              <w:topLinePunct/>
              <w:snapToGrid w:val="0"/>
              <w:ind w:firstLineChars="0" w:firstLine="0"/>
              <w:textAlignment w:val="center"/>
              <w:rPr>
                <w:rFonts w:eastAsia="宋体" w:cs="Times New Roman"/>
                <w:kern w:val="0"/>
                <w:szCs w:val="18"/>
                <w:lang w:bidi="ar"/>
              </w:rPr>
            </w:pPr>
            <w:r w:rsidRPr="00D82EE2">
              <w:rPr>
                <w:rFonts w:eastAsia="宋体" w:cs="Times New Roman"/>
                <w:color w:val="000000"/>
                <w:kern w:val="0"/>
                <w:szCs w:val="18"/>
                <w:lang w:bidi="ar"/>
              </w:rPr>
              <w:t>Ten kinds of non-ferrous metals</w:t>
            </w:r>
          </w:p>
        </w:tc>
        <w:tc>
          <w:tcPr>
            <w:tcW w:w="1631" w:type="dxa"/>
            <w:tcBorders>
              <w:top w:val="nil"/>
              <w:bottom w:val="nil"/>
            </w:tcBorders>
            <w:shd w:val="clear" w:color="auto" w:fill="auto"/>
          </w:tcPr>
          <w:p w14:paraId="0466869A" w14:textId="77777777" w:rsidR="006D2677" w:rsidRPr="00D82EE2" w:rsidRDefault="00A21C00" w:rsidP="00D82EE2">
            <w:pPr>
              <w:topLinePunct/>
              <w:snapToGrid w:val="0"/>
              <w:ind w:firstLineChars="0" w:firstLine="0"/>
              <w:jc w:val="center"/>
              <w:rPr>
                <w:rFonts w:eastAsia="宋体" w:cs="Times New Roman"/>
                <w:kern w:val="0"/>
                <w:szCs w:val="18"/>
              </w:rPr>
            </w:pPr>
            <w:r w:rsidRPr="00D82EE2">
              <w:rPr>
                <w:rFonts w:eastAsia="宋体" w:cs="Times New Roman"/>
                <w:color w:val="000000"/>
                <w:kern w:val="0"/>
                <w:szCs w:val="18"/>
                <w:lang w:bidi="ar"/>
              </w:rPr>
              <w:t>10</w:t>
            </w:r>
            <w:r>
              <w:rPr>
                <w:rFonts w:eastAsia="宋体" w:cs="Times New Roman" w:hint="eastAsia"/>
                <w:color w:val="000000"/>
                <w:kern w:val="0"/>
                <w:szCs w:val="18"/>
                <w:lang w:bidi="ar"/>
              </w:rPr>
              <w:t xml:space="preserve"> </w:t>
            </w:r>
            <w:r w:rsidRPr="00D82EE2">
              <w:rPr>
                <w:rFonts w:eastAsia="宋体" w:cs="Times New Roman"/>
                <w:color w:val="000000"/>
                <w:kern w:val="0"/>
                <w:szCs w:val="18"/>
                <w:lang w:bidi="ar"/>
              </w:rPr>
              <w:t>000 tons</w:t>
            </w:r>
          </w:p>
        </w:tc>
        <w:tc>
          <w:tcPr>
            <w:tcW w:w="717" w:type="dxa"/>
            <w:tcBorders>
              <w:top w:val="nil"/>
              <w:bottom w:val="nil"/>
            </w:tcBorders>
            <w:shd w:val="clear" w:color="auto" w:fill="auto"/>
            <w:vAlign w:val="center"/>
          </w:tcPr>
          <w:p w14:paraId="6C468754"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szCs w:val="18"/>
              </w:rPr>
              <w:t xml:space="preserve">80.6 </w:t>
            </w:r>
          </w:p>
        </w:tc>
        <w:tc>
          <w:tcPr>
            <w:tcW w:w="1794" w:type="dxa"/>
            <w:tcBorders>
              <w:top w:val="nil"/>
              <w:bottom w:val="nil"/>
            </w:tcBorders>
            <w:shd w:val="clear" w:color="auto" w:fill="auto"/>
            <w:vAlign w:val="center"/>
          </w:tcPr>
          <w:p w14:paraId="68C282FF"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szCs w:val="18"/>
              </w:rPr>
              <w:t xml:space="preserve">-6.1 </w:t>
            </w:r>
          </w:p>
        </w:tc>
      </w:tr>
      <w:tr w:rsidR="006D2677" w14:paraId="46434C2F" w14:textId="77777777" w:rsidTr="00D82EE2">
        <w:trPr>
          <w:jc w:val="center"/>
        </w:trPr>
        <w:tc>
          <w:tcPr>
            <w:tcW w:w="5496" w:type="dxa"/>
            <w:tcBorders>
              <w:top w:val="nil"/>
              <w:bottom w:val="nil"/>
            </w:tcBorders>
            <w:shd w:val="clear" w:color="auto" w:fill="auto"/>
          </w:tcPr>
          <w:p w14:paraId="6B8FA70A" w14:textId="77777777" w:rsidR="006D2677" w:rsidRPr="00D82EE2" w:rsidRDefault="00A21C00" w:rsidP="00D82EE2">
            <w:pPr>
              <w:topLinePunct/>
              <w:snapToGrid w:val="0"/>
              <w:ind w:firstLineChars="100" w:firstLine="180"/>
              <w:textAlignment w:val="center"/>
              <w:rPr>
                <w:rFonts w:eastAsia="宋体" w:cs="Times New Roman"/>
                <w:kern w:val="0"/>
                <w:szCs w:val="18"/>
                <w:lang w:bidi="ar"/>
              </w:rPr>
            </w:pPr>
            <w:r w:rsidRPr="00D82EE2">
              <w:rPr>
                <w:rFonts w:eastAsia="宋体" w:cs="Times New Roman"/>
                <w:color w:val="000000"/>
                <w:kern w:val="0"/>
                <w:szCs w:val="18"/>
                <w:lang w:bidi="ar"/>
              </w:rPr>
              <w:t># Refined copper</w:t>
            </w:r>
          </w:p>
        </w:tc>
        <w:tc>
          <w:tcPr>
            <w:tcW w:w="1631" w:type="dxa"/>
            <w:tcBorders>
              <w:top w:val="nil"/>
              <w:bottom w:val="nil"/>
            </w:tcBorders>
            <w:shd w:val="clear" w:color="auto" w:fill="auto"/>
          </w:tcPr>
          <w:p w14:paraId="01081AF4" w14:textId="77777777" w:rsidR="006D2677" w:rsidRPr="00D82EE2" w:rsidRDefault="00A21C00" w:rsidP="00D82EE2">
            <w:pPr>
              <w:topLinePunct/>
              <w:snapToGrid w:val="0"/>
              <w:ind w:firstLineChars="0" w:firstLine="0"/>
              <w:jc w:val="center"/>
              <w:rPr>
                <w:rFonts w:eastAsia="宋体" w:cs="Times New Roman"/>
                <w:kern w:val="0"/>
                <w:szCs w:val="18"/>
              </w:rPr>
            </w:pPr>
            <w:r w:rsidRPr="00D82EE2">
              <w:rPr>
                <w:rFonts w:eastAsia="宋体" w:cs="Times New Roman"/>
                <w:color w:val="000000"/>
                <w:kern w:val="0"/>
                <w:szCs w:val="18"/>
                <w:lang w:bidi="ar"/>
              </w:rPr>
              <w:t>10</w:t>
            </w:r>
            <w:r>
              <w:rPr>
                <w:rFonts w:eastAsia="宋体" w:cs="Times New Roman" w:hint="eastAsia"/>
                <w:color w:val="000000"/>
                <w:kern w:val="0"/>
                <w:szCs w:val="18"/>
                <w:lang w:bidi="ar"/>
              </w:rPr>
              <w:t xml:space="preserve"> </w:t>
            </w:r>
            <w:r w:rsidRPr="00D82EE2">
              <w:rPr>
                <w:rFonts w:eastAsia="宋体" w:cs="Times New Roman"/>
                <w:color w:val="000000"/>
                <w:kern w:val="0"/>
                <w:szCs w:val="18"/>
                <w:lang w:bidi="ar"/>
              </w:rPr>
              <w:t>000 tons</w:t>
            </w:r>
          </w:p>
        </w:tc>
        <w:tc>
          <w:tcPr>
            <w:tcW w:w="717" w:type="dxa"/>
            <w:tcBorders>
              <w:top w:val="nil"/>
              <w:bottom w:val="nil"/>
            </w:tcBorders>
            <w:shd w:val="clear" w:color="auto" w:fill="auto"/>
            <w:vAlign w:val="center"/>
          </w:tcPr>
          <w:p w14:paraId="2EFEC0E8"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szCs w:val="18"/>
              </w:rPr>
              <w:t xml:space="preserve">51.2 </w:t>
            </w:r>
          </w:p>
        </w:tc>
        <w:tc>
          <w:tcPr>
            <w:tcW w:w="1794" w:type="dxa"/>
            <w:tcBorders>
              <w:top w:val="nil"/>
              <w:bottom w:val="nil"/>
            </w:tcBorders>
            <w:shd w:val="clear" w:color="auto" w:fill="auto"/>
            <w:vAlign w:val="center"/>
          </w:tcPr>
          <w:p w14:paraId="7E3B5BF2"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szCs w:val="18"/>
              </w:rPr>
              <w:t xml:space="preserve">-4.5 </w:t>
            </w:r>
          </w:p>
        </w:tc>
      </w:tr>
      <w:tr w:rsidR="006D2677" w14:paraId="581EE5EE" w14:textId="77777777" w:rsidTr="00D82EE2">
        <w:trPr>
          <w:jc w:val="center"/>
        </w:trPr>
        <w:tc>
          <w:tcPr>
            <w:tcW w:w="5496" w:type="dxa"/>
            <w:tcBorders>
              <w:top w:val="nil"/>
              <w:bottom w:val="nil"/>
            </w:tcBorders>
            <w:shd w:val="clear" w:color="auto" w:fill="auto"/>
          </w:tcPr>
          <w:p w14:paraId="1ECE93A6" w14:textId="77777777" w:rsidR="006D2677" w:rsidRPr="00D82EE2" w:rsidRDefault="00A21C00" w:rsidP="00D82EE2">
            <w:pPr>
              <w:topLinePunct/>
              <w:snapToGrid w:val="0"/>
              <w:ind w:firstLineChars="0" w:firstLine="0"/>
              <w:textAlignment w:val="center"/>
              <w:rPr>
                <w:rFonts w:eastAsia="宋体" w:cs="Times New Roman"/>
                <w:kern w:val="0"/>
                <w:szCs w:val="18"/>
                <w:lang w:bidi="ar"/>
              </w:rPr>
            </w:pPr>
            <w:r w:rsidRPr="00D82EE2">
              <w:rPr>
                <w:rFonts w:eastAsia="宋体" w:cs="Times New Roman"/>
                <w:color w:val="000000"/>
                <w:kern w:val="0"/>
                <w:szCs w:val="18"/>
                <w:lang w:bidi="ar"/>
              </w:rPr>
              <w:t>Industrial robot</w:t>
            </w:r>
          </w:p>
        </w:tc>
        <w:tc>
          <w:tcPr>
            <w:tcW w:w="1631" w:type="dxa"/>
            <w:tcBorders>
              <w:top w:val="nil"/>
              <w:bottom w:val="nil"/>
            </w:tcBorders>
            <w:shd w:val="clear" w:color="auto" w:fill="auto"/>
          </w:tcPr>
          <w:p w14:paraId="76030258" w14:textId="77777777" w:rsidR="006D2677" w:rsidRPr="00D82EE2" w:rsidRDefault="00A21C00" w:rsidP="00D82EE2">
            <w:pPr>
              <w:topLinePunct/>
              <w:snapToGrid w:val="0"/>
              <w:ind w:firstLineChars="0" w:firstLine="0"/>
              <w:jc w:val="center"/>
              <w:rPr>
                <w:rFonts w:eastAsia="宋体" w:cs="Times New Roman"/>
                <w:kern w:val="0"/>
                <w:szCs w:val="18"/>
              </w:rPr>
            </w:pPr>
            <w:r>
              <w:rPr>
                <w:rFonts w:eastAsia="宋体" w:cs="Times New Roman" w:hint="eastAsia"/>
                <w:color w:val="000000"/>
                <w:kern w:val="0"/>
                <w:szCs w:val="18"/>
                <w:lang w:bidi="ar"/>
              </w:rPr>
              <w:t>s</w:t>
            </w:r>
            <w:r w:rsidRPr="00D82EE2">
              <w:rPr>
                <w:rFonts w:eastAsia="宋体" w:cs="Times New Roman"/>
                <w:color w:val="000000"/>
                <w:kern w:val="0"/>
                <w:szCs w:val="18"/>
                <w:lang w:bidi="ar"/>
              </w:rPr>
              <w:t>et</w:t>
            </w:r>
          </w:p>
        </w:tc>
        <w:tc>
          <w:tcPr>
            <w:tcW w:w="717" w:type="dxa"/>
            <w:tcBorders>
              <w:top w:val="nil"/>
              <w:bottom w:val="nil"/>
            </w:tcBorders>
            <w:shd w:val="clear" w:color="auto" w:fill="auto"/>
            <w:vAlign w:val="center"/>
          </w:tcPr>
          <w:p w14:paraId="6C7DEF44"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szCs w:val="18"/>
              </w:rPr>
              <w:t xml:space="preserve">9857.0 </w:t>
            </w:r>
          </w:p>
        </w:tc>
        <w:tc>
          <w:tcPr>
            <w:tcW w:w="1794" w:type="dxa"/>
            <w:tcBorders>
              <w:top w:val="nil"/>
              <w:bottom w:val="nil"/>
            </w:tcBorders>
            <w:shd w:val="clear" w:color="auto" w:fill="auto"/>
            <w:vAlign w:val="center"/>
          </w:tcPr>
          <w:p w14:paraId="3650E2F0"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szCs w:val="18"/>
              </w:rPr>
              <w:t xml:space="preserve">-5.5 </w:t>
            </w:r>
          </w:p>
        </w:tc>
      </w:tr>
      <w:tr w:rsidR="006D2677" w14:paraId="712CE8D8" w14:textId="77777777" w:rsidTr="00D82EE2">
        <w:trPr>
          <w:jc w:val="center"/>
        </w:trPr>
        <w:tc>
          <w:tcPr>
            <w:tcW w:w="5496" w:type="dxa"/>
            <w:tcBorders>
              <w:top w:val="nil"/>
              <w:bottom w:val="nil"/>
            </w:tcBorders>
            <w:shd w:val="clear" w:color="auto" w:fill="auto"/>
          </w:tcPr>
          <w:p w14:paraId="3467C603" w14:textId="77777777" w:rsidR="006D2677" w:rsidRPr="00D82EE2" w:rsidRDefault="00A21C00" w:rsidP="00D82EE2">
            <w:pPr>
              <w:topLinePunct/>
              <w:snapToGrid w:val="0"/>
              <w:ind w:firstLineChars="0" w:firstLine="0"/>
              <w:textAlignment w:val="center"/>
              <w:rPr>
                <w:rFonts w:eastAsia="宋体" w:cs="Times New Roman"/>
                <w:kern w:val="0"/>
                <w:szCs w:val="18"/>
                <w:lang w:bidi="ar"/>
              </w:rPr>
            </w:pPr>
            <w:r w:rsidRPr="00D82EE2">
              <w:rPr>
                <w:rFonts w:eastAsia="宋体" w:cs="Times New Roman"/>
                <w:color w:val="000000"/>
                <w:kern w:val="0"/>
                <w:szCs w:val="18"/>
                <w:lang w:bidi="ar"/>
              </w:rPr>
              <w:t>Automobile</w:t>
            </w:r>
          </w:p>
        </w:tc>
        <w:tc>
          <w:tcPr>
            <w:tcW w:w="1631" w:type="dxa"/>
            <w:tcBorders>
              <w:top w:val="nil"/>
              <w:bottom w:val="nil"/>
            </w:tcBorders>
            <w:shd w:val="clear" w:color="auto" w:fill="auto"/>
          </w:tcPr>
          <w:p w14:paraId="0C241FCF" w14:textId="77777777" w:rsidR="006D2677" w:rsidRPr="00D82EE2" w:rsidRDefault="00A21C00" w:rsidP="00D82EE2">
            <w:pPr>
              <w:topLinePunct/>
              <w:snapToGrid w:val="0"/>
              <w:ind w:firstLineChars="0" w:firstLine="0"/>
              <w:jc w:val="center"/>
              <w:rPr>
                <w:rFonts w:eastAsia="宋体" w:cs="Times New Roman"/>
                <w:kern w:val="0"/>
                <w:szCs w:val="18"/>
              </w:rPr>
            </w:pPr>
            <w:r w:rsidRPr="00D82EE2">
              <w:rPr>
                <w:rFonts w:eastAsia="宋体" w:cs="Times New Roman"/>
                <w:color w:val="000000"/>
                <w:kern w:val="0"/>
                <w:szCs w:val="18"/>
                <w:lang w:bidi="ar"/>
              </w:rPr>
              <w:t>10</w:t>
            </w:r>
            <w:r>
              <w:rPr>
                <w:rFonts w:eastAsia="宋体" w:cs="Times New Roman" w:hint="eastAsia"/>
                <w:color w:val="000000"/>
                <w:kern w:val="0"/>
                <w:szCs w:val="18"/>
                <w:lang w:bidi="ar"/>
              </w:rPr>
              <w:t xml:space="preserve"> </w:t>
            </w:r>
            <w:r w:rsidRPr="00D82EE2">
              <w:rPr>
                <w:rFonts w:eastAsia="宋体" w:cs="Times New Roman"/>
                <w:color w:val="000000"/>
                <w:kern w:val="0"/>
                <w:szCs w:val="18"/>
                <w:lang w:bidi="ar"/>
              </w:rPr>
              <w:t>000 sets</w:t>
            </w:r>
          </w:p>
        </w:tc>
        <w:tc>
          <w:tcPr>
            <w:tcW w:w="717" w:type="dxa"/>
            <w:tcBorders>
              <w:top w:val="nil"/>
              <w:bottom w:val="nil"/>
            </w:tcBorders>
            <w:shd w:val="clear" w:color="auto" w:fill="auto"/>
            <w:vAlign w:val="center"/>
          </w:tcPr>
          <w:p w14:paraId="60E4FCF2"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szCs w:val="18"/>
              </w:rPr>
              <w:t xml:space="preserve">209.4 </w:t>
            </w:r>
          </w:p>
        </w:tc>
        <w:tc>
          <w:tcPr>
            <w:tcW w:w="1794" w:type="dxa"/>
            <w:tcBorders>
              <w:top w:val="nil"/>
              <w:bottom w:val="nil"/>
            </w:tcBorders>
            <w:shd w:val="clear" w:color="auto" w:fill="auto"/>
            <w:vAlign w:val="center"/>
          </w:tcPr>
          <w:p w14:paraId="4BC8CB52"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szCs w:val="18"/>
              </w:rPr>
              <w:t xml:space="preserve">-6.0 </w:t>
            </w:r>
          </w:p>
        </w:tc>
      </w:tr>
      <w:tr w:rsidR="006D2677" w14:paraId="013A017F" w14:textId="77777777" w:rsidTr="00D82EE2">
        <w:trPr>
          <w:jc w:val="center"/>
        </w:trPr>
        <w:tc>
          <w:tcPr>
            <w:tcW w:w="5496" w:type="dxa"/>
            <w:tcBorders>
              <w:top w:val="nil"/>
              <w:bottom w:val="nil"/>
            </w:tcBorders>
            <w:shd w:val="clear" w:color="auto" w:fill="auto"/>
          </w:tcPr>
          <w:p w14:paraId="62EDA16D" w14:textId="77777777" w:rsidR="006D2677" w:rsidRPr="00D82EE2" w:rsidRDefault="00A21C00" w:rsidP="00D82EE2">
            <w:pPr>
              <w:topLinePunct/>
              <w:snapToGrid w:val="0"/>
              <w:ind w:firstLineChars="100" w:firstLine="180"/>
              <w:textAlignment w:val="center"/>
              <w:rPr>
                <w:rFonts w:eastAsia="宋体" w:cs="Times New Roman"/>
                <w:kern w:val="0"/>
                <w:szCs w:val="18"/>
                <w:lang w:bidi="ar"/>
              </w:rPr>
            </w:pPr>
            <w:r w:rsidRPr="00D82EE2">
              <w:rPr>
                <w:rFonts w:eastAsia="宋体" w:cs="Times New Roman"/>
                <w:color w:val="000000"/>
                <w:kern w:val="0"/>
                <w:szCs w:val="18"/>
                <w:lang w:bidi="ar"/>
              </w:rPr>
              <w:t># New Energy Vehicle</w:t>
            </w:r>
          </w:p>
        </w:tc>
        <w:tc>
          <w:tcPr>
            <w:tcW w:w="1631" w:type="dxa"/>
            <w:tcBorders>
              <w:top w:val="nil"/>
              <w:bottom w:val="nil"/>
            </w:tcBorders>
            <w:shd w:val="clear" w:color="auto" w:fill="auto"/>
          </w:tcPr>
          <w:p w14:paraId="5156AF49" w14:textId="77777777" w:rsidR="006D2677" w:rsidRPr="00D82EE2" w:rsidRDefault="00A21C00" w:rsidP="00D82EE2">
            <w:pPr>
              <w:topLinePunct/>
              <w:snapToGrid w:val="0"/>
              <w:ind w:firstLineChars="0" w:firstLine="0"/>
              <w:jc w:val="center"/>
              <w:rPr>
                <w:rFonts w:eastAsia="宋体" w:cs="Times New Roman"/>
                <w:kern w:val="0"/>
                <w:szCs w:val="18"/>
              </w:rPr>
            </w:pPr>
            <w:r w:rsidRPr="00D82EE2">
              <w:rPr>
                <w:rFonts w:eastAsia="宋体" w:cs="Times New Roman"/>
                <w:color w:val="000000"/>
                <w:kern w:val="0"/>
                <w:szCs w:val="18"/>
                <w:lang w:bidi="ar"/>
              </w:rPr>
              <w:t>10</w:t>
            </w:r>
            <w:r>
              <w:rPr>
                <w:rFonts w:eastAsia="宋体" w:cs="Times New Roman" w:hint="eastAsia"/>
                <w:color w:val="000000"/>
                <w:kern w:val="0"/>
                <w:szCs w:val="18"/>
                <w:lang w:bidi="ar"/>
              </w:rPr>
              <w:t xml:space="preserve"> </w:t>
            </w:r>
            <w:r w:rsidRPr="00D82EE2">
              <w:rPr>
                <w:rFonts w:eastAsia="宋体" w:cs="Times New Roman"/>
                <w:color w:val="000000"/>
                <w:kern w:val="0"/>
                <w:szCs w:val="18"/>
                <w:lang w:bidi="ar"/>
              </w:rPr>
              <w:t>000 sets</w:t>
            </w:r>
          </w:p>
        </w:tc>
        <w:tc>
          <w:tcPr>
            <w:tcW w:w="717" w:type="dxa"/>
            <w:tcBorders>
              <w:top w:val="nil"/>
              <w:bottom w:val="nil"/>
            </w:tcBorders>
            <w:shd w:val="clear" w:color="auto" w:fill="auto"/>
            <w:vAlign w:val="center"/>
          </w:tcPr>
          <w:p w14:paraId="058F5173"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szCs w:val="18"/>
              </w:rPr>
              <w:t xml:space="preserve">3.2 </w:t>
            </w:r>
          </w:p>
        </w:tc>
        <w:tc>
          <w:tcPr>
            <w:tcW w:w="1794" w:type="dxa"/>
            <w:tcBorders>
              <w:top w:val="nil"/>
              <w:bottom w:val="nil"/>
            </w:tcBorders>
            <w:shd w:val="clear" w:color="auto" w:fill="auto"/>
            <w:vAlign w:val="center"/>
          </w:tcPr>
          <w:p w14:paraId="663458A8"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szCs w:val="18"/>
              </w:rPr>
              <w:t xml:space="preserve">-48.4 </w:t>
            </w:r>
          </w:p>
        </w:tc>
      </w:tr>
      <w:tr w:rsidR="006D2677" w14:paraId="76FE5165" w14:textId="77777777" w:rsidTr="00D82EE2">
        <w:trPr>
          <w:jc w:val="center"/>
        </w:trPr>
        <w:tc>
          <w:tcPr>
            <w:tcW w:w="5496" w:type="dxa"/>
            <w:tcBorders>
              <w:top w:val="nil"/>
              <w:bottom w:val="nil"/>
            </w:tcBorders>
            <w:shd w:val="clear" w:color="auto" w:fill="auto"/>
          </w:tcPr>
          <w:p w14:paraId="29581E29" w14:textId="77777777" w:rsidR="006D2677" w:rsidRPr="00D82EE2" w:rsidRDefault="00A21C00" w:rsidP="00D82EE2">
            <w:pPr>
              <w:topLinePunct/>
              <w:snapToGrid w:val="0"/>
              <w:ind w:firstLineChars="0" w:firstLine="0"/>
              <w:textAlignment w:val="center"/>
              <w:rPr>
                <w:rFonts w:eastAsia="宋体" w:cs="Times New Roman"/>
                <w:kern w:val="0"/>
                <w:szCs w:val="18"/>
                <w:lang w:bidi="ar"/>
              </w:rPr>
            </w:pPr>
            <w:r w:rsidRPr="00D82EE2">
              <w:rPr>
                <w:rFonts w:eastAsia="宋体" w:cs="Times New Roman"/>
                <w:color w:val="000000"/>
                <w:kern w:val="0"/>
                <w:szCs w:val="18"/>
                <w:lang w:bidi="ar"/>
              </w:rPr>
              <w:t>Generator set</w:t>
            </w:r>
          </w:p>
        </w:tc>
        <w:tc>
          <w:tcPr>
            <w:tcW w:w="1631" w:type="dxa"/>
            <w:tcBorders>
              <w:top w:val="nil"/>
              <w:bottom w:val="nil"/>
            </w:tcBorders>
            <w:shd w:val="clear" w:color="auto" w:fill="auto"/>
          </w:tcPr>
          <w:p w14:paraId="3489C724" w14:textId="77777777" w:rsidR="006D2677" w:rsidRPr="00D82EE2" w:rsidRDefault="00A21C00" w:rsidP="00D82EE2">
            <w:pPr>
              <w:topLinePunct/>
              <w:snapToGrid w:val="0"/>
              <w:ind w:firstLineChars="0" w:firstLine="0"/>
              <w:jc w:val="center"/>
              <w:rPr>
                <w:rFonts w:eastAsia="宋体" w:cs="Times New Roman"/>
                <w:kern w:val="0"/>
                <w:szCs w:val="18"/>
              </w:rPr>
            </w:pPr>
            <w:r w:rsidRPr="00D82EE2">
              <w:rPr>
                <w:rFonts w:eastAsia="宋体" w:cs="Times New Roman"/>
                <w:color w:val="000000"/>
                <w:kern w:val="0"/>
                <w:szCs w:val="18"/>
                <w:lang w:bidi="ar"/>
              </w:rPr>
              <w:t>10</w:t>
            </w:r>
            <w:r>
              <w:rPr>
                <w:rFonts w:eastAsia="宋体" w:cs="Times New Roman" w:hint="eastAsia"/>
                <w:color w:val="000000"/>
                <w:kern w:val="0"/>
                <w:szCs w:val="18"/>
                <w:lang w:bidi="ar"/>
              </w:rPr>
              <w:t xml:space="preserve"> </w:t>
            </w:r>
            <w:r w:rsidRPr="00D82EE2">
              <w:rPr>
                <w:rFonts w:eastAsia="宋体" w:cs="Times New Roman"/>
                <w:color w:val="000000"/>
                <w:kern w:val="0"/>
                <w:szCs w:val="18"/>
                <w:lang w:bidi="ar"/>
              </w:rPr>
              <w:t>000 kW</w:t>
            </w:r>
          </w:p>
        </w:tc>
        <w:tc>
          <w:tcPr>
            <w:tcW w:w="717" w:type="dxa"/>
            <w:tcBorders>
              <w:top w:val="nil"/>
              <w:bottom w:val="nil"/>
            </w:tcBorders>
            <w:shd w:val="clear" w:color="auto" w:fill="auto"/>
            <w:vAlign w:val="center"/>
          </w:tcPr>
          <w:p w14:paraId="24A9708E"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szCs w:val="18"/>
              </w:rPr>
              <w:t xml:space="preserve">114.7 </w:t>
            </w:r>
          </w:p>
        </w:tc>
        <w:tc>
          <w:tcPr>
            <w:tcW w:w="1794" w:type="dxa"/>
            <w:tcBorders>
              <w:top w:val="nil"/>
              <w:bottom w:val="nil"/>
            </w:tcBorders>
            <w:shd w:val="clear" w:color="auto" w:fill="auto"/>
            <w:vAlign w:val="center"/>
          </w:tcPr>
          <w:p w14:paraId="134FC9D3"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szCs w:val="18"/>
              </w:rPr>
              <w:t xml:space="preserve">-4.7 </w:t>
            </w:r>
          </w:p>
        </w:tc>
      </w:tr>
      <w:tr w:rsidR="006D2677" w14:paraId="07540465" w14:textId="77777777" w:rsidTr="00D82EE2">
        <w:trPr>
          <w:jc w:val="center"/>
        </w:trPr>
        <w:tc>
          <w:tcPr>
            <w:tcW w:w="5496" w:type="dxa"/>
            <w:tcBorders>
              <w:top w:val="nil"/>
              <w:bottom w:val="nil"/>
            </w:tcBorders>
            <w:shd w:val="clear" w:color="auto" w:fill="auto"/>
          </w:tcPr>
          <w:p w14:paraId="1585788E" w14:textId="77777777" w:rsidR="006D2677" w:rsidRPr="00D82EE2" w:rsidRDefault="00A21C00" w:rsidP="00D82EE2">
            <w:pPr>
              <w:topLinePunct/>
              <w:snapToGrid w:val="0"/>
              <w:ind w:firstLineChars="0" w:firstLine="0"/>
              <w:textAlignment w:val="center"/>
              <w:rPr>
                <w:rFonts w:eastAsia="宋体" w:cs="Times New Roman"/>
                <w:kern w:val="0"/>
                <w:szCs w:val="18"/>
                <w:lang w:bidi="ar"/>
              </w:rPr>
            </w:pPr>
            <w:r w:rsidRPr="00D82EE2">
              <w:rPr>
                <w:rFonts w:eastAsia="宋体" w:cs="Times New Roman"/>
                <w:color w:val="000000"/>
                <w:kern w:val="0"/>
                <w:szCs w:val="18"/>
                <w:lang w:bidi="ar"/>
              </w:rPr>
              <w:t>Lithium ion battery</w:t>
            </w:r>
          </w:p>
        </w:tc>
        <w:tc>
          <w:tcPr>
            <w:tcW w:w="1631" w:type="dxa"/>
            <w:tcBorders>
              <w:top w:val="nil"/>
              <w:bottom w:val="nil"/>
            </w:tcBorders>
            <w:shd w:val="clear" w:color="auto" w:fill="auto"/>
          </w:tcPr>
          <w:p w14:paraId="3C6EAE30" w14:textId="77777777" w:rsidR="006D2677" w:rsidRPr="00D82EE2" w:rsidRDefault="00A21C00" w:rsidP="00D82EE2">
            <w:pPr>
              <w:topLinePunct/>
              <w:snapToGrid w:val="0"/>
              <w:ind w:firstLineChars="0" w:firstLine="0"/>
              <w:jc w:val="center"/>
              <w:rPr>
                <w:rFonts w:eastAsia="宋体" w:cs="Times New Roman"/>
                <w:kern w:val="0"/>
                <w:szCs w:val="18"/>
              </w:rPr>
            </w:pPr>
            <w:r w:rsidRPr="00D82EE2">
              <w:rPr>
                <w:rFonts w:eastAsia="宋体" w:cs="Times New Roman"/>
                <w:color w:val="000000"/>
                <w:kern w:val="0"/>
                <w:szCs w:val="18"/>
                <w:lang w:bidi="ar"/>
              </w:rPr>
              <w:t>100 million PCS</w:t>
            </w:r>
          </w:p>
        </w:tc>
        <w:tc>
          <w:tcPr>
            <w:tcW w:w="717" w:type="dxa"/>
            <w:tcBorders>
              <w:top w:val="nil"/>
              <w:bottom w:val="nil"/>
            </w:tcBorders>
            <w:shd w:val="clear" w:color="auto" w:fill="auto"/>
            <w:vAlign w:val="center"/>
          </w:tcPr>
          <w:p w14:paraId="7D1D2FAA"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szCs w:val="18"/>
              </w:rPr>
              <w:t xml:space="preserve">11.2 </w:t>
            </w:r>
          </w:p>
        </w:tc>
        <w:tc>
          <w:tcPr>
            <w:tcW w:w="1794" w:type="dxa"/>
            <w:tcBorders>
              <w:top w:val="nil"/>
              <w:bottom w:val="nil"/>
            </w:tcBorders>
            <w:shd w:val="clear" w:color="auto" w:fill="auto"/>
            <w:vAlign w:val="center"/>
          </w:tcPr>
          <w:p w14:paraId="63BA90DB"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szCs w:val="18"/>
              </w:rPr>
              <w:t xml:space="preserve">2.9 </w:t>
            </w:r>
          </w:p>
        </w:tc>
      </w:tr>
      <w:tr w:rsidR="006D2677" w14:paraId="07FDF736" w14:textId="77777777" w:rsidTr="00D82EE2">
        <w:trPr>
          <w:jc w:val="center"/>
        </w:trPr>
        <w:tc>
          <w:tcPr>
            <w:tcW w:w="5496" w:type="dxa"/>
            <w:tcBorders>
              <w:top w:val="nil"/>
              <w:bottom w:val="nil"/>
            </w:tcBorders>
            <w:shd w:val="clear" w:color="auto" w:fill="auto"/>
          </w:tcPr>
          <w:p w14:paraId="3D393A35" w14:textId="77777777" w:rsidR="006D2677" w:rsidRPr="00D82EE2" w:rsidRDefault="00A21C00" w:rsidP="00D82EE2">
            <w:pPr>
              <w:topLinePunct/>
              <w:snapToGrid w:val="0"/>
              <w:ind w:firstLineChars="0" w:firstLine="0"/>
              <w:textAlignment w:val="center"/>
              <w:rPr>
                <w:rFonts w:eastAsia="宋体" w:cs="Times New Roman"/>
                <w:kern w:val="0"/>
                <w:szCs w:val="18"/>
                <w:lang w:bidi="ar"/>
              </w:rPr>
            </w:pPr>
            <w:r w:rsidRPr="00D82EE2">
              <w:rPr>
                <w:rFonts w:eastAsia="宋体" w:cs="Times New Roman"/>
                <w:color w:val="000000"/>
                <w:kern w:val="0"/>
                <w:szCs w:val="18"/>
                <w:lang w:bidi="ar"/>
              </w:rPr>
              <w:t>Room air conditioner</w:t>
            </w:r>
          </w:p>
        </w:tc>
        <w:tc>
          <w:tcPr>
            <w:tcW w:w="1631" w:type="dxa"/>
            <w:tcBorders>
              <w:top w:val="nil"/>
              <w:bottom w:val="nil"/>
            </w:tcBorders>
            <w:shd w:val="clear" w:color="auto" w:fill="auto"/>
          </w:tcPr>
          <w:p w14:paraId="577AE0D7" w14:textId="77777777" w:rsidR="006D2677" w:rsidRPr="00D82EE2" w:rsidRDefault="00A21C00" w:rsidP="00D82EE2">
            <w:pPr>
              <w:topLinePunct/>
              <w:snapToGrid w:val="0"/>
              <w:ind w:firstLineChars="0" w:firstLine="0"/>
              <w:jc w:val="center"/>
              <w:rPr>
                <w:rFonts w:eastAsia="宋体" w:cs="Times New Roman"/>
                <w:kern w:val="0"/>
                <w:szCs w:val="18"/>
              </w:rPr>
            </w:pPr>
            <w:r w:rsidRPr="00D82EE2">
              <w:rPr>
                <w:rFonts w:eastAsia="宋体" w:cs="Times New Roman"/>
                <w:color w:val="000000"/>
                <w:kern w:val="0"/>
                <w:szCs w:val="18"/>
                <w:lang w:bidi="ar"/>
              </w:rPr>
              <w:t>10</w:t>
            </w:r>
            <w:r>
              <w:rPr>
                <w:rFonts w:eastAsia="宋体" w:cs="Times New Roman" w:hint="eastAsia"/>
                <w:color w:val="000000"/>
                <w:kern w:val="0"/>
                <w:szCs w:val="18"/>
                <w:lang w:bidi="ar"/>
              </w:rPr>
              <w:t xml:space="preserve"> </w:t>
            </w:r>
            <w:r w:rsidRPr="00D82EE2">
              <w:rPr>
                <w:rFonts w:eastAsia="宋体" w:cs="Times New Roman"/>
                <w:color w:val="000000"/>
                <w:kern w:val="0"/>
                <w:szCs w:val="18"/>
                <w:lang w:bidi="ar"/>
              </w:rPr>
              <w:t>000 sets</w:t>
            </w:r>
          </w:p>
        </w:tc>
        <w:tc>
          <w:tcPr>
            <w:tcW w:w="717" w:type="dxa"/>
            <w:tcBorders>
              <w:top w:val="nil"/>
              <w:bottom w:val="nil"/>
            </w:tcBorders>
            <w:shd w:val="clear" w:color="auto" w:fill="auto"/>
            <w:vAlign w:val="center"/>
          </w:tcPr>
          <w:p w14:paraId="20106CED"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szCs w:val="18"/>
              </w:rPr>
              <w:t xml:space="preserve">1760.3 </w:t>
            </w:r>
          </w:p>
        </w:tc>
        <w:tc>
          <w:tcPr>
            <w:tcW w:w="1794" w:type="dxa"/>
            <w:tcBorders>
              <w:top w:val="nil"/>
              <w:bottom w:val="nil"/>
            </w:tcBorders>
            <w:shd w:val="clear" w:color="auto" w:fill="auto"/>
            <w:vAlign w:val="center"/>
          </w:tcPr>
          <w:p w14:paraId="312F8B41"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szCs w:val="18"/>
              </w:rPr>
              <w:t xml:space="preserve">-18.0 </w:t>
            </w:r>
          </w:p>
        </w:tc>
      </w:tr>
      <w:tr w:rsidR="006D2677" w14:paraId="2458F269" w14:textId="77777777" w:rsidTr="00D82EE2">
        <w:trPr>
          <w:jc w:val="center"/>
        </w:trPr>
        <w:tc>
          <w:tcPr>
            <w:tcW w:w="5496" w:type="dxa"/>
            <w:tcBorders>
              <w:top w:val="nil"/>
              <w:bottom w:val="nil"/>
            </w:tcBorders>
            <w:shd w:val="clear" w:color="auto" w:fill="auto"/>
          </w:tcPr>
          <w:p w14:paraId="350187BE" w14:textId="77777777" w:rsidR="006D2677" w:rsidRPr="00D82EE2" w:rsidRDefault="00A21C00" w:rsidP="00D82EE2">
            <w:pPr>
              <w:topLinePunct/>
              <w:snapToGrid w:val="0"/>
              <w:ind w:firstLineChars="0" w:firstLine="0"/>
              <w:textAlignment w:val="center"/>
              <w:rPr>
                <w:rFonts w:eastAsia="宋体" w:cs="Times New Roman"/>
                <w:kern w:val="0"/>
                <w:szCs w:val="18"/>
                <w:lang w:bidi="ar"/>
              </w:rPr>
            </w:pPr>
            <w:r w:rsidRPr="00D82EE2">
              <w:rPr>
                <w:rFonts w:eastAsia="宋体" w:cs="Times New Roman"/>
                <w:color w:val="000000"/>
                <w:kern w:val="0"/>
                <w:szCs w:val="18"/>
                <w:lang w:bidi="ar"/>
              </w:rPr>
              <w:t>Microcomputer equipment device</w:t>
            </w:r>
          </w:p>
        </w:tc>
        <w:tc>
          <w:tcPr>
            <w:tcW w:w="1631" w:type="dxa"/>
            <w:tcBorders>
              <w:top w:val="nil"/>
              <w:bottom w:val="nil"/>
            </w:tcBorders>
            <w:shd w:val="clear" w:color="auto" w:fill="auto"/>
          </w:tcPr>
          <w:p w14:paraId="16C1558C" w14:textId="77777777" w:rsidR="006D2677" w:rsidRPr="00D82EE2" w:rsidRDefault="00A21C00" w:rsidP="00D82EE2">
            <w:pPr>
              <w:topLinePunct/>
              <w:snapToGrid w:val="0"/>
              <w:ind w:firstLineChars="0" w:firstLine="0"/>
              <w:jc w:val="center"/>
              <w:rPr>
                <w:rFonts w:eastAsia="宋体" w:cs="Times New Roman"/>
                <w:color w:val="000000"/>
                <w:kern w:val="0"/>
                <w:szCs w:val="18"/>
                <w:lang w:bidi="ar"/>
              </w:rPr>
            </w:pPr>
            <w:r w:rsidRPr="00D82EE2">
              <w:rPr>
                <w:rFonts w:eastAsia="宋体" w:cs="Times New Roman"/>
                <w:color w:val="000000"/>
                <w:kern w:val="0"/>
                <w:szCs w:val="18"/>
                <w:lang w:bidi="ar"/>
              </w:rPr>
              <w:t>10</w:t>
            </w:r>
            <w:r>
              <w:rPr>
                <w:rFonts w:eastAsia="宋体" w:cs="Times New Roman" w:hint="eastAsia"/>
                <w:color w:val="000000"/>
                <w:kern w:val="0"/>
                <w:szCs w:val="18"/>
                <w:lang w:bidi="ar"/>
              </w:rPr>
              <w:t xml:space="preserve"> </w:t>
            </w:r>
            <w:r w:rsidRPr="00D82EE2">
              <w:rPr>
                <w:rFonts w:eastAsia="宋体" w:cs="Times New Roman"/>
                <w:color w:val="000000"/>
                <w:kern w:val="0"/>
                <w:szCs w:val="18"/>
                <w:lang w:bidi="ar"/>
              </w:rPr>
              <w:t>000 sets</w:t>
            </w:r>
          </w:p>
        </w:tc>
        <w:tc>
          <w:tcPr>
            <w:tcW w:w="717" w:type="dxa"/>
            <w:tcBorders>
              <w:top w:val="nil"/>
              <w:bottom w:val="nil"/>
            </w:tcBorders>
            <w:shd w:val="clear" w:color="auto" w:fill="auto"/>
            <w:vAlign w:val="center"/>
          </w:tcPr>
          <w:p w14:paraId="11FBA751"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szCs w:val="18"/>
              </w:rPr>
              <w:t xml:space="preserve">1720.0 </w:t>
            </w:r>
          </w:p>
        </w:tc>
        <w:tc>
          <w:tcPr>
            <w:tcW w:w="1794" w:type="dxa"/>
            <w:tcBorders>
              <w:top w:val="nil"/>
              <w:bottom w:val="nil"/>
            </w:tcBorders>
            <w:shd w:val="clear" w:color="auto" w:fill="auto"/>
            <w:vAlign w:val="center"/>
          </w:tcPr>
          <w:p w14:paraId="7E4E7E87"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szCs w:val="18"/>
              </w:rPr>
              <w:t xml:space="preserve">35.4 </w:t>
            </w:r>
          </w:p>
        </w:tc>
      </w:tr>
      <w:tr w:rsidR="006D2677" w14:paraId="400A582B" w14:textId="77777777" w:rsidTr="00D82EE2">
        <w:trPr>
          <w:jc w:val="center"/>
        </w:trPr>
        <w:tc>
          <w:tcPr>
            <w:tcW w:w="5496" w:type="dxa"/>
            <w:tcBorders>
              <w:top w:val="nil"/>
              <w:bottom w:val="nil"/>
            </w:tcBorders>
            <w:shd w:val="clear" w:color="auto" w:fill="auto"/>
          </w:tcPr>
          <w:p w14:paraId="0358793E" w14:textId="77777777" w:rsidR="006D2677" w:rsidRPr="00D82EE2" w:rsidRDefault="00A21C00" w:rsidP="00D82EE2">
            <w:pPr>
              <w:topLinePunct/>
              <w:snapToGrid w:val="0"/>
              <w:ind w:firstLineChars="0" w:firstLine="0"/>
              <w:textAlignment w:val="center"/>
              <w:rPr>
                <w:rFonts w:eastAsia="宋体" w:cs="Times New Roman"/>
                <w:kern w:val="0"/>
                <w:szCs w:val="18"/>
                <w:lang w:bidi="ar"/>
              </w:rPr>
            </w:pPr>
            <w:r w:rsidRPr="00D82EE2">
              <w:rPr>
                <w:rFonts w:eastAsia="宋体" w:cs="Times New Roman"/>
                <w:kern w:val="0"/>
                <w:szCs w:val="18"/>
                <w:lang w:bidi="ar"/>
              </w:rPr>
              <w:t>Displayer</w:t>
            </w:r>
          </w:p>
        </w:tc>
        <w:tc>
          <w:tcPr>
            <w:tcW w:w="1631" w:type="dxa"/>
            <w:tcBorders>
              <w:top w:val="nil"/>
              <w:bottom w:val="nil"/>
            </w:tcBorders>
            <w:shd w:val="clear" w:color="auto" w:fill="auto"/>
          </w:tcPr>
          <w:p w14:paraId="743003DB" w14:textId="77777777" w:rsidR="006D2677" w:rsidRPr="00D82EE2" w:rsidRDefault="00A21C00" w:rsidP="00D82EE2">
            <w:pPr>
              <w:topLinePunct/>
              <w:snapToGrid w:val="0"/>
              <w:ind w:firstLineChars="0" w:firstLine="0"/>
              <w:jc w:val="center"/>
              <w:rPr>
                <w:rFonts w:eastAsia="宋体" w:cs="Times New Roman"/>
                <w:color w:val="000000"/>
                <w:kern w:val="0"/>
                <w:szCs w:val="18"/>
                <w:lang w:bidi="ar"/>
              </w:rPr>
            </w:pPr>
            <w:r w:rsidRPr="00D82EE2">
              <w:rPr>
                <w:rFonts w:eastAsia="宋体" w:cs="Times New Roman"/>
                <w:color w:val="000000"/>
                <w:kern w:val="0"/>
                <w:szCs w:val="18"/>
                <w:lang w:bidi="ar"/>
              </w:rPr>
              <w:t>10</w:t>
            </w:r>
            <w:r>
              <w:rPr>
                <w:rFonts w:eastAsia="宋体" w:cs="Times New Roman" w:hint="eastAsia"/>
                <w:color w:val="000000"/>
                <w:kern w:val="0"/>
                <w:szCs w:val="18"/>
                <w:lang w:bidi="ar"/>
              </w:rPr>
              <w:t xml:space="preserve"> </w:t>
            </w:r>
            <w:r w:rsidRPr="00D82EE2">
              <w:rPr>
                <w:rFonts w:eastAsia="宋体" w:cs="Times New Roman"/>
                <w:color w:val="000000"/>
                <w:kern w:val="0"/>
                <w:szCs w:val="18"/>
                <w:lang w:bidi="ar"/>
              </w:rPr>
              <w:t>000 sets</w:t>
            </w:r>
          </w:p>
        </w:tc>
        <w:tc>
          <w:tcPr>
            <w:tcW w:w="717" w:type="dxa"/>
            <w:tcBorders>
              <w:top w:val="nil"/>
              <w:bottom w:val="nil"/>
            </w:tcBorders>
            <w:shd w:val="clear" w:color="auto" w:fill="auto"/>
            <w:vAlign w:val="center"/>
          </w:tcPr>
          <w:p w14:paraId="7110DB92"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szCs w:val="18"/>
              </w:rPr>
              <w:t xml:space="preserve">1457.3 </w:t>
            </w:r>
          </w:p>
        </w:tc>
        <w:tc>
          <w:tcPr>
            <w:tcW w:w="1794" w:type="dxa"/>
            <w:tcBorders>
              <w:top w:val="nil"/>
              <w:bottom w:val="nil"/>
            </w:tcBorders>
            <w:shd w:val="clear" w:color="auto" w:fill="auto"/>
            <w:vAlign w:val="center"/>
          </w:tcPr>
          <w:p w14:paraId="2EC46959"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szCs w:val="18"/>
              </w:rPr>
              <w:t xml:space="preserve">-4.1 </w:t>
            </w:r>
          </w:p>
        </w:tc>
      </w:tr>
      <w:tr w:rsidR="006D2677" w14:paraId="1D5B9313" w14:textId="77777777" w:rsidTr="00D82EE2">
        <w:trPr>
          <w:jc w:val="center"/>
        </w:trPr>
        <w:tc>
          <w:tcPr>
            <w:tcW w:w="5496" w:type="dxa"/>
            <w:tcBorders>
              <w:top w:val="nil"/>
              <w:bottom w:val="single" w:sz="4" w:space="0" w:color="000000"/>
            </w:tcBorders>
            <w:shd w:val="clear" w:color="auto" w:fill="auto"/>
          </w:tcPr>
          <w:p w14:paraId="67E5457B" w14:textId="77777777" w:rsidR="006D2677" w:rsidRPr="00D82EE2" w:rsidRDefault="00A21C00" w:rsidP="00D82EE2">
            <w:pPr>
              <w:topLinePunct/>
              <w:snapToGrid w:val="0"/>
              <w:ind w:firstLineChars="0" w:firstLine="0"/>
              <w:textAlignment w:val="center"/>
              <w:rPr>
                <w:rFonts w:eastAsia="宋体" w:cs="Times New Roman"/>
                <w:kern w:val="0"/>
                <w:szCs w:val="18"/>
                <w:lang w:bidi="ar"/>
              </w:rPr>
            </w:pPr>
            <w:r w:rsidRPr="00D82EE2">
              <w:rPr>
                <w:rFonts w:eastAsia="宋体" w:cs="Times New Roman"/>
                <w:kern w:val="0"/>
                <w:szCs w:val="18"/>
                <w:lang w:bidi="ar"/>
              </w:rPr>
              <w:t>Mobile communication handset</w:t>
            </w:r>
          </w:p>
        </w:tc>
        <w:tc>
          <w:tcPr>
            <w:tcW w:w="1631" w:type="dxa"/>
            <w:tcBorders>
              <w:top w:val="nil"/>
              <w:bottom w:val="single" w:sz="4" w:space="0" w:color="000000"/>
            </w:tcBorders>
            <w:shd w:val="clear" w:color="auto" w:fill="auto"/>
          </w:tcPr>
          <w:p w14:paraId="61A7740C" w14:textId="77777777" w:rsidR="006D2677" w:rsidRPr="00D82EE2" w:rsidRDefault="00A21C00" w:rsidP="00D82EE2">
            <w:pPr>
              <w:topLinePunct/>
              <w:snapToGrid w:val="0"/>
              <w:ind w:firstLineChars="0" w:firstLine="0"/>
              <w:jc w:val="center"/>
              <w:rPr>
                <w:rFonts w:eastAsia="宋体" w:cs="Times New Roman"/>
                <w:color w:val="000000"/>
                <w:kern w:val="0"/>
                <w:szCs w:val="18"/>
                <w:lang w:bidi="ar"/>
              </w:rPr>
            </w:pPr>
            <w:r w:rsidRPr="00D82EE2">
              <w:rPr>
                <w:rFonts w:eastAsia="宋体" w:cs="Times New Roman"/>
                <w:color w:val="000000"/>
                <w:kern w:val="0"/>
                <w:szCs w:val="18"/>
                <w:lang w:bidi="ar"/>
              </w:rPr>
              <w:t>10</w:t>
            </w:r>
            <w:r>
              <w:rPr>
                <w:rFonts w:eastAsia="宋体" w:cs="Times New Roman" w:hint="eastAsia"/>
                <w:color w:val="000000"/>
                <w:kern w:val="0"/>
                <w:szCs w:val="18"/>
                <w:lang w:bidi="ar"/>
              </w:rPr>
              <w:t xml:space="preserve"> </w:t>
            </w:r>
            <w:r w:rsidRPr="00D82EE2">
              <w:rPr>
                <w:rFonts w:eastAsia="宋体" w:cs="Times New Roman"/>
                <w:color w:val="000000"/>
                <w:kern w:val="0"/>
                <w:szCs w:val="18"/>
                <w:lang w:bidi="ar"/>
              </w:rPr>
              <w:t>000 sets</w:t>
            </w:r>
          </w:p>
        </w:tc>
        <w:tc>
          <w:tcPr>
            <w:tcW w:w="717" w:type="dxa"/>
            <w:tcBorders>
              <w:top w:val="nil"/>
              <w:bottom w:val="single" w:sz="4" w:space="0" w:color="000000"/>
            </w:tcBorders>
            <w:shd w:val="clear" w:color="auto" w:fill="auto"/>
            <w:vAlign w:val="center"/>
          </w:tcPr>
          <w:p w14:paraId="701BCD91"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szCs w:val="18"/>
              </w:rPr>
              <w:t xml:space="preserve">2667.0 </w:t>
            </w:r>
          </w:p>
        </w:tc>
        <w:tc>
          <w:tcPr>
            <w:tcW w:w="1794" w:type="dxa"/>
            <w:tcBorders>
              <w:top w:val="nil"/>
              <w:bottom w:val="single" w:sz="4" w:space="0" w:color="000000"/>
            </w:tcBorders>
            <w:shd w:val="clear" w:color="auto" w:fill="auto"/>
            <w:vAlign w:val="center"/>
          </w:tcPr>
          <w:p w14:paraId="75AA3260" w14:textId="77777777" w:rsidR="006D2677" w:rsidRPr="00D82EE2" w:rsidRDefault="00A21C00" w:rsidP="00D82EE2">
            <w:pPr>
              <w:topLinePunct/>
              <w:snapToGrid w:val="0"/>
              <w:ind w:firstLineChars="0" w:firstLine="0"/>
              <w:jc w:val="right"/>
              <w:rPr>
                <w:rFonts w:eastAsia="宋体" w:cs="Times New Roman"/>
                <w:szCs w:val="18"/>
              </w:rPr>
            </w:pPr>
            <w:r w:rsidRPr="00D82EE2">
              <w:rPr>
                <w:rFonts w:eastAsia="宋体" w:cs="Times New Roman"/>
                <w:szCs w:val="18"/>
              </w:rPr>
              <w:t xml:space="preserve">-32.0 </w:t>
            </w:r>
          </w:p>
        </w:tc>
      </w:tr>
    </w:tbl>
    <w:p w14:paraId="5D25FFAA" w14:textId="77777777" w:rsidR="006D2677" w:rsidRDefault="006D2677" w:rsidP="00D82EE2">
      <w:pPr>
        <w:topLinePunct/>
        <w:ind w:firstLine="360"/>
        <w:rPr>
          <w:rFonts w:eastAsia="宋体" w:cs="Times New Roman"/>
          <w:szCs w:val="18"/>
        </w:rPr>
      </w:pPr>
    </w:p>
    <w:p w14:paraId="15CE0CB4" w14:textId="77777777" w:rsidR="006D2677" w:rsidRPr="00D82EE2" w:rsidRDefault="00A21C00" w:rsidP="00D82EE2">
      <w:pPr>
        <w:topLinePunct/>
        <w:ind w:firstLine="360"/>
        <w:rPr>
          <w:rFonts w:eastAsia="宋体" w:cs="Times New Roman"/>
          <w:szCs w:val="18"/>
        </w:rPr>
      </w:pPr>
      <w:r w:rsidRPr="00D82EE2">
        <w:rPr>
          <w:rFonts w:eastAsia="宋体" w:cs="Times New Roman"/>
          <w:szCs w:val="18"/>
        </w:rPr>
        <w:t xml:space="preserve">The construction industry developed steadily. Throughout the year, the province’s construction enterprises with general contracting and professional contracting qualifications saw a total output of 1,613.61 billion </w:t>
      </w:r>
      <w:proofErr w:type="spellStart"/>
      <w:r w:rsidRPr="00D82EE2">
        <w:rPr>
          <w:rFonts w:eastAsia="宋体" w:cs="Times New Roman"/>
          <w:szCs w:val="18"/>
        </w:rPr>
        <w:t>yuan</w:t>
      </w:r>
      <w:proofErr w:type="spellEnd"/>
      <w:r w:rsidRPr="00D82EE2">
        <w:rPr>
          <w:rFonts w:eastAsia="宋体" w:cs="Times New Roman"/>
          <w:szCs w:val="18"/>
        </w:rPr>
        <w:t xml:space="preserve">, a decrease of 5.0%; the value of newly signed contracts for the year was 2,205.589 billion </w:t>
      </w:r>
      <w:proofErr w:type="spellStart"/>
      <w:r w:rsidRPr="00D82EE2">
        <w:rPr>
          <w:rFonts w:eastAsia="宋体" w:cs="Times New Roman"/>
          <w:szCs w:val="18"/>
        </w:rPr>
        <w:t>yuan</w:t>
      </w:r>
      <w:proofErr w:type="spellEnd"/>
      <w:r w:rsidRPr="00D82EE2">
        <w:rPr>
          <w:rFonts w:eastAsia="宋体" w:cs="Times New Roman"/>
          <w:szCs w:val="18"/>
        </w:rPr>
        <w:t>, an increase of 9.1%.</w:t>
      </w:r>
    </w:p>
    <w:p w14:paraId="1CCA171B" w14:textId="77777777" w:rsidR="006D2677" w:rsidRPr="00D82EE2" w:rsidRDefault="00A21C00" w:rsidP="00D82EE2">
      <w:pPr>
        <w:topLinePunct/>
        <w:ind w:firstLine="361"/>
        <w:rPr>
          <w:rFonts w:eastAsia="宋体" w:cs="Times New Roman"/>
          <w:b/>
          <w:bCs/>
          <w:szCs w:val="18"/>
        </w:rPr>
      </w:pPr>
      <w:r w:rsidRPr="00D82EE2">
        <w:rPr>
          <w:rFonts w:eastAsia="宋体" w:cs="Times New Roman"/>
          <w:b/>
          <w:bCs/>
          <w:szCs w:val="18"/>
        </w:rPr>
        <w:fldChar w:fldCharType="begin"/>
      </w:r>
      <w:r w:rsidRPr="00D82EE2">
        <w:rPr>
          <w:rFonts w:eastAsia="宋体" w:cs="Times New Roman"/>
          <w:b/>
          <w:bCs/>
          <w:szCs w:val="18"/>
        </w:rPr>
        <w:instrText xml:space="preserve"> = 4 \* ROMAN </w:instrText>
      </w:r>
      <w:r w:rsidRPr="00D82EE2">
        <w:rPr>
          <w:rFonts w:eastAsia="宋体" w:cs="Times New Roman"/>
          <w:b/>
          <w:bCs/>
          <w:szCs w:val="18"/>
        </w:rPr>
        <w:fldChar w:fldCharType="separate"/>
      </w:r>
      <w:r w:rsidRPr="00D82EE2">
        <w:rPr>
          <w:rFonts w:eastAsia="宋体" w:cs="Times New Roman"/>
          <w:b/>
          <w:bCs/>
          <w:szCs w:val="18"/>
        </w:rPr>
        <w:t>IV</w:t>
      </w:r>
      <w:r w:rsidRPr="00D82EE2">
        <w:rPr>
          <w:rFonts w:eastAsia="宋体" w:cs="Times New Roman"/>
          <w:b/>
          <w:bCs/>
          <w:szCs w:val="18"/>
        </w:rPr>
        <w:fldChar w:fldCharType="end"/>
      </w:r>
      <w:r w:rsidRPr="00D82EE2">
        <w:rPr>
          <w:rFonts w:eastAsia="宋体" w:cs="Times New Roman"/>
          <w:b/>
          <w:bCs/>
          <w:szCs w:val="18"/>
        </w:rPr>
        <w:t>. Fixed Assets Investment</w:t>
      </w:r>
    </w:p>
    <w:p w14:paraId="0FE525C0" w14:textId="77777777" w:rsidR="006D2677" w:rsidRPr="00D82EE2" w:rsidRDefault="00A21C00" w:rsidP="00D82EE2">
      <w:pPr>
        <w:topLinePunct/>
        <w:ind w:firstLine="360"/>
        <w:rPr>
          <w:rFonts w:eastAsia="宋体" w:cs="Times New Roman"/>
          <w:szCs w:val="18"/>
        </w:rPr>
      </w:pPr>
      <w:r w:rsidRPr="00D82EE2">
        <w:rPr>
          <w:rFonts w:eastAsia="宋体" w:cs="Times New Roman"/>
          <w:szCs w:val="18"/>
        </w:rPr>
        <w:t xml:space="preserve">The province’s completed investment in fixed assets (excluding rural households) fell by 18.8%. Divided by industry, investment in the primary, secondary and tertiary industries fell by 28.2%, 23.8%, and 15.4%, respectively. In terms of sectors, infrastructure investment, industrial investment and real estate development investment fell by 22.8%, 23.9% and 4.4%, respectively. Investment in high-tech manufacturing fell by 9.4%, of which investment in pharmaceutical manufacturing, computer and office equipment manufacturing increased by 20.4% and 14.7%, respectively. The construction for strengthening weak points and strengthening functions was accelerated. Investment in telecommunications, radio and television and satellite transmission services </w:t>
      </w:r>
      <w:r w:rsidRPr="00D82EE2">
        <w:rPr>
          <w:rFonts w:eastAsia="宋体" w:cs="Times New Roman"/>
          <w:szCs w:val="18"/>
        </w:rPr>
        <w:lastRenderedPageBreak/>
        <w:t>increased by 16.8%, investment in health increased by 65.8%, and investment in air transportation increased by 1.29 times.</w:t>
      </w:r>
    </w:p>
    <w:p w14:paraId="64E60067" w14:textId="77777777" w:rsidR="006D2677" w:rsidRPr="00D82EE2" w:rsidRDefault="00A21C00" w:rsidP="00D82EE2">
      <w:pPr>
        <w:topLinePunct/>
        <w:ind w:firstLine="360"/>
        <w:rPr>
          <w:rFonts w:eastAsia="宋体" w:cs="Times New Roman"/>
          <w:szCs w:val="18"/>
        </w:rPr>
      </w:pPr>
      <w:r w:rsidRPr="00D82EE2">
        <w:rPr>
          <w:rFonts w:eastAsia="宋体" w:cs="Times New Roman"/>
          <w:szCs w:val="18"/>
        </w:rPr>
        <w:t xml:space="preserve">The sold area of commercial housing was 65,878,300 square meters, a decrease of 23.4%; the sales of commercial housing reached 608.79 billion </w:t>
      </w:r>
      <w:proofErr w:type="spellStart"/>
      <w:r w:rsidRPr="00D82EE2">
        <w:rPr>
          <w:rFonts w:eastAsia="宋体" w:cs="Times New Roman"/>
          <w:szCs w:val="18"/>
        </w:rPr>
        <w:t>yuan</w:t>
      </w:r>
      <w:proofErr w:type="spellEnd"/>
      <w:r w:rsidRPr="00D82EE2">
        <w:rPr>
          <w:rFonts w:eastAsia="宋体" w:cs="Times New Roman"/>
          <w:szCs w:val="18"/>
        </w:rPr>
        <w:t>, a decrease of 21.5%.</w:t>
      </w:r>
    </w:p>
    <w:p w14:paraId="66AA5E76" w14:textId="77777777" w:rsidR="006D2677" w:rsidRDefault="00A21C00" w:rsidP="00D82EE2">
      <w:pPr>
        <w:topLinePunct/>
        <w:spacing w:beforeLines="50" w:before="156" w:afterLines="50" w:after="156"/>
        <w:ind w:firstLine="360"/>
        <w:jc w:val="center"/>
        <w:rPr>
          <w:rFonts w:ascii="Arial" w:eastAsia="宋体" w:hAnsi="Arial" w:cs="Arial"/>
          <w:b/>
          <w:sz w:val="22"/>
          <w:szCs w:val="28"/>
        </w:rPr>
      </w:pPr>
      <w:r>
        <w:rPr>
          <w:noProof/>
        </w:rPr>
        <w:drawing>
          <wp:inline distT="0" distB="0" distL="114300" distR="114300" wp14:anchorId="2DD542B7" wp14:editId="696D33F4">
            <wp:extent cx="4293870" cy="2225675"/>
            <wp:effectExtent l="0" t="0" r="11430" b="3175"/>
            <wp:docPr id="3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0F6B60D" w14:textId="77777777" w:rsidR="006D2677" w:rsidRDefault="00A21C00" w:rsidP="00D82EE2">
      <w:pPr>
        <w:topLinePunct/>
        <w:spacing w:beforeLines="50" w:before="156" w:afterLines="50" w:after="156"/>
        <w:ind w:firstLine="442"/>
        <w:jc w:val="center"/>
        <w:rPr>
          <w:rFonts w:ascii="Arial" w:eastAsia="宋体" w:hAnsi="Arial" w:cs="Arial"/>
          <w:b/>
          <w:sz w:val="22"/>
          <w:szCs w:val="28"/>
        </w:rPr>
      </w:pPr>
      <w:r>
        <w:rPr>
          <w:rFonts w:ascii="Arial" w:eastAsia="宋体" w:hAnsi="Arial" w:cs="Arial"/>
          <w:b/>
          <w:sz w:val="22"/>
          <w:szCs w:val="28"/>
        </w:rPr>
        <w:t>Figure 5 Proportion</w:t>
      </w:r>
      <w:r>
        <w:rPr>
          <w:rFonts w:ascii="Arial" w:eastAsia="宋体" w:hAnsi="Arial" w:cs="Arial" w:hint="eastAsia"/>
          <w:b/>
          <w:sz w:val="22"/>
          <w:szCs w:val="28"/>
        </w:rPr>
        <w:t>s</w:t>
      </w:r>
      <w:r>
        <w:rPr>
          <w:rFonts w:ascii="Arial" w:eastAsia="宋体" w:hAnsi="Arial" w:cs="Arial"/>
          <w:b/>
          <w:sz w:val="22"/>
          <w:szCs w:val="28"/>
        </w:rPr>
        <w:t xml:space="preserve"> of</w:t>
      </w:r>
      <w:r>
        <w:rPr>
          <w:rFonts w:ascii="Arial" w:eastAsia="宋体" w:hAnsi="Arial" w:cs="Arial" w:hint="eastAsia"/>
          <w:b/>
          <w:sz w:val="22"/>
          <w:szCs w:val="28"/>
        </w:rPr>
        <w:t xml:space="preserve"> Investments in</w:t>
      </w:r>
      <w:r>
        <w:rPr>
          <w:rFonts w:ascii="Arial" w:eastAsia="宋体" w:hAnsi="Arial" w:cs="Arial"/>
          <w:b/>
          <w:sz w:val="22"/>
          <w:szCs w:val="28"/>
        </w:rPr>
        <w:t xml:space="preserve"> Hubei’s </w:t>
      </w:r>
      <w:r>
        <w:rPr>
          <w:rFonts w:ascii="Arial" w:eastAsia="宋体" w:hAnsi="Arial" w:cs="Arial" w:hint="eastAsia"/>
          <w:b/>
          <w:sz w:val="22"/>
          <w:szCs w:val="28"/>
        </w:rPr>
        <w:t>T</w:t>
      </w:r>
      <w:r>
        <w:rPr>
          <w:rFonts w:ascii="Arial" w:eastAsia="宋体" w:hAnsi="Arial" w:cs="Arial"/>
          <w:b/>
          <w:sz w:val="22"/>
          <w:szCs w:val="28"/>
        </w:rPr>
        <w:t xml:space="preserve">hree </w:t>
      </w:r>
      <w:r>
        <w:rPr>
          <w:rFonts w:ascii="Arial" w:eastAsia="宋体" w:hAnsi="Arial" w:cs="Arial" w:hint="eastAsia"/>
          <w:b/>
          <w:sz w:val="22"/>
          <w:szCs w:val="28"/>
        </w:rPr>
        <w:t>I</w:t>
      </w:r>
      <w:r>
        <w:rPr>
          <w:rFonts w:ascii="Arial" w:eastAsia="宋体" w:hAnsi="Arial" w:cs="Arial"/>
          <w:b/>
          <w:sz w:val="22"/>
          <w:szCs w:val="28"/>
        </w:rPr>
        <w:t>ndustri</w:t>
      </w:r>
      <w:r>
        <w:rPr>
          <w:rFonts w:ascii="Arial" w:eastAsia="宋体" w:hAnsi="Arial" w:cs="Arial" w:hint="eastAsia"/>
          <w:b/>
          <w:sz w:val="22"/>
          <w:szCs w:val="28"/>
        </w:rPr>
        <w:t>es</w:t>
      </w:r>
      <w:r>
        <w:rPr>
          <w:rFonts w:ascii="Arial" w:eastAsia="宋体" w:hAnsi="Arial" w:cs="Arial"/>
          <w:b/>
          <w:sz w:val="22"/>
          <w:szCs w:val="28"/>
        </w:rPr>
        <w:t xml:space="preserve"> </w:t>
      </w:r>
      <w:r>
        <w:rPr>
          <w:rFonts w:ascii="Arial" w:eastAsia="宋体" w:hAnsi="Arial" w:cs="Arial" w:hint="eastAsia"/>
          <w:b/>
          <w:sz w:val="22"/>
          <w:szCs w:val="28"/>
        </w:rPr>
        <w:t>to</w:t>
      </w:r>
      <w:r>
        <w:rPr>
          <w:rFonts w:ascii="Arial" w:eastAsia="宋体" w:hAnsi="Arial" w:cs="Arial"/>
          <w:b/>
          <w:sz w:val="22"/>
          <w:szCs w:val="28"/>
        </w:rPr>
        <w:t xml:space="preserve"> </w:t>
      </w:r>
      <w:r>
        <w:rPr>
          <w:rFonts w:ascii="Arial" w:eastAsia="宋体" w:hAnsi="Arial" w:cs="Arial" w:hint="eastAsia"/>
          <w:b/>
          <w:sz w:val="22"/>
          <w:szCs w:val="28"/>
        </w:rPr>
        <w:t>F</w:t>
      </w:r>
      <w:r>
        <w:rPr>
          <w:rFonts w:ascii="Arial" w:eastAsia="宋体" w:hAnsi="Arial" w:cs="Arial"/>
          <w:b/>
          <w:sz w:val="22"/>
          <w:szCs w:val="28"/>
        </w:rPr>
        <w:t xml:space="preserve">ixed </w:t>
      </w:r>
      <w:r>
        <w:rPr>
          <w:rFonts w:ascii="Arial" w:eastAsia="宋体" w:hAnsi="Arial" w:cs="Arial" w:hint="eastAsia"/>
          <w:b/>
          <w:sz w:val="22"/>
          <w:szCs w:val="28"/>
        </w:rPr>
        <w:t>A</w:t>
      </w:r>
      <w:r>
        <w:rPr>
          <w:rFonts w:ascii="Arial" w:eastAsia="宋体" w:hAnsi="Arial" w:cs="Arial"/>
          <w:b/>
          <w:sz w:val="22"/>
          <w:szCs w:val="28"/>
        </w:rPr>
        <w:t xml:space="preserve">sset </w:t>
      </w:r>
      <w:r>
        <w:rPr>
          <w:rFonts w:ascii="Arial" w:eastAsia="宋体" w:hAnsi="Arial" w:cs="Arial" w:hint="eastAsia"/>
          <w:b/>
          <w:sz w:val="22"/>
          <w:szCs w:val="28"/>
        </w:rPr>
        <w:t>I</w:t>
      </w:r>
      <w:r>
        <w:rPr>
          <w:rFonts w:ascii="Arial" w:eastAsia="宋体" w:hAnsi="Arial" w:cs="Arial"/>
          <w:b/>
          <w:sz w:val="22"/>
          <w:szCs w:val="28"/>
        </w:rPr>
        <w:t>nvestment (</w:t>
      </w:r>
      <w:r>
        <w:rPr>
          <w:rFonts w:ascii="Arial" w:eastAsia="宋体" w:hAnsi="Arial" w:cs="Arial" w:hint="eastAsia"/>
          <w:b/>
          <w:sz w:val="22"/>
          <w:szCs w:val="28"/>
        </w:rPr>
        <w:t>E</w:t>
      </w:r>
      <w:r>
        <w:rPr>
          <w:rFonts w:ascii="Arial" w:eastAsia="宋体" w:hAnsi="Arial" w:cs="Arial"/>
          <w:b/>
          <w:sz w:val="22"/>
          <w:szCs w:val="28"/>
        </w:rPr>
        <w:t xml:space="preserve">xcluding </w:t>
      </w:r>
      <w:r>
        <w:rPr>
          <w:rFonts w:ascii="Arial" w:eastAsia="宋体" w:hAnsi="Arial" w:cs="Arial" w:hint="eastAsia"/>
          <w:b/>
          <w:sz w:val="22"/>
          <w:szCs w:val="28"/>
        </w:rPr>
        <w:t>R</w:t>
      </w:r>
      <w:r>
        <w:rPr>
          <w:rFonts w:ascii="Arial" w:eastAsia="宋体" w:hAnsi="Arial" w:cs="Arial"/>
          <w:b/>
          <w:sz w:val="22"/>
          <w:szCs w:val="28"/>
        </w:rPr>
        <w:t xml:space="preserve">ural </w:t>
      </w:r>
      <w:r>
        <w:rPr>
          <w:rFonts w:ascii="Arial" w:eastAsia="宋体" w:hAnsi="Arial" w:cs="Arial" w:hint="eastAsia"/>
          <w:b/>
          <w:sz w:val="22"/>
          <w:szCs w:val="28"/>
        </w:rPr>
        <w:t>H</w:t>
      </w:r>
      <w:r>
        <w:rPr>
          <w:rFonts w:ascii="Arial" w:eastAsia="宋体" w:hAnsi="Arial" w:cs="Arial"/>
          <w:b/>
          <w:sz w:val="22"/>
          <w:szCs w:val="28"/>
        </w:rPr>
        <w:t>ouseholds) in 2020</w:t>
      </w:r>
    </w:p>
    <w:p w14:paraId="03B2DAC1" w14:textId="77777777" w:rsidR="006D2677" w:rsidRDefault="006D2677" w:rsidP="00D82EE2">
      <w:pPr>
        <w:topLinePunct/>
        <w:spacing w:beforeLines="50" w:before="156" w:afterLines="50" w:after="156"/>
        <w:ind w:firstLine="360"/>
        <w:jc w:val="center"/>
        <w:rPr>
          <w:rFonts w:ascii="Arial" w:eastAsia="宋体" w:hAnsi="Arial"/>
        </w:rPr>
      </w:pPr>
    </w:p>
    <w:p w14:paraId="7F7EE345" w14:textId="77777777" w:rsidR="006D2677" w:rsidRPr="00D82EE2" w:rsidRDefault="00A21C00" w:rsidP="00D82EE2">
      <w:pPr>
        <w:topLinePunct/>
        <w:ind w:firstLine="360"/>
        <w:rPr>
          <w:rFonts w:eastAsia="宋体" w:cs="Times New Roman"/>
          <w:szCs w:val="18"/>
        </w:rPr>
      </w:pPr>
      <w:r w:rsidRPr="00D82EE2">
        <w:rPr>
          <w:rFonts w:eastAsia="宋体" w:cs="Times New Roman"/>
          <w:szCs w:val="18"/>
        </w:rPr>
        <w:t xml:space="preserve">There were 3649 newly started projects in the province with a value of more than 100 million </w:t>
      </w:r>
      <w:proofErr w:type="spellStart"/>
      <w:r w:rsidRPr="00D82EE2">
        <w:rPr>
          <w:rFonts w:eastAsia="宋体" w:cs="Times New Roman"/>
          <w:szCs w:val="18"/>
        </w:rPr>
        <w:t>yuan</w:t>
      </w:r>
      <w:proofErr w:type="spellEnd"/>
      <w:r w:rsidRPr="00D82EE2">
        <w:rPr>
          <w:rFonts w:eastAsia="宋体" w:cs="Times New Roman"/>
          <w:szCs w:val="18"/>
        </w:rPr>
        <w:t xml:space="preserve">, a decrease of 7.7%, and the completed investment in projects with a value of more than 100 million </w:t>
      </w:r>
      <w:proofErr w:type="spellStart"/>
      <w:r w:rsidRPr="00D82EE2">
        <w:rPr>
          <w:rFonts w:eastAsia="宋体" w:cs="Times New Roman"/>
          <w:szCs w:val="18"/>
        </w:rPr>
        <w:t>yuan</w:t>
      </w:r>
      <w:proofErr w:type="spellEnd"/>
      <w:r w:rsidRPr="00D82EE2">
        <w:rPr>
          <w:rFonts w:eastAsia="宋体" w:cs="Times New Roman"/>
          <w:szCs w:val="18"/>
        </w:rPr>
        <w:t xml:space="preserve"> decreased by 21.2%.</w:t>
      </w:r>
    </w:p>
    <w:p w14:paraId="41E1C102" w14:textId="77777777" w:rsidR="006D2677" w:rsidRPr="00D82EE2" w:rsidRDefault="00A21C00" w:rsidP="00D82EE2">
      <w:pPr>
        <w:topLinePunct/>
        <w:ind w:firstLine="361"/>
        <w:rPr>
          <w:rFonts w:eastAsia="宋体" w:cs="Times New Roman"/>
          <w:b/>
          <w:bCs/>
          <w:szCs w:val="18"/>
        </w:rPr>
      </w:pPr>
      <w:r w:rsidRPr="00D82EE2">
        <w:rPr>
          <w:rFonts w:eastAsia="宋体" w:cs="Times New Roman"/>
          <w:b/>
          <w:bCs/>
          <w:szCs w:val="18"/>
        </w:rPr>
        <w:fldChar w:fldCharType="begin"/>
      </w:r>
      <w:r w:rsidRPr="00D82EE2">
        <w:rPr>
          <w:rFonts w:eastAsia="宋体" w:cs="Times New Roman"/>
          <w:b/>
          <w:bCs/>
          <w:szCs w:val="18"/>
        </w:rPr>
        <w:instrText xml:space="preserve"> = 5 \* ROMAN </w:instrText>
      </w:r>
      <w:r w:rsidRPr="00D82EE2">
        <w:rPr>
          <w:rFonts w:eastAsia="宋体" w:cs="Times New Roman"/>
          <w:b/>
          <w:bCs/>
          <w:szCs w:val="18"/>
        </w:rPr>
        <w:fldChar w:fldCharType="separate"/>
      </w:r>
      <w:r w:rsidRPr="00D82EE2">
        <w:rPr>
          <w:rFonts w:eastAsia="宋体" w:cs="Times New Roman"/>
          <w:b/>
          <w:bCs/>
          <w:szCs w:val="18"/>
        </w:rPr>
        <w:t>V</w:t>
      </w:r>
      <w:r w:rsidRPr="00D82EE2">
        <w:rPr>
          <w:rFonts w:eastAsia="宋体" w:cs="Times New Roman"/>
          <w:b/>
          <w:bCs/>
          <w:szCs w:val="18"/>
        </w:rPr>
        <w:fldChar w:fldCharType="end"/>
      </w:r>
      <w:r w:rsidRPr="00D82EE2">
        <w:rPr>
          <w:rFonts w:eastAsia="宋体" w:cs="Times New Roman"/>
          <w:b/>
          <w:bCs/>
          <w:szCs w:val="18"/>
        </w:rPr>
        <w:t>. Domestic Trade</w:t>
      </w:r>
    </w:p>
    <w:p w14:paraId="0CB635C8" w14:textId="77777777" w:rsidR="006D2677" w:rsidRPr="00D82EE2" w:rsidRDefault="00A21C00" w:rsidP="00D82EE2">
      <w:pPr>
        <w:topLinePunct/>
        <w:ind w:firstLine="360"/>
        <w:rPr>
          <w:rFonts w:eastAsia="宋体" w:cs="Times New Roman"/>
          <w:szCs w:val="18"/>
        </w:rPr>
      </w:pPr>
      <w:r w:rsidRPr="00D82EE2">
        <w:rPr>
          <w:rFonts w:eastAsia="宋体" w:cs="Times New Roman"/>
          <w:szCs w:val="18"/>
        </w:rPr>
        <w:t xml:space="preserve">The province’s total annual retail sales of consumer goods reached 1,798.487 billion </w:t>
      </w:r>
      <w:proofErr w:type="spellStart"/>
      <w:r w:rsidRPr="00D82EE2">
        <w:rPr>
          <w:rFonts w:eastAsia="宋体" w:cs="Times New Roman"/>
          <w:szCs w:val="18"/>
        </w:rPr>
        <w:t>yuan</w:t>
      </w:r>
      <w:proofErr w:type="spellEnd"/>
      <w:r w:rsidRPr="00D82EE2">
        <w:rPr>
          <w:rFonts w:eastAsia="宋体" w:cs="Times New Roman"/>
          <w:szCs w:val="18"/>
        </w:rPr>
        <w:t xml:space="preserve">, a decrease of 20.8%. In terms of urban and rural areas, urban retail sales reached 1,528.469 billion </w:t>
      </w:r>
      <w:proofErr w:type="spellStart"/>
      <w:r w:rsidRPr="00D82EE2">
        <w:rPr>
          <w:rFonts w:eastAsia="宋体" w:cs="Times New Roman"/>
          <w:szCs w:val="18"/>
        </w:rPr>
        <w:t>yuan</w:t>
      </w:r>
      <w:proofErr w:type="spellEnd"/>
      <w:r w:rsidRPr="00D82EE2">
        <w:rPr>
          <w:rFonts w:eastAsia="宋体" w:cs="Times New Roman"/>
          <w:szCs w:val="18"/>
        </w:rPr>
        <w:t xml:space="preserve">, a decrease of 20.9%; rural retail sales reached 270.018 billion </w:t>
      </w:r>
      <w:proofErr w:type="spellStart"/>
      <w:r w:rsidRPr="00D82EE2">
        <w:rPr>
          <w:rFonts w:eastAsia="宋体" w:cs="Times New Roman"/>
          <w:szCs w:val="18"/>
        </w:rPr>
        <w:t>yuan</w:t>
      </w:r>
      <w:proofErr w:type="spellEnd"/>
      <w:r w:rsidRPr="00D82EE2">
        <w:rPr>
          <w:rFonts w:eastAsia="宋体" w:cs="Times New Roman"/>
          <w:szCs w:val="18"/>
        </w:rPr>
        <w:t xml:space="preserve">, a decrease of 20.8%. Among them, the retail sales of consumer goods by enterprises (institutions) above designated size reached 659.293 billion </w:t>
      </w:r>
      <w:proofErr w:type="spellStart"/>
      <w:r w:rsidRPr="00D82EE2">
        <w:rPr>
          <w:rFonts w:eastAsia="宋体" w:cs="Times New Roman"/>
          <w:szCs w:val="18"/>
        </w:rPr>
        <w:t>yuan</w:t>
      </w:r>
      <w:proofErr w:type="spellEnd"/>
      <w:r w:rsidRPr="00D82EE2">
        <w:rPr>
          <w:rFonts w:eastAsia="宋体" w:cs="Times New Roman"/>
          <w:szCs w:val="18"/>
        </w:rPr>
        <w:t>, down 14.2%.</w:t>
      </w:r>
    </w:p>
    <w:p w14:paraId="4539FB25" w14:textId="77777777" w:rsidR="006D2677" w:rsidRPr="00D82EE2" w:rsidRDefault="00A21C00">
      <w:pPr>
        <w:topLinePunct/>
        <w:spacing w:beforeLines="50" w:before="156" w:afterLines="50" w:after="156"/>
        <w:ind w:firstLine="360"/>
        <w:jc w:val="center"/>
        <w:rPr>
          <w:rFonts w:ascii="Arial" w:eastAsia="宋体" w:hAnsi="Arial" w:cs="Arial"/>
          <w:b/>
          <w:sz w:val="22"/>
        </w:rPr>
      </w:pPr>
      <w:r>
        <w:rPr>
          <w:rFonts w:ascii="Arial" w:eastAsia="宋体" w:hAnsi="Arial"/>
          <w:noProof/>
        </w:rPr>
        <w:drawing>
          <wp:inline distT="0" distB="0" distL="0" distR="0" wp14:anchorId="7AF5DBBE" wp14:editId="44FBFFC2">
            <wp:extent cx="5427980" cy="2659380"/>
            <wp:effectExtent l="0" t="0" r="1270" b="7620"/>
            <wp:docPr id="40" name="图表 40"/>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C648AD7" w14:textId="77777777" w:rsidR="006D2677" w:rsidRDefault="00A21C00" w:rsidP="00D82EE2">
      <w:pPr>
        <w:topLinePunct/>
        <w:spacing w:beforeLines="50" w:before="156" w:afterLines="50" w:after="156"/>
        <w:ind w:firstLineChars="0" w:firstLine="0"/>
        <w:jc w:val="center"/>
        <w:rPr>
          <w:rFonts w:ascii="Arial" w:eastAsia="宋体" w:hAnsi="Arial" w:cs="Arial"/>
          <w:b/>
          <w:sz w:val="22"/>
        </w:rPr>
      </w:pPr>
      <w:r>
        <w:rPr>
          <w:rFonts w:ascii="Arial" w:eastAsia="宋体" w:hAnsi="Arial" w:cs="Arial"/>
          <w:b/>
          <w:sz w:val="22"/>
        </w:rPr>
        <w:t xml:space="preserve">Figure 6 </w:t>
      </w:r>
      <w:r>
        <w:rPr>
          <w:rFonts w:ascii="Arial" w:eastAsia="宋体" w:hAnsi="Arial" w:cs="Arial" w:hint="eastAsia"/>
          <w:b/>
          <w:sz w:val="22"/>
        </w:rPr>
        <w:t>T</w:t>
      </w:r>
      <w:r>
        <w:rPr>
          <w:rFonts w:ascii="Arial" w:eastAsia="宋体" w:hAnsi="Arial" w:cs="Arial"/>
          <w:b/>
          <w:sz w:val="22"/>
        </w:rPr>
        <w:t xml:space="preserve">otal </w:t>
      </w:r>
      <w:r>
        <w:rPr>
          <w:rFonts w:ascii="Arial" w:eastAsia="宋体" w:hAnsi="Arial" w:cs="Arial" w:hint="eastAsia"/>
          <w:b/>
          <w:sz w:val="22"/>
        </w:rPr>
        <w:t>R</w:t>
      </w:r>
      <w:r>
        <w:rPr>
          <w:rFonts w:ascii="Arial" w:eastAsia="宋体" w:hAnsi="Arial" w:cs="Arial"/>
          <w:b/>
          <w:sz w:val="22"/>
        </w:rPr>
        <w:t xml:space="preserve">etail </w:t>
      </w:r>
      <w:r>
        <w:rPr>
          <w:rFonts w:ascii="Arial" w:eastAsia="宋体" w:hAnsi="Arial" w:cs="Arial" w:hint="eastAsia"/>
          <w:b/>
          <w:sz w:val="22"/>
        </w:rPr>
        <w:t>S</w:t>
      </w:r>
      <w:r>
        <w:rPr>
          <w:rFonts w:ascii="Arial" w:eastAsia="宋体" w:hAnsi="Arial" w:cs="Arial"/>
          <w:b/>
          <w:sz w:val="22"/>
        </w:rPr>
        <w:t xml:space="preserve">ales of </w:t>
      </w:r>
      <w:r>
        <w:rPr>
          <w:rFonts w:ascii="Arial" w:eastAsia="宋体" w:hAnsi="Arial" w:cs="Arial" w:hint="eastAsia"/>
          <w:b/>
          <w:sz w:val="22"/>
        </w:rPr>
        <w:t>C</w:t>
      </w:r>
      <w:r>
        <w:rPr>
          <w:rFonts w:ascii="Arial" w:eastAsia="宋体" w:hAnsi="Arial" w:cs="Arial"/>
          <w:b/>
          <w:sz w:val="22"/>
        </w:rPr>
        <w:t xml:space="preserve">onsumer </w:t>
      </w:r>
      <w:r>
        <w:rPr>
          <w:rFonts w:ascii="Arial" w:eastAsia="宋体" w:hAnsi="Arial" w:cs="Arial" w:hint="eastAsia"/>
          <w:b/>
          <w:sz w:val="22"/>
        </w:rPr>
        <w:t>G</w:t>
      </w:r>
      <w:r>
        <w:rPr>
          <w:rFonts w:ascii="Arial" w:eastAsia="宋体" w:hAnsi="Arial" w:cs="Arial"/>
          <w:b/>
          <w:sz w:val="22"/>
        </w:rPr>
        <w:t xml:space="preserve">oods in Hubei </w:t>
      </w:r>
      <w:r>
        <w:rPr>
          <w:rFonts w:ascii="Arial" w:eastAsia="宋体" w:hAnsi="Arial" w:cs="Arial" w:hint="eastAsia"/>
          <w:b/>
          <w:sz w:val="22"/>
        </w:rPr>
        <w:t xml:space="preserve">for </w:t>
      </w:r>
      <w:r>
        <w:rPr>
          <w:rFonts w:ascii="Arial" w:eastAsia="宋体" w:hAnsi="Arial" w:cs="Arial"/>
          <w:b/>
          <w:sz w:val="22"/>
        </w:rPr>
        <w:t>2016</w:t>
      </w:r>
      <w:r>
        <w:rPr>
          <w:rFonts w:ascii="Arial" w:eastAsia="宋体" w:hAnsi="Arial" w:cs="Arial" w:hint="eastAsia"/>
          <w:b/>
          <w:sz w:val="22"/>
        </w:rPr>
        <w:t>-</w:t>
      </w:r>
      <w:r>
        <w:rPr>
          <w:rFonts w:ascii="Arial" w:eastAsia="宋体" w:hAnsi="Arial" w:cs="Arial"/>
          <w:b/>
          <w:sz w:val="22"/>
        </w:rPr>
        <w:t>2020</w:t>
      </w:r>
    </w:p>
    <w:p w14:paraId="182F3020" w14:textId="77777777" w:rsidR="006D2677" w:rsidRDefault="006D2677" w:rsidP="00D82EE2">
      <w:pPr>
        <w:topLinePunct/>
        <w:spacing w:beforeLines="50" w:before="156" w:afterLines="50" w:after="156"/>
        <w:ind w:firstLineChars="0" w:firstLine="0"/>
        <w:jc w:val="center"/>
        <w:rPr>
          <w:rFonts w:ascii="Arial" w:eastAsia="宋体" w:hAnsi="Arial"/>
        </w:rPr>
      </w:pPr>
    </w:p>
    <w:p w14:paraId="6556032E" w14:textId="77777777" w:rsidR="006D2677" w:rsidRPr="00D82EE2" w:rsidRDefault="00A21C00" w:rsidP="00D82EE2">
      <w:pPr>
        <w:topLinePunct/>
        <w:ind w:firstLine="360"/>
        <w:rPr>
          <w:rFonts w:eastAsia="宋体" w:cs="Times New Roman"/>
          <w:szCs w:val="18"/>
        </w:rPr>
      </w:pPr>
      <w:r w:rsidRPr="00D82EE2">
        <w:rPr>
          <w:rFonts w:eastAsia="宋体" w:cs="Times New Roman"/>
          <w:szCs w:val="18"/>
        </w:rPr>
        <w:t xml:space="preserve">In 2020, the province’s online retail sales reached 286.66 billion </w:t>
      </w:r>
      <w:proofErr w:type="spellStart"/>
      <w:r w:rsidRPr="00D82EE2">
        <w:rPr>
          <w:rFonts w:eastAsia="宋体" w:cs="Times New Roman"/>
          <w:szCs w:val="18"/>
        </w:rPr>
        <w:t>yuan</w:t>
      </w:r>
      <w:proofErr w:type="spellEnd"/>
      <w:r w:rsidRPr="00D82EE2">
        <w:rPr>
          <w:rFonts w:eastAsia="宋体" w:cs="Times New Roman"/>
          <w:szCs w:val="18"/>
        </w:rPr>
        <w:t xml:space="preserve">, an increase of 1.6%, of which online retail sales of </w:t>
      </w:r>
      <w:r w:rsidRPr="00D82EE2">
        <w:rPr>
          <w:rFonts w:eastAsia="宋体" w:cs="Times New Roman"/>
          <w:szCs w:val="18"/>
        </w:rPr>
        <w:lastRenderedPageBreak/>
        <w:t xml:space="preserve">physical goods were 244.89 billion </w:t>
      </w:r>
      <w:proofErr w:type="spellStart"/>
      <w:r w:rsidRPr="00D82EE2">
        <w:rPr>
          <w:rFonts w:eastAsia="宋体" w:cs="Times New Roman"/>
          <w:szCs w:val="18"/>
        </w:rPr>
        <w:t>yuan</w:t>
      </w:r>
      <w:proofErr w:type="spellEnd"/>
      <w:r w:rsidRPr="00D82EE2">
        <w:rPr>
          <w:rFonts w:eastAsia="宋体" w:cs="Times New Roman"/>
          <w:szCs w:val="18"/>
        </w:rPr>
        <w:t>, an increase of 4.6%, accounting for 13.6% of the total retail sales of consumer goods, an increase of 1.8% over the previous year.</w:t>
      </w:r>
    </w:p>
    <w:p w14:paraId="2FC4E776" w14:textId="77777777" w:rsidR="006D2677" w:rsidRPr="00D82EE2" w:rsidRDefault="00A21C00" w:rsidP="00D82EE2">
      <w:pPr>
        <w:topLinePunct/>
        <w:ind w:firstLine="361"/>
        <w:rPr>
          <w:rFonts w:eastAsia="宋体" w:cs="Times New Roman"/>
          <w:b/>
          <w:bCs/>
          <w:szCs w:val="18"/>
        </w:rPr>
      </w:pPr>
      <w:r w:rsidRPr="00D82EE2">
        <w:rPr>
          <w:rFonts w:eastAsia="宋体" w:cs="Times New Roman"/>
          <w:b/>
          <w:bCs/>
          <w:szCs w:val="18"/>
        </w:rPr>
        <w:fldChar w:fldCharType="begin"/>
      </w:r>
      <w:r w:rsidRPr="00D82EE2">
        <w:rPr>
          <w:rFonts w:eastAsia="宋体" w:cs="Times New Roman"/>
          <w:b/>
          <w:bCs/>
          <w:szCs w:val="18"/>
        </w:rPr>
        <w:instrText xml:space="preserve"> = 6 \* ROMAN </w:instrText>
      </w:r>
      <w:r w:rsidRPr="00D82EE2">
        <w:rPr>
          <w:rFonts w:eastAsia="宋体" w:cs="Times New Roman"/>
          <w:b/>
          <w:bCs/>
          <w:szCs w:val="18"/>
        </w:rPr>
        <w:fldChar w:fldCharType="separate"/>
      </w:r>
      <w:r w:rsidRPr="00D82EE2">
        <w:rPr>
          <w:rFonts w:eastAsia="宋体" w:cs="Times New Roman"/>
          <w:b/>
          <w:bCs/>
          <w:szCs w:val="18"/>
        </w:rPr>
        <w:t>VI</w:t>
      </w:r>
      <w:r w:rsidRPr="00D82EE2">
        <w:rPr>
          <w:rFonts w:eastAsia="宋体" w:cs="Times New Roman"/>
          <w:b/>
          <w:bCs/>
          <w:szCs w:val="18"/>
        </w:rPr>
        <w:fldChar w:fldCharType="end"/>
      </w:r>
      <w:r w:rsidRPr="00D82EE2">
        <w:rPr>
          <w:rFonts w:eastAsia="宋体" w:cs="Times New Roman"/>
          <w:b/>
          <w:bCs/>
          <w:szCs w:val="18"/>
        </w:rPr>
        <w:t>. Foreign Trade</w:t>
      </w:r>
    </w:p>
    <w:p w14:paraId="2FF054FD" w14:textId="77777777" w:rsidR="006D2677" w:rsidRPr="00D82EE2" w:rsidRDefault="00A21C00" w:rsidP="00D82EE2">
      <w:pPr>
        <w:topLinePunct/>
        <w:ind w:firstLine="360"/>
        <w:rPr>
          <w:rFonts w:eastAsia="宋体" w:cs="Times New Roman"/>
          <w:szCs w:val="18"/>
        </w:rPr>
      </w:pPr>
      <w:r w:rsidRPr="00D82EE2">
        <w:rPr>
          <w:rFonts w:eastAsia="宋体" w:cs="Times New Roman"/>
          <w:szCs w:val="18"/>
        </w:rPr>
        <w:t xml:space="preserve">In the whole year, the province’s total value of imports and exports of goods reached 429.41 billion </w:t>
      </w:r>
      <w:proofErr w:type="spellStart"/>
      <w:r w:rsidRPr="00D82EE2">
        <w:rPr>
          <w:rFonts w:eastAsia="宋体" w:cs="Times New Roman"/>
          <w:szCs w:val="18"/>
        </w:rPr>
        <w:t>yuan</w:t>
      </w:r>
      <w:proofErr w:type="spellEnd"/>
      <w:r w:rsidRPr="00D82EE2">
        <w:rPr>
          <w:rFonts w:eastAsia="宋体" w:cs="Times New Roman"/>
          <w:szCs w:val="18"/>
        </w:rPr>
        <w:t xml:space="preserve">, an increase of 8.8%, of which the value of imports was 159.21 billion </w:t>
      </w:r>
      <w:proofErr w:type="spellStart"/>
      <w:r w:rsidRPr="00D82EE2">
        <w:rPr>
          <w:rFonts w:eastAsia="宋体" w:cs="Times New Roman"/>
          <w:szCs w:val="18"/>
        </w:rPr>
        <w:t>yuan</w:t>
      </w:r>
      <w:proofErr w:type="spellEnd"/>
      <w:r w:rsidRPr="00D82EE2">
        <w:rPr>
          <w:rFonts w:eastAsia="宋体" w:cs="Times New Roman"/>
          <w:szCs w:val="18"/>
        </w:rPr>
        <w:t xml:space="preserve">, an increase of 9.1%; the value of exports was 270.2 billion </w:t>
      </w:r>
      <w:proofErr w:type="spellStart"/>
      <w:r w:rsidRPr="00D82EE2">
        <w:rPr>
          <w:rFonts w:eastAsia="宋体" w:cs="Times New Roman"/>
          <w:szCs w:val="18"/>
        </w:rPr>
        <w:t>yuan</w:t>
      </w:r>
      <w:proofErr w:type="spellEnd"/>
      <w:r w:rsidRPr="00D82EE2">
        <w:rPr>
          <w:rFonts w:eastAsia="宋体" w:cs="Times New Roman"/>
          <w:szCs w:val="18"/>
        </w:rPr>
        <w:t xml:space="preserve">, an increase of 8.7%. In 2020, the EU replaced ASEAN to be the largest trading partner of Hubei, with a bilateral trade value of 59.52 billion </w:t>
      </w:r>
      <w:proofErr w:type="spellStart"/>
      <w:r w:rsidRPr="00D82EE2">
        <w:rPr>
          <w:rFonts w:eastAsia="宋体" w:cs="Times New Roman"/>
          <w:szCs w:val="18"/>
        </w:rPr>
        <w:t>yuan</w:t>
      </w:r>
      <w:proofErr w:type="spellEnd"/>
      <w:r w:rsidRPr="00D82EE2">
        <w:rPr>
          <w:rFonts w:eastAsia="宋体" w:cs="Times New Roman"/>
          <w:szCs w:val="18"/>
        </w:rPr>
        <w:t>, an increase of 17.1%.</w:t>
      </w:r>
    </w:p>
    <w:p w14:paraId="31F92D73" w14:textId="77777777" w:rsidR="006D2677" w:rsidRPr="00D82EE2" w:rsidRDefault="00A21C00">
      <w:pPr>
        <w:topLinePunct/>
        <w:spacing w:beforeLines="50" w:before="156" w:afterLines="50" w:after="156"/>
        <w:ind w:firstLine="360"/>
        <w:jc w:val="center"/>
        <w:rPr>
          <w:rFonts w:ascii="Arial" w:eastAsia="宋体" w:hAnsi="Arial" w:cs="Arial"/>
          <w:b/>
          <w:sz w:val="22"/>
        </w:rPr>
      </w:pPr>
      <w:r>
        <w:rPr>
          <w:noProof/>
        </w:rPr>
        <w:drawing>
          <wp:inline distT="0" distB="0" distL="114300" distR="114300" wp14:anchorId="3A445103" wp14:editId="69E4AA44">
            <wp:extent cx="5350510" cy="2585085"/>
            <wp:effectExtent l="0" t="0" r="2540" b="5715"/>
            <wp:docPr id="8"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F516FD1" w14:textId="77777777" w:rsidR="006D2677" w:rsidRDefault="00A21C00" w:rsidP="00D82EE2">
      <w:pPr>
        <w:topLinePunct/>
        <w:spacing w:beforeLines="50" w:before="156" w:afterLines="50" w:after="156"/>
        <w:ind w:firstLine="442"/>
        <w:jc w:val="center"/>
        <w:rPr>
          <w:rFonts w:ascii="Arial" w:eastAsia="宋体" w:hAnsi="Arial" w:cs="Arial"/>
          <w:b/>
          <w:sz w:val="22"/>
        </w:rPr>
      </w:pPr>
      <w:r>
        <w:rPr>
          <w:rFonts w:ascii="Arial" w:eastAsia="宋体" w:hAnsi="Arial" w:cs="Arial"/>
          <w:b/>
          <w:sz w:val="22"/>
        </w:rPr>
        <w:t xml:space="preserve">Figure 7 </w:t>
      </w:r>
      <w:r>
        <w:rPr>
          <w:rFonts w:ascii="Arial" w:eastAsia="宋体" w:hAnsi="Arial" w:cs="Arial" w:hint="eastAsia"/>
          <w:b/>
          <w:sz w:val="22"/>
        </w:rPr>
        <w:t>T</w:t>
      </w:r>
      <w:r>
        <w:rPr>
          <w:rFonts w:ascii="Arial" w:eastAsia="宋体" w:hAnsi="Arial" w:cs="Arial"/>
          <w:b/>
          <w:sz w:val="22"/>
        </w:rPr>
        <w:t xml:space="preserve">otal </w:t>
      </w:r>
      <w:r>
        <w:rPr>
          <w:rFonts w:ascii="Arial" w:eastAsia="宋体" w:hAnsi="Arial" w:cs="Arial" w:hint="eastAsia"/>
          <w:b/>
          <w:sz w:val="22"/>
        </w:rPr>
        <w:t>Value of I</w:t>
      </w:r>
      <w:r>
        <w:rPr>
          <w:rFonts w:ascii="Arial" w:eastAsia="宋体" w:hAnsi="Arial" w:cs="Arial"/>
          <w:b/>
          <w:sz w:val="22"/>
        </w:rPr>
        <w:t xml:space="preserve">mports and </w:t>
      </w:r>
      <w:r>
        <w:rPr>
          <w:rFonts w:ascii="Arial" w:eastAsia="宋体" w:hAnsi="Arial" w:cs="Arial" w:hint="eastAsia"/>
          <w:b/>
          <w:sz w:val="22"/>
        </w:rPr>
        <w:t>E</w:t>
      </w:r>
      <w:r>
        <w:rPr>
          <w:rFonts w:ascii="Arial" w:eastAsia="宋体" w:hAnsi="Arial" w:cs="Arial"/>
          <w:b/>
          <w:sz w:val="22"/>
        </w:rPr>
        <w:t xml:space="preserve">xports of </w:t>
      </w:r>
      <w:r>
        <w:rPr>
          <w:rFonts w:ascii="Arial" w:eastAsia="宋体" w:hAnsi="Arial" w:cs="Arial" w:hint="eastAsia"/>
          <w:b/>
          <w:sz w:val="22"/>
        </w:rPr>
        <w:t xml:space="preserve">Goods of </w:t>
      </w:r>
      <w:r>
        <w:rPr>
          <w:rFonts w:ascii="Arial" w:eastAsia="宋体" w:hAnsi="Arial" w:cs="Arial"/>
          <w:b/>
          <w:sz w:val="22"/>
        </w:rPr>
        <w:t xml:space="preserve">Hubei </w:t>
      </w:r>
      <w:r>
        <w:rPr>
          <w:rFonts w:ascii="Arial" w:eastAsia="宋体" w:hAnsi="Arial" w:cs="Arial" w:hint="eastAsia"/>
          <w:b/>
          <w:sz w:val="22"/>
        </w:rPr>
        <w:t>for 2016-2020</w:t>
      </w:r>
    </w:p>
    <w:p w14:paraId="323B7301" w14:textId="77777777" w:rsidR="006D2677" w:rsidRDefault="006D2677" w:rsidP="00D82EE2">
      <w:pPr>
        <w:topLinePunct/>
        <w:spacing w:beforeLines="50" w:before="156" w:afterLines="50" w:after="156"/>
        <w:ind w:firstLine="360"/>
        <w:jc w:val="center"/>
        <w:rPr>
          <w:rFonts w:ascii="Arial" w:eastAsia="宋体" w:hAnsi="Arial"/>
        </w:rPr>
      </w:pPr>
    </w:p>
    <w:p w14:paraId="2DB7AB2E" w14:textId="77777777" w:rsidR="006D2677" w:rsidRPr="00D82EE2" w:rsidRDefault="00A21C00" w:rsidP="00D82EE2">
      <w:pPr>
        <w:topLinePunct/>
        <w:ind w:firstLine="360"/>
        <w:rPr>
          <w:rFonts w:eastAsia="宋体" w:cs="Times New Roman"/>
          <w:szCs w:val="18"/>
        </w:rPr>
      </w:pPr>
      <w:r w:rsidRPr="00D82EE2">
        <w:rPr>
          <w:rFonts w:eastAsia="宋体" w:cs="Times New Roman"/>
          <w:szCs w:val="18"/>
        </w:rPr>
        <w:t>296 foreign direct investment projects were newly approved. The actual use of foreign capital in the whole year was 10.352 billion US dollars, a decrease of 19.8%. Investment in Hubei from some countries in Europe and Asia grew against the trend: investments from Germany, the Netherlands, and Singapore increased by 92.5%, 27.3%, and 16.0%, respectively. The actual use of foreign capital in the high-tech industry (manufacturing industry) for the whole year was US$107 million (data from the Ministry of Commerce), a decrease of 16.9%.</w:t>
      </w:r>
    </w:p>
    <w:p w14:paraId="7A2ED7ED" w14:textId="77777777" w:rsidR="006D2677" w:rsidRPr="00D82EE2" w:rsidRDefault="00A21C00" w:rsidP="00D82EE2">
      <w:pPr>
        <w:topLinePunct/>
        <w:ind w:firstLine="360"/>
        <w:rPr>
          <w:rFonts w:eastAsia="宋体" w:cs="Times New Roman"/>
          <w:szCs w:val="18"/>
        </w:rPr>
      </w:pPr>
      <w:r w:rsidRPr="00D82EE2">
        <w:rPr>
          <w:rFonts w:eastAsia="宋体" w:cs="Times New Roman"/>
          <w:szCs w:val="18"/>
        </w:rPr>
        <w:t>The annual foreign non-financial direct investment amounted to US$2.0 billion, an increase of 2.0%. The turnover of foreign contracted projects was US$6.415 billion, down 3.0%. 12,484 laborers of various types were dispatched for foreign labor service cooperation, an increase of 8.4%.</w:t>
      </w:r>
    </w:p>
    <w:p w14:paraId="721EA597" w14:textId="77777777" w:rsidR="006D2677" w:rsidRPr="00D82EE2" w:rsidRDefault="00A21C00" w:rsidP="00D82EE2">
      <w:pPr>
        <w:topLinePunct/>
        <w:ind w:firstLine="361"/>
        <w:rPr>
          <w:rFonts w:eastAsia="宋体" w:cs="Times New Roman"/>
          <w:b/>
          <w:bCs/>
          <w:szCs w:val="18"/>
        </w:rPr>
      </w:pPr>
      <w:r w:rsidRPr="00D82EE2">
        <w:rPr>
          <w:rFonts w:eastAsia="宋体" w:cs="Times New Roman"/>
          <w:b/>
          <w:bCs/>
          <w:szCs w:val="18"/>
        </w:rPr>
        <w:fldChar w:fldCharType="begin"/>
      </w:r>
      <w:r w:rsidRPr="00D82EE2">
        <w:rPr>
          <w:rFonts w:eastAsia="宋体" w:cs="Times New Roman"/>
          <w:b/>
          <w:bCs/>
          <w:szCs w:val="18"/>
        </w:rPr>
        <w:instrText xml:space="preserve"> = 7 \* ROMAN </w:instrText>
      </w:r>
      <w:r w:rsidRPr="00D82EE2">
        <w:rPr>
          <w:rFonts w:eastAsia="宋体" w:cs="Times New Roman"/>
          <w:b/>
          <w:bCs/>
          <w:szCs w:val="18"/>
        </w:rPr>
        <w:fldChar w:fldCharType="separate"/>
      </w:r>
      <w:r w:rsidRPr="00D82EE2">
        <w:rPr>
          <w:rFonts w:eastAsia="宋体" w:cs="Times New Roman"/>
          <w:b/>
          <w:bCs/>
          <w:szCs w:val="18"/>
        </w:rPr>
        <w:t>VII</w:t>
      </w:r>
      <w:r w:rsidRPr="00D82EE2">
        <w:rPr>
          <w:rFonts w:eastAsia="宋体" w:cs="Times New Roman"/>
          <w:b/>
          <w:bCs/>
          <w:szCs w:val="18"/>
        </w:rPr>
        <w:fldChar w:fldCharType="end"/>
      </w:r>
      <w:r w:rsidRPr="00D82EE2">
        <w:rPr>
          <w:rFonts w:eastAsia="宋体" w:cs="Times New Roman"/>
          <w:b/>
          <w:bCs/>
          <w:szCs w:val="18"/>
        </w:rPr>
        <w:t>. Transport, Post and Telecommunications</w:t>
      </w:r>
    </w:p>
    <w:p w14:paraId="1CC393DC" w14:textId="77777777" w:rsidR="006D2677" w:rsidRPr="00D82EE2" w:rsidRDefault="00A21C00" w:rsidP="00D82EE2">
      <w:pPr>
        <w:topLinePunct/>
        <w:ind w:firstLine="360"/>
        <w:rPr>
          <w:rFonts w:eastAsia="宋体" w:cs="Times New Roman"/>
          <w:szCs w:val="18"/>
        </w:rPr>
      </w:pPr>
      <w:r w:rsidRPr="00D82EE2">
        <w:rPr>
          <w:rFonts w:eastAsia="宋体" w:cs="Times New Roman"/>
          <w:szCs w:val="18"/>
        </w:rPr>
        <w:t>By the end of the year, the total highway mileage of the province reached 289,960.44 kilometers, an increase of 0.3%; the expressway mileage reached 7,229.81 kilometers, an increase of 5.4%. In the whole year, the province’s completed cargo turnover was 529.568 billion ton-kilometers, a decrease of 13.9%; passenger turnover was 61.242 billion person-kilometers, a decrease of 55.8%; the ports’ cargo throughput was 380 million tons, an increase of 23.9%. The ports’ container throughput was 2.29 million TEUs, an increase of 9.8%.</w:t>
      </w:r>
    </w:p>
    <w:p w14:paraId="160C1818" w14:textId="77777777" w:rsidR="006D2677" w:rsidRDefault="00A21C00" w:rsidP="00D82EE2">
      <w:pPr>
        <w:topLinePunct/>
        <w:ind w:firstLine="360"/>
        <w:rPr>
          <w:rFonts w:eastAsia="宋体" w:cs="Times New Roman"/>
          <w:szCs w:val="18"/>
        </w:rPr>
      </w:pPr>
      <w:r w:rsidRPr="00D82EE2">
        <w:rPr>
          <w:rFonts w:eastAsia="宋体" w:cs="Times New Roman"/>
          <w:szCs w:val="18"/>
        </w:rPr>
        <w:t xml:space="preserve">The province’s total postal business volume was 47.177 billion </w:t>
      </w:r>
      <w:proofErr w:type="spellStart"/>
      <w:r w:rsidRPr="00D82EE2">
        <w:rPr>
          <w:rFonts w:eastAsia="宋体" w:cs="Times New Roman"/>
          <w:szCs w:val="18"/>
        </w:rPr>
        <w:t>yuan</w:t>
      </w:r>
      <w:proofErr w:type="spellEnd"/>
      <w:r w:rsidRPr="00D82EE2">
        <w:rPr>
          <w:rFonts w:eastAsia="宋体" w:cs="Times New Roman"/>
          <w:szCs w:val="18"/>
        </w:rPr>
        <w:t xml:space="preserve">, an increase of 2.9%. Among them, the express delivery saw a business volume of 1.785 billion pieces, and a business income of 17.869 billion </w:t>
      </w:r>
      <w:proofErr w:type="spellStart"/>
      <w:r w:rsidRPr="00D82EE2">
        <w:rPr>
          <w:rFonts w:eastAsia="宋体" w:cs="Times New Roman"/>
          <w:szCs w:val="18"/>
        </w:rPr>
        <w:t>yuan</w:t>
      </w:r>
      <w:proofErr w:type="spellEnd"/>
      <w:r w:rsidRPr="00D82EE2">
        <w:rPr>
          <w:rFonts w:eastAsia="宋体" w:cs="Times New Roman"/>
          <w:szCs w:val="18"/>
        </w:rPr>
        <w:t xml:space="preserve">. The total telecommunications business volume of the province was 420.491 billion </w:t>
      </w:r>
      <w:proofErr w:type="spellStart"/>
      <w:r w:rsidRPr="00D82EE2">
        <w:rPr>
          <w:rFonts w:eastAsia="宋体" w:cs="Times New Roman"/>
          <w:szCs w:val="18"/>
        </w:rPr>
        <w:t>yuan</w:t>
      </w:r>
      <w:proofErr w:type="spellEnd"/>
      <w:r w:rsidRPr="00D82EE2">
        <w:rPr>
          <w:rFonts w:eastAsia="宋体" w:cs="Times New Roman"/>
          <w:szCs w:val="18"/>
        </w:rPr>
        <w:t xml:space="preserve">, an increase of 24.9%. The length of the long-distance optical cable line reached 32,100 kilometers; the mobile phone exchange capacity reached 90.435 million; the fixed telephone users reached 4.8161 million; the mobile phone users reached 56.8107 million; the telephone penetration rate in the province was 104.0 units per 100 people, and the mobile phone penetration rate was 95.9 units per 100 people; there were 18.7016 million fixed Internet broadband access users, an increase of 1.6184 million over the previous year; mobile Internet user access traffic reached 5.067 billion GB, an increase of 32.4% </w:t>
      </w:r>
      <w:r w:rsidRPr="00D82EE2">
        <w:rPr>
          <w:rFonts w:eastAsia="宋体" w:cs="Times New Roman"/>
          <w:szCs w:val="18"/>
        </w:rPr>
        <w:lastRenderedPageBreak/>
        <w:t>over the previous year.</w:t>
      </w:r>
    </w:p>
    <w:p w14:paraId="69051AE5" w14:textId="77777777" w:rsidR="006D2677" w:rsidRDefault="00A21C00" w:rsidP="00D82EE2">
      <w:pPr>
        <w:topLinePunct/>
        <w:ind w:firstLineChars="0" w:firstLine="0"/>
        <w:jc w:val="center"/>
      </w:pPr>
      <w:r>
        <w:rPr>
          <w:noProof/>
        </w:rPr>
        <w:drawing>
          <wp:inline distT="0" distB="0" distL="114300" distR="114300" wp14:anchorId="22DCAD39" wp14:editId="06EE30D0">
            <wp:extent cx="5218430" cy="2551430"/>
            <wp:effectExtent l="4445" t="4445" r="15875" b="15875"/>
            <wp:docPr id="41"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3E5BCA7" w14:textId="77777777" w:rsidR="006D2677" w:rsidRDefault="00A21C00" w:rsidP="00D82EE2">
      <w:pPr>
        <w:topLinePunct/>
        <w:spacing w:beforeLines="50" w:before="156" w:afterLines="50" w:after="156"/>
        <w:ind w:firstLine="442"/>
        <w:jc w:val="center"/>
        <w:rPr>
          <w:rFonts w:ascii="Arial" w:eastAsia="宋体" w:hAnsi="Arial"/>
        </w:rPr>
      </w:pPr>
      <w:r>
        <w:rPr>
          <w:rFonts w:ascii="Arial" w:eastAsia="宋体" w:hAnsi="Arial" w:cs="Arial"/>
          <w:b/>
          <w:sz w:val="22"/>
        </w:rPr>
        <w:t xml:space="preserve">Figure 8 </w:t>
      </w:r>
      <w:r>
        <w:rPr>
          <w:rFonts w:ascii="Arial" w:eastAsia="宋体" w:hAnsi="Arial" w:cs="Arial" w:hint="eastAsia"/>
          <w:b/>
          <w:sz w:val="22"/>
        </w:rPr>
        <w:t>B</w:t>
      </w:r>
      <w:r>
        <w:rPr>
          <w:rFonts w:ascii="Arial" w:eastAsia="宋体" w:hAnsi="Arial" w:cs="Arial"/>
          <w:b/>
          <w:sz w:val="22"/>
        </w:rPr>
        <w:t xml:space="preserve">usiness </w:t>
      </w:r>
      <w:r>
        <w:rPr>
          <w:rFonts w:ascii="Arial" w:eastAsia="宋体" w:hAnsi="Arial" w:cs="Arial" w:hint="eastAsia"/>
          <w:b/>
          <w:sz w:val="22"/>
        </w:rPr>
        <w:t>V</w:t>
      </w:r>
      <w:r>
        <w:rPr>
          <w:rFonts w:ascii="Arial" w:eastAsia="宋体" w:hAnsi="Arial" w:cs="Arial"/>
          <w:b/>
          <w:sz w:val="22"/>
        </w:rPr>
        <w:t xml:space="preserve">olume </w:t>
      </w:r>
      <w:r>
        <w:rPr>
          <w:rFonts w:ascii="Arial" w:eastAsia="宋体" w:hAnsi="Arial" w:cs="Arial" w:hint="eastAsia"/>
          <w:b/>
          <w:sz w:val="22"/>
        </w:rPr>
        <w:t xml:space="preserve">of Express Delivery in Hubei </w:t>
      </w:r>
      <w:r>
        <w:rPr>
          <w:rFonts w:ascii="Arial" w:eastAsia="宋体" w:hAnsi="Arial" w:cs="Arial"/>
          <w:b/>
          <w:sz w:val="22"/>
        </w:rPr>
        <w:t xml:space="preserve">and </w:t>
      </w:r>
      <w:r>
        <w:rPr>
          <w:rFonts w:ascii="Arial" w:eastAsia="宋体" w:hAnsi="Arial" w:cs="Arial" w:hint="eastAsia"/>
          <w:b/>
          <w:sz w:val="22"/>
        </w:rPr>
        <w:t>I</w:t>
      </w:r>
      <w:r>
        <w:rPr>
          <w:rFonts w:ascii="Arial" w:eastAsia="宋体" w:hAnsi="Arial" w:cs="Arial"/>
          <w:b/>
          <w:sz w:val="22"/>
        </w:rPr>
        <w:t xml:space="preserve">ts </w:t>
      </w:r>
      <w:r>
        <w:rPr>
          <w:rFonts w:ascii="Arial" w:eastAsia="宋体" w:hAnsi="Arial" w:cs="Arial" w:hint="eastAsia"/>
          <w:b/>
          <w:sz w:val="22"/>
        </w:rPr>
        <w:t>G</w:t>
      </w:r>
      <w:r>
        <w:rPr>
          <w:rFonts w:ascii="Arial" w:eastAsia="宋体" w:hAnsi="Arial" w:cs="Arial"/>
          <w:b/>
          <w:sz w:val="22"/>
        </w:rPr>
        <w:t xml:space="preserve">rowth </w:t>
      </w:r>
      <w:r>
        <w:rPr>
          <w:rFonts w:ascii="Arial" w:eastAsia="宋体" w:hAnsi="Arial" w:cs="Arial" w:hint="eastAsia"/>
          <w:b/>
          <w:sz w:val="22"/>
        </w:rPr>
        <w:t>R</w:t>
      </w:r>
      <w:r>
        <w:rPr>
          <w:rFonts w:ascii="Arial" w:eastAsia="宋体" w:hAnsi="Arial" w:cs="Arial"/>
          <w:b/>
          <w:sz w:val="22"/>
        </w:rPr>
        <w:t>ate f</w:t>
      </w:r>
      <w:r>
        <w:rPr>
          <w:rFonts w:ascii="Arial" w:eastAsia="宋体" w:hAnsi="Arial" w:cs="Arial" w:hint="eastAsia"/>
          <w:b/>
          <w:sz w:val="22"/>
        </w:rPr>
        <w:t xml:space="preserve">or </w:t>
      </w:r>
      <w:r>
        <w:rPr>
          <w:rFonts w:ascii="Arial" w:eastAsia="宋体" w:hAnsi="Arial" w:cs="Arial"/>
          <w:b/>
          <w:sz w:val="22"/>
        </w:rPr>
        <w:t>2016</w:t>
      </w:r>
      <w:r>
        <w:rPr>
          <w:rFonts w:ascii="Arial" w:eastAsia="宋体" w:hAnsi="Arial" w:cs="Arial" w:hint="eastAsia"/>
          <w:b/>
          <w:sz w:val="22"/>
        </w:rPr>
        <w:t>-</w:t>
      </w:r>
      <w:r>
        <w:rPr>
          <w:rFonts w:ascii="Arial" w:eastAsia="宋体" w:hAnsi="Arial" w:cs="Arial"/>
          <w:b/>
          <w:sz w:val="22"/>
        </w:rPr>
        <w:t>2020</w:t>
      </w:r>
    </w:p>
    <w:p w14:paraId="1F831701" w14:textId="77777777" w:rsidR="006D2677" w:rsidRDefault="006D2677" w:rsidP="00D82EE2">
      <w:pPr>
        <w:topLinePunct/>
        <w:spacing w:beforeLines="50" w:before="156" w:afterLines="50" w:after="156"/>
        <w:ind w:firstLine="360"/>
        <w:jc w:val="center"/>
      </w:pPr>
    </w:p>
    <w:p w14:paraId="03164E05" w14:textId="77777777" w:rsidR="006D2677" w:rsidRDefault="00A21C00" w:rsidP="00D82EE2">
      <w:pPr>
        <w:topLinePunct/>
        <w:spacing w:beforeLines="50" w:before="156" w:afterLines="50" w:after="156"/>
        <w:ind w:firstLine="360"/>
        <w:jc w:val="center"/>
      </w:pPr>
      <w:r>
        <w:rPr>
          <w:noProof/>
        </w:rPr>
        <w:drawing>
          <wp:inline distT="0" distB="0" distL="114300" distR="114300" wp14:anchorId="4B34C272" wp14:editId="42147C5C">
            <wp:extent cx="5121910" cy="2416175"/>
            <wp:effectExtent l="0" t="0" r="2540" b="3175"/>
            <wp:docPr id="4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9BBC254" w14:textId="77777777" w:rsidR="006D2677" w:rsidRDefault="00A21C00" w:rsidP="00D82EE2">
      <w:pPr>
        <w:topLinePunct/>
        <w:spacing w:beforeLines="50" w:before="156" w:afterLines="50" w:after="156"/>
        <w:ind w:firstLine="482"/>
        <w:jc w:val="center"/>
        <w:rPr>
          <w:rFonts w:ascii="Arial" w:eastAsia="宋体" w:hAnsi="Arial" w:cs="Arial"/>
          <w:b/>
          <w:sz w:val="24"/>
          <w:szCs w:val="24"/>
        </w:rPr>
      </w:pPr>
      <w:r>
        <w:rPr>
          <w:rFonts w:ascii="Arial" w:eastAsia="宋体" w:hAnsi="Arial" w:cs="Arial"/>
          <w:b/>
          <w:sz w:val="24"/>
          <w:szCs w:val="24"/>
        </w:rPr>
        <w:t xml:space="preserve">Figure 9 </w:t>
      </w:r>
      <w:r>
        <w:rPr>
          <w:rFonts w:ascii="Arial" w:eastAsia="宋体" w:hAnsi="Arial" w:cs="Arial" w:hint="eastAsia"/>
          <w:b/>
          <w:sz w:val="24"/>
          <w:szCs w:val="24"/>
        </w:rPr>
        <w:t>N</w:t>
      </w:r>
      <w:r>
        <w:rPr>
          <w:rFonts w:ascii="Arial" w:eastAsia="宋体" w:hAnsi="Arial" w:cs="Arial"/>
          <w:b/>
          <w:sz w:val="24"/>
          <w:szCs w:val="24"/>
        </w:rPr>
        <w:t xml:space="preserve">umber of </w:t>
      </w:r>
      <w:r>
        <w:rPr>
          <w:rFonts w:ascii="Arial" w:eastAsia="宋体" w:hAnsi="Arial" w:cs="Arial" w:hint="eastAsia"/>
          <w:b/>
          <w:sz w:val="24"/>
          <w:szCs w:val="24"/>
        </w:rPr>
        <w:t>F</w:t>
      </w:r>
      <w:r>
        <w:rPr>
          <w:rFonts w:ascii="Arial" w:eastAsia="宋体" w:hAnsi="Arial" w:cs="Arial"/>
          <w:b/>
          <w:sz w:val="24"/>
          <w:szCs w:val="24"/>
        </w:rPr>
        <w:t xml:space="preserve">ixed Internet </w:t>
      </w:r>
      <w:r>
        <w:rPr>
          <w:rFonts w:ascii="Arial" w:eastAsia="宋体" w:hAnsi="Arial" w:cs="Arial" w:hint="eastAsia"/>
          <w:b/>
          <w:sz w:val="24"/>
          <w:szCs w:val="24"/>
        </w:rPr>
        <w:t>B</w:t>
      </w:r>
      <w:r>
        <w:rPr>
          <w:rFonts w:ascii="Arial" w:eastAsia="宋体" w:hAnsi="Arial" w:cs="Arial"/>
          <w:b/>
          <w:sz w:val="24"/>
          <w:szCs w:val="24"/>
        </w:rPr>
        <w:t xml:space="preserve">roadband </w:t>
      </w:r>
      <w:r>
        <w:rPr>
          <w:rFonts w:ascii="Arial" w:eastAsia="宋体" w:hAnsi="Arial" w:cs="Arial" w:hint="eastAsia"/>
          <w:b/>
          <w:sz w:val="24"/>
          <w:szCs w:val="24"/>
        </w:rPr>
        <w:t>A</w:t>
      </w:r>
      <w:r>
        <w:rPr>
          <w:rFonts w:ascii="Arial" w:eastAsia="宋体" w:hAnsi="Arial" w:cs="Arial"/>
          <w:b/>
          <w:sz w:val="24"/>
          <w:szCs w:val="24"/>
        </w:rPr>
        <w:t xml:space="preserve">ccess </w:t>
      </w:r>
      <w:r>
        <w:rPr>
          <w:rFonts w:ascii="Arial" w:eastAsia="宋体" w:hAnsi="Arial" w:cs="Arial" w:hint="eastAsia"/>
          <w:b/>
          <w:sz w:val="24"/>
          <w:szCs w:val="24"/>
        </w:rPr>
        <w:t>U</w:t>
      </w:r>
      <w:r>
        <w:rPr>
          <w:rFonts w:ascii="Arial" w:eastAsia="宋体" w:hAnsi="Arial" w:cs="Arial"/>
          <w:b/>
          <w:sz w:val="24"/>
          <w:szCs w:val="24"/>
        </w:rPr>
        <w:t xml:space="preserve">sers in Hubei </w:t>
      </w:r>
      <w:r>
        <w:rPr>
          <w:rFonts w:ascii="Arial" w:eastAsia="宋体" w:hAnsi="Arial" w:cs="Arial" w:hint="eastAsia"/>
          <w:b/>
          <w:sz w:val="24"/>
          <w:szCs w:val="24"/>
        </w:rPr>
        <w:t>by</w:t>
      </w:r>
      <w:r>
        <w:rPr>
          <w:rFonts w:ascii="Arial" w:eastAsia="宋体" w:hAnsi="Arial" w:cs="Arial"/>
          <w:b/>
          <w:sz w:val="24"/>
          <w:szCs w:val="24"/>
        </w:rPr>
        <w:t xml:space="preserve"> the </w:t>
      </w:r>
    </w:p>
    <w:p w14:paraId="031ABFF4" w14:textId="77777777" w:rsidR="006D2677" w:rsidRDefault="00A21C00" w:rsidP="00D82EE2">
      <w:pPr>
        <w:topLinePunct/>
        <w:spacing w:beforeLines="50" w:before="156" w:afterLines="50" w:after="156"/>
        <w:ind w:firstLine="482"/>
        <w:jc w:val="center"/>
        <w:rPr>
          <w:rFonts w:ascii="Arial" w:eastAsia="宋体" w:hAnsi="Arial" w:cs="Arial"/>
          <w:b/>
          <w:sz w:val="24"/>
          <w:szCs w:val="24"/>
        </w:rPr>
      </w:pPr>
      <w:r>
        <w:rPr>
          <w:rFonts w:ascii="Arial" w:eastAsia="宋体" w:hAnsi="Arial" w:cs="Arial" w:hint="eastAsia"/>
          <w:b/>
          <w:sz w:val="24"/>
          <w:szCs w:val="24"/>
        </w:rPr>
        <w:t>E</w:t>
      </w:r>
      <w:r>
        <w:rPr>
          <w:rFonts w:ascii="Arial" w:eastAsia="宋体" w:hAnsi="Arial" w:cs="Arial"/>
          <w:b/>
          <w:sz w:val="24"/>
          <w:szCs w:val="24"/>
        </w:rPr>
        <w:t>nd of 2016-2020</w:t>
      </w:r>
    </w:p>
    <w:p w14:paraId="344296EC" w14:textId="77777777" w:rsidR="006D2677" w:rsidRDefault="006D2677" w:rsidP="00D82EE2">
      <w:pPr>
        <w:topLinePunct/>
        <w:spacing w:beforeLines="50" w:before="156" w:afterLines="50" w:after="156"/>
        <w:ind w:firstLine="360"/>
        <w:jc w:val="center"/>
        <w:rPr>
          <w:rFonts w:ascii="Arial" w:eastAsia="宋体" w:hAnsi="Arial"/>
        </w:rPr>
      </w:pPr>
    </w:p>
    <w:p w14:paraId="79A4BB85" w14:textId="77777777" w:rsidR="006D2677" w:rsidRPr="00D82EE2" w:rsidRDefault="00A21C00" w:rsidP="00D82EE2">
      <w:pPr>
        <w:topLinePunct/>
        <w:ind w:firstLine="361"/>
        <w:rPr>
          <w:rFonts w:eastAsia="宋体" w:cs="Times New Roman"/>
          <w:b/>
          <w:bCs/>
          <w:szCs w:val="18"/>
        </w:rPr>
      </w:pPr>
      <w:r w:rsidRPr="00D82EE2">
        <w:rPr>
          <w:rFonts w:eastAsia="宋体" w:cs="Times New Roman"/>
          <w:b/>
          <w:bCs/>
          <w:szCs w:val="18"/>
        </w:rPr>
        <w:fldChar w:fldCharType="begin"/>
      </w:r>
      <w:r w:rsidRPr="00D82EE2">
        <w:rPr>
          <w:rFonts w:eastAsia="宋体" w:cs="Times New Roman"/>
          <w:b/>
          <w:bCs/>
          <w:szCs w:val="18"/>
        </w:rPr>
        <w:instrText xml:space="preserve"> = 8 \* ROMAN </w:instrText>
      </w:r>
      <w:r w:rsidRPr="00D82EE2">
        <w:rPr>
          <w:rFonts w:eastAsia="宋体" w:cs="Times New Roman"/>
          <w:b/>
          <w:bCs/>
          <w:szCs w:val="18"/>
        </w:rPr>
        <w:fldChar w:fldCharType="separate"/>
      </w:r>
      <w:r w:rsidRPr="00D82EE2">
        <w:rPr>
          <w:rFonts w:eastAsia="宋体" w:cs="Times New Roman"/>
          <w:b/>
          <w:bCs/>
          <w:szCs w:val="18"/>
        </w:rPr>
        <w:t>VIII</w:t>
      </w:r>
      <w:r w:rsidRPr="00D82EE2">
        <w:rPr>
          <w:rFonts w:eastAsia="宋体" w:cs="Times New Roman"/>
          <w:b/>
          <w:bCs/>
          <w:szCs w:val="18"/>
        </w:rPr>
        <w:fldChar w:fldCharType="end"/>
      </w:r>
      <w:r w:rsidRPr="00D82EE2">
        <w:rPr>
          <w:rFonts w:eastAsia="宋体" w:cs="Times New Roman"/>
          <w:b/>
          <w:bCs/>
          <w:szCs w:val="18"/>
        </w:rPr>
        <w:t>. Government Revenue &amp; Finance</w:t>
      </w:r>
    </w:p>
    <w:p w14:paraId="3FBADAD2" w14:textId="77777777" w:rsidR="006D2677" w:rsidRPr="00D82EE2" w:rsidRDefault="00A21C00" w:rsidP="00D82EE2">
      <w:pPr>
        <w:topLinePunct/>
        <w:ind w:firstLine="360"/>
        <w:rPr>
          <w:rFonts w:eastAsia="宋体" w:cs="Times New Roman"/>
          <w:szCs w:val="18"/>
        </w:rPr>
      </w:pPr>
      <w:r w:rsidRPr="00D82EE2">
        <w:rPr>
          <w:rFonts w:eastAsia="宋体" w:cs="Times New Roman"/>
          <w:szCs w:val="18"/>
        </w:rPr>
        <w:t xml:space="preserve">In the whole year, the province’s total fiscal revenue was 458.089 billion </w:t>
      </w:r>
      <w:proofErr w:type="spellStart"/>
      <w:r w:rsidRPr="00D82EE2">
        <w:rPr>
          <w:rFonts w:eastAsia="宋体" w:cs="Times New Roman"/>
          <w:szCs w:val="18"/>
        </w:rPr>
        <w:t>yuan</w:t>
      </w:r>
      <w:proofErr w:type="spellEnd"/>
      <w:r w:rsidRPr="00D82EE2">
        <w:rPr>
          <w:rFonts w:eastAsia="宋体" w:cs="Times New Roman"/>
          <w:szCs w:val="18"/>
        </w:rPr>
        <w:t xml:space="preserve">, a decrease of 20.8%. Among them, local general public budget revenue was 251.152 billion </w:t>
      </w:r>
      <w:proofErr w:type="spellStart"/>
      <w:r w:rsidRPr="00D82EE2">
        <w:rPr>
          <w:rFonts w:eastAsia="宋体" w:cs="Times New Roman"/>
          <w:szCs w:val="18"/>
        </w:rPr>
        <w:t>yuan</w:t>
      </w:r>
      <w:proofErr w:type="spellEnd"/>
      <w:r w:rsidRPr="00D82EE2">
        <w:rPr>
          <w:rFonts w:eastAsia="宋体" w:cs="Times New Roman"/>
          <w:szCs w:val="18"/>
        </w:rPr>
        <w:t xml:space="preserve">, a decrease of 25.9%. Among the local general public budget revenue, tax revenue was 192.34 billion </w:t>
      </w:r>
      <w:proofErr w:type="spellStart"/>
      <w:r w:rsidRPr="00D82EE2">
        <w:rPr>
          <w:rFonts w:eastAsia="宋体" w:cs="Times New Roman"/>
          <w:szCs w:val="18"/>
        </w:rPr>
        <w:t>yuan</w:t>
      </w:r>
      <w:proofErr w:type="spellEnd"/>
      <w:r w:rsidRPr="00D82EE2">
        <w:rPr>
          <w:rFonts w:eastAsia="宋体" w:cs="Times New Roman"/>
          <w:szCs w:val="18"/>
        </w:rPr>
        <w:t xml:space="preserve">, a decrease of 24.0%. Local general public budget expenditures were 843.904 billion </w:t>
      </w:r>
      <w:proofErr w:type="spellStart"/>
      <w:r w:rsidRPr="00D82EE2">
        <w:rPr>
          <w:rFonts w:eastAsia="宋体" w:cs="Times New Roman"/>
          <w:szCs w:val="18"/>
        </w:rPr>
        <w:t>yuan</w:t>
      </w:r>
      <w:proofErr w:type="spellEnd"/>
      <w:r w:rsidRPr="00D82EE2">
        <w:rPr>
          <w:rFonts w:eastAsia="宋体" w:cs="Times New Roman"/>
          <w:szCs w:val="18"/>
        </w:rPr>
        <w:t>, an increase of 5.9%.</w:t>
      </w:r>
    </w:p>
    <w:p w14:paraId="7E698DB7" w14:textId="77777777" w:rsidR="006D2677" w:rsidRPr="00D82EE2" w:rsidRDefault="00A21C00" w:rsidP="00D82EE2">
      <w:pPr>
        <w:topLinePunct/>
        <w:ind w:firstLine="360"/>
        <w:rPr>
          <w:rFonts w:eastAsia="宋体" w:cs="Times New Roman"/>
          <w:szCs w:val="18"/>
        </w:rPr>
      </w:pPr>
      <w:r w:rsidRPr="00D82EE2">
        <w:rPr>
          <w:rFonts w:eastAsia="宋体" w:cs="Times New Roman"/>
          <w:szCs w:val="18"/>
        </w:rPr>
        <w:t xml:space="preserve">At the end of the year, RMB and foreign currency deposit balance in financial institutions of Hubei was 6,715.932 billion </w:t>
      </w:r>
      <w:proofErr w:type="spellStart"/>
      <w:r w:rsidRPr="00D82EE2">
        <w:rPr>
          <w:rFonts w:eastAsia="宋体" w:cs="Times New Roman"/>
          <w:szCs w:val="18"/>
        </w:rPr>
        <w:t>yuan</w:t>
      </w:r>
      <w:proofErr w:type="spellEnd"/>
      <w:r w:rsidRPr="00D82EE2">
        <w:rPr>
          <w:rFonts w:eastAsia="宋体" w:cs="Times New Roman"/>
          <w:szCs w:val="18"/>
        </w:rPr>
        <w:t xml:space="preserve">, an increase of 10.9%, or an increase of 662.187 billion </w:t>
      </w:r>
      <w:proofErr w:type="spellStart"/>
      <w:r w:rsidRPr="00D82EE2">
        <w:rPr>
          <w:rFonts w:eastAsia="宋体" w:cs="Times New Roman"/>
          <w:szCs w:val="18"/>
        </w:rPr>
        <w:t>yuan</w:t>
      </w:r>
      <w:proofErr w:type="spellEnd"/>
      <w:r w:rsidRPr="00D82EE2">
        <w:rPr>
          <w:rFonts w:eastAsia="宋体" w:cs="Times New Roman"/>
          <w:szCs w:val="18"/>
        </w:rPr>
        <w:t xml:space="preserve"> over the beginning of the year. Among them, household deposits were 3,414.437 billion </w:t>
      </w:r>
      <w:proofErr w:type="spellStart"/>
      <w:r w:rsidRPr="00D82EE2">
        <w:rPr>
          <w:rFonts w:eastAsia="宋体" w:cs="Times New Roman"/>
          <w:szCs w:val="18"/>
        </w:rPr>
        <w:t>yuan</w:t>
      </w:r>
      <w:proofErr w:type="spellEnd"/>
      <w:r w:rsidRPr="00D82EE2">
        <w:rPr>
          <w:rFonts w:eastAsia="宋体" w:cs="Times New Roman"/>
          <w:szCs w:val="18"/>
        </w:rPr>
        <w:t xml:space="preserve">, an increase of 417.057 billion </w:t>
      </w:r>
      <w:proofErr w:type="spellStart"/>
      <w:r w:rsidRPr="00D82EE2">
        <w:rPr>
          <w:rFonts w:eastAsia="宋体" w:cs="Times New Roman"/>
          <w:szCs w:val="18"/>
        </w:rPr>
        <w:t>yuan</w:t>
      </w:r>
      <w:proofErr w:type="spellEnd"/>
      <w:r w:rsidRPr="00D82EE2">
        <w:rPr>
          <w:rFonts w:eastAsia="宋体" w:cs="Times New Roman"/>
          <w:szCs w:val="18"/>
        </w:rPr>
        <w:t xml:space="preserve">. The balance of various RMB loans of financial institutions was 5,987.213 billion </w:t>
      </w:r>
      <w:proofErr w:type="spellStart"/>
      <w:r w:rsidRPr="00D82EE2">
        <w:rPr>
          <w:rFonts w:eastAsia="宋体" w:cs="Times New Roman"/>
          <w:szCs w:val="18"/>
        </w:rPr>
        <w:t>yuan</w:t>
      </w:r>
      <w:proofErr w:type="spellEnd"/>
      <w:r w:rsidRPr="00D82EE2">
        <w:rPr>
          <w:rFonts w:eastAsia="宋体" w:cs="Times New Roman"/>
          <w:szCs w:val="18"/>
        </w:rPr>
        <w:t xml:space="preserve">, an increase of 14.6%, or an increase of 762.953 billion </w:t>
      </w:r>
      <w:proofErr w:type="spellStart"/>
      <w:r w:rsidRPr="00D82EE2">
        <w:rPr>
          <w:rFonts w:eastAsia="宋体" w:cs="Times New Roman"/>
          <w:szCs w:val="18"/>
        </w:rPr>
        <w:t>yuan</w:t>
      </w:r>
      <w:proofErr w:type="spellEnd"/>
      <w:r w:rsidRPr="00D82EE2">
        <w:rPr>
          <w:rFonts w:eastAsia="宋体" w:cs="Times New Roman"/>
          <w:szCs w:val="18"/>
        </w:rPr>
        <w:t xml:space="preserve"> over the beginning of the year. Among them, loans to household were 1,870.643 billion </w:t>
      </w:r>
      <w:proofErr w:type="spellStart"/>
      <w:r w:rsidRPr="00D82EE2">
        <w:rPr>
          <w:rFonts w:eastAsia="宋体" w:cs="Times New Roman"/>
          <w:szCs w:val="18"/>
        </w:rPr>
        <w:t>yuan</w:t>
      </w:r>
      <w:proofErr w:type="spellEnd"/>
      <w:r w:rsidRPr="00D82EE2">
        <w:rPr>
          <w:rFonts w:eastAsia="宋体" w:cs="Times New Roman"/>
          <w:szCs w:val="18"/>
        </w:rPr>
        <w:t xml:space="preserve">, an increase of 212.143 billion </w:t>
      </w:r>
      <w:proofErr w:type="spellStart"/>
      <w:r w:rsidRPr="00D82EE2">
        <w:rPr>
          <w:rFonts w:eastAsia="宋体" w:cs="Times New Roman"/>
          <w:szCs w:val="18"/>
        </w:rPr>
        <w:t>yuan</w:t>
      </w:r>
      <w:proofErr w:type="spellEnd"/>
      <w:r w:rsidRPr="00D82EE2">
        <w:rPr>
          <w:rFonts w:eastAsia="宋体" w:cs="Times New Roman"/>
          <w:szCs w:val="18"/>
        </w:rPr>
        <w:t xml:space="preserve">; loans to non-financial enterprises and </w:t>
      </w:r>
      <w:r w:rsidRPr="00D82EE2">
        <w:rPr>
          <w:rFonts w:eastAsia="宋体" w:cs="Times New Roman"/>
          <w:szCs w:val="18"/>
        </w:rPr>
        <w:lastRenderedPageBreak/>
        <w:t xml:space="preserve">government agencies and organizations were 4,016.508 billion </w:t>
      </w:r>
      <w:proofErr w:type="spellStart"/>
      <w:r w:rsidRPr="00D82EE2">
        <w:rPr>
          <w:rFonts w:eastAsia="宋体" w:cs="Times New Roman"/>
          <w:szCs w:val="18"/>
        </w:rPr>
        <w:t>yuan</w:t>
      </w:r>
      <w:proofErr w:type="spellEnd"/>
      <w:r w:rsidRPr="00D82EE2">
        <w:rPr>
          <w:rFonts w:eastAsia="宋体" w:cs="Times New Roman"/>
          <w:szCs w:val="18"/>
        </w:rPr>
        <w:t xml:space="preserve">, an increase of 561.334 billion </w:t>
      </w:r>
      <w:proofErr w:type="spellStart"/>
      <w:r w:rsidRPr="00D82EE2">
        <w:rPr>
          <w:rFonts w:eastAsia="宋体" w:cs="Times New Roman"/>
          <w:szCs w:val="18"/>
        </w:rPr>
        <w:t>yuan</w:t>
      </w:r>
      <w:proofErr w:type="spellEnd"/>
      <w:r w:rsidRPr="00D82EE2">
        <w:rPr>
          <w:rFonts w:eastAsia="宋体" w:cs="Times New Roman"/>
          <w:szCs w:val="18"/>
        </w:rPr>
        <w:t>.</w:t>
      </w:r>
    </w:p>
    <w:p w14:paraId="326EA71C" w14:textId="77777777" w:rsidR="006D2677" w:rsidRPr="00D82EE2" w:rsidRDefault="00A21C00" w:rsidP="00D82EE2">
      <w:pPr>
        <w:topLinePunct/>
        <w:ind w:firstLine="360"/>
        <w:rPr>
          <w:rFonts w:eastAsia="宋体" w:cs="Times New Roman"/>
          <w:szCs w:val="18"/>
        </w:rPr>
      </w:pPr>
      <w:r w:rsidRPr="00D82EE2">
        <w:rPr>
          <w:rFonts w:eastAsia="宋体" w:cs="Times New Roman"/>
          <w:szCs w:val="18"/>
        </w:rPr>
        <w:t xml:space="preserve">The annual premium income was 185.438 billion </w:t>
      </w:r>
      <w:proofErr w:type="spellStart"/>
      <w:r w:rsidRPr="00D82EE2">
        <w:rPr>
          <w:rFonts w:eastAsia="宋体" w:cs="Times New Roman"/>
          <w:szCs w:val="18"/>
        </w:rPr>
        <w:t>yuan</w:t>
      </w:r>
      <w:proofErr w:type="spellEnd"/>
      <w:r w:rsidRPr="00D82EE2">
        <w:rPr>
          <w:rFonts w:eastAsia="宋体" w:cs="Times New Roman"/>
          <w:szCs w:val="18"/>
        </w:rPr>
        <w:t xml:space="preserve">, an increase of 7.3%. Among them, property insurance premium income was 37.025 billion </w:t>
      </w:r>
      <w:proofErr w:type="spellStart"/>
      <w:r w:rsidRPr="00D82EE2">
        <w:rPr>
          <w:rFonts w:eastAsia="宋体" w:cs="Times New Roman"/>
          <w:szCs w:val="18"/>
        </w:rPr>
        <w:t>yuan</w:t>
      </w:r>
      <w:proofErr w:type="spellEnd"/>
      <w:r w:rsidRPr="00D82EE2">
        <w:rPr>
          <w:rFonts w:eastAsia="宋体" w:cs="Times New Roman"/>
          <w:szCs w:val="18"/>
        </w:rPr>
        <w:t xml:space="preserve">, a decrease of 6.9%; personal insurance premium income was 148.414 billion </w:t>
      </w:r>
      <w:proofErr w:type="spellStart"/>
      <w:r w:rsidRPr="00D82EE2">
        <w:rPr>
          <w:rFonts w:eastAsia="宋体" w:cs="Times New Roman"/>
          <w:szCs w:val="18"/>
        </w:rPr>
        <w:t>yuan</w:t>
      </w:r>
      <w:proofErr w:type="spellEnd"/>
      <w:r w:rsidRPr="00D82EE2">
        <w:rPr>
          <w:rFonts w:eastAsia="宋体" w:cs="Times New Roman"/>
          <w:szCs w:val="18"/>
        </w:rPr>
        <w:t xml:space="preserve">, an increase of 11.5%. Payment of various compensations and benefits was 51.815 billion </w:t>
      </w:r>
      <w:proofErr w:type="spellStart"/>
      <w:r w:rsidRPr="00D82EE2">
        <w:rPr>
          <w:rFonts w:eastAsia="宋体" w:cs="Times New Roman"/>
          <w:szCs w:val="18"/>
        </w:rPr>
        <w:t>yuan</w:t>
      </w:r>
      <w:proofErr w:type="spellEnd"/>
      <w:r w:rsidRPr="00D82EE2">
        <w:rPr>
          <w:rFonts w:eastAsia="宋体" w:cs="Times New Roman"/>
          <w:szCs w:val="18"/>
        </w:rPr>
        <w:t xml:space="preserve">, an increase of 1.2%. Among them, property insurance compensation expenditures were 21.815 billion </w:t>
      </w:r>
      <w:proofErr w:type="spellStart"/>
      <w:r w:rsidRPr="00D82EE2">
        <w:rPr>
          <w:rFonts w:eastAsia="宋体" w:cs="Times New Roman"/>
          <w:szCs w:val="18"/>
        </w:rPr>
        <w:t>yuan</w:t>
      </w:r>
      <w:proofErr w:type="spellEnd"/>
      <w:r w:rsidRPr="00D82EE2">
        <w:rPr>
          <w:rFonts w:eastAsia="宋体" w:cs="Times New Roman"/>
          <w:szCs w:val="18"/>
        </w:rPr>
        <w:t xml:space="preserve">, an increase of 3.7%; personal insurance compensation expenditures were 30.001 billion </w:t>
      </w:r>
      <w:proofErr w:type="spellStart"/>
      <w:r w:rsidRPr="00D82EE2">
        <w:rPr>
          <w:rFonts w:eastAsia="宋体" w:cs="Times New Roman"/>
          <w:szCs w:val="18"/>
        </w:rPr>
        <w:t>yuan</w:t>
      </w:r>
      <w:proofErr w:type="spellEnd"/>
      <w:r w:rsidRPr="00D82EE2">
        <w:rPr>
          <w:rFonts w:eastAsia="宋体" w:cs="Times New Roman"/>
          <w:szCs w:val="18"/>
        </w:rPr>
        <w:t>, a decrease of 0.6%.</w:t>
      </w:r>
    </w:p>
    <w:p w14:paraId="5A0D99F0" w14:textId="77777777" w:rsidR="006D2677" w:rsidRPr="00D82EE2" w:rsidRDefault="00A21C00" w:rsidP="00D82EE2">
      <w:pPr>
        <w:topLinePunct/>
        <w:ind w:firstLine="361"/>
        <w:rPr>
          <w:rFonts w:eastAsia="宋体" w:cs="Times New Roman"/>
          <w:b/>
          <w:bCs/>
          <w:szCs w:val="18"/>
        </w:rPr>
      </w:pPr>
      <w:r w:rsidRPr="00D82EE2">
        <w:rPr>
          <w:rFonts w:eastAsia="宋体" w:cs="Times New Roman"/>
          <w:b/>
          <w:bCs/>
          <w:szCs w:val="18"/>
        </w:rPr>
        <w:fldChar w:fldCharType="begin"/>
      </w:r>
      <w:r w:rsidRPr="00D82EE2">
        <w:rPr>
          <w:rFonts w:eastAsia="宋体" w:cs="Times New Roman"/>
          <w:b/>
          <w:bCs/>
          <w:szCs w:val="18"/>
        </w:rPr>
        <w:instrText xml:space="preserve"> = 9 \* ROMAN </w:instrText>
      </w:r>
      <w:r w:rsidRPr="00D82EE2">
        <w:rPr>
          <w:rFonts w:eastAsia="宋体" w:cs="Times New Roman"/>
          <w:b/>
          <w:bCs/>
          <w:szCs w:val="18"/>
        </w:rPr>
        <w:fldChar w:fldCharType="separate"/>
      </w:r>
      <w:r w:rsidRPr="00D82EE2">
        <w:rPr>
          <w:rFonts w:eastAsia="宋体" w:cs="Times New Roman"/>
          <w:b/>
          <w:bCs/>
          <w:szCs w:val="18"/>
        </w:rPr>
        <w:t>IX</w:t>
      </w:r>
      <w:r w:rsidRPr="00D82EE2">
        <w:rPr>
          <w:rFonts w:eastAsia="宋体" w:cs="Times New Roman"/>
          <w:b/>
          <w:bCs/>
          <w:szCs w:val="18"/>
        </w:rPr>
        <w:fldChar w:fldCharType="end"/>
      </w:r>
      <w:r w:rsidRPr="00D82EE2">
        <w:rPr>
          <w:rFonts w:eastAsia="宋体" w:cs="Times New Roman"/>
          <w:b/>
          <w:bCs/>
          <w:szCs w:val="18"/>
        </w:rPr>
        <w:t>. Education, Science and Technology</w:t>
      </w:r>
    </w:p>
    <w:p w14:paraId="56D771F0" w14:textId="77777777" w:rsidR="006D2677" w:rsidRPr="00D82EE2" w:rsidRDefault="00A21C00" w:rsidP="00D82EE2">
      <w:pPr>
        <w:topLinePunct/>
        <w:ind w:firstLine="360"/>
        <w:rPr>
          <w:rFonts w:eastAsia="宋体" w:cs="Times New Roman"/>
          <w:szCs w:val="18"/>
        </w:rPr>
      </w:pPr>
      <w:r w:rsidRPr="00D82EE2">
        <w:rPr>
          <w:rFonts w:eastAsia="宋体" w:cs="Times New Roman"/>
          <w:szCs w:val="18"/>
        </w:rPr>
        <w:t xml:space="preserve">In 2020, the province saw the enrollment of 514,000 students into post-secondary education, totaling 1.6169 million students and 401,800 graduates. Graduate colleges admitted 66,600 students, totaling 178,800 graduate students and 45,300 graduates. Specialized secondary schools of various kinds enrolled 152,300 students, totaling 420,300 students and 117,800 graduates. Senior high schools enrolled 313,200 students, with 891,900 students and 274,100 graduates. 1.7083 million </w:t>
      </w:r>
      <w:proofErr w:type="gramStart"/>
      <w:r w:rsidRPr="00D82EE2">
        <w:rPr>
          <w:rFonts w:eastAsia="宋体" w:cs="Times New Roman"/>
          <w:szCs w:val="18"/>
        </w:rPr>
        <w:t>students</w:t>
      </w:r>
      <w:proofErr w:type="gramEnd"/>
      <w:r w:rsidRPr="00D82EE2">
        <w:rPr>
          <w:rFonts w:eastAsia="宋体" w:cs="Times New Roman"/>
          <w:szCs w:val="18"/>
        </w:rPr>
        <w:t xml:space="preserve"> studied in junior high schools, 3.8085 million students in primary schools and 1.7843 million children in kindergartens.</w:t>
      </w:r>
    </w:p>
    <w:p w14:paraId="223AF7A7" w14:textId="77777777" w:rsidR="006D2677" w:rsidRPr="00D82EE2" w:rsidRDefault="00A21C00" w:rsidP="00D82EE2">
      <w:pPr>
        <w:topLinePunct/>
        <w:ind w:firstLine="360"/>
        <w:rPr>
          <w:rFonts w:eastAsia="宋体" w:cs="Times New Roman"/>
          <w:szCs w:val="18"/>
        </w:rPr>
      </w:pPr>
      <w:r w:rsidRPr="00D82EE2">
        <w:rPr>
          <w:rFonts w:eastAsia="宋体" w:cs="Times New Roman"/>
          <w:szCs w:val="18"/>
        </w:rPr>
        <w:t xml:space="preserve">New achievements were made in scientific research and technological development. A total of 1,553 major scientific and technological achievements were registered, including 54 basic theories, 1,447 applied technologies and 52 results in soft science. A total of 39,749 </w:t>
      </w:r>
      <w:bookmarkStart w:id="5" w:name="OLE_LINK6"/>
      <w:bookmarkStart w:id="6" w:name="OLE_LINK5"/>
      <w:r w:rsidRPr="00D82EE2">
        <w:rPr>
          <w:rFonts w:eastAsia="宋体" w:cs="Times New Roman"/>
          <w:szCs w:val="18"/>
        </w:rPr>
        <w:t xml:space="preserve">technology contracts </w:t>
      </w:r>
      <w:bookmarkEnd w:id="5"/>
      <w:bookmarkEnd w:id="6"/>
      <w:r w:rsidRPr="00D82EE2">
        <w:rPr>
          <w:rFonts w:eastAsia="宋体" w:cs="Times New Roman"/>
          <w:szCs w:val="18"/>
        </w:rPr>
        <w:t xml:space="preserve">were signed, involving 168.695 billion </w:t>
      </w:r>
      <w:proofErr w:type="spellStart"/>
      <w:r w:rsidRPr="00D82EE2">
        <w:rPr>
          <w:rFonts w:eastAsia="宋体" w:cs="Times New Roman"/>
          <w:szCs w:val="18"/>
        </w:rPr>
        <w:t>yuan</w:t>
      </w:r>
      <w:proofErr w:type="spellEnd"/>
      <w:r w:rsidRPr="00D82EE2">
        <w:rPr>
          <w:rFonts w:eastAsia="宋体" w:cs="Times New Roman"/>
          <w:szCs w:val="18"/>
        </w:rPr>
        <w:t>, an increase of 16.4% over the previous year.</w:t>
      </w:r>
    </w:p>
    <w:p w14:paraId="4B3B97FC" w14:textId="77777777" w:rsidR="006D2677" w:rsidRPr="00D82EE2" w:rsidRDefault="00A21C00" w:rsidP="00D82EE2">
      <w:pPr>
        <w:topLinePunct/>
        <w:ind w:firstLine="360"/>
        <w:rPr>
          <w:rFonts w:eastAsia="宋体" w:cs="Times New Roman"/>
          <w:szCs w:val="18"/>
        </w:rPr>
      </w:pPr>
      <w:r w:rsidRPr="00D82EE2">
        <w:rPr>
          <w:rFonts w:eastAsia="宋体" w:cs="Times New Roman"/>
          <w:szCs w:val="18"/>
        </w:rPr>
        <w:t>By the year-end of 2020, the province has established 246 provincial-level engineering research centers (engineering laboratories) and 589 provincial-level enterprise technology centers.</w:t>
      </w:r>
    </w:p>
    <w:p w14:paraId="484281FA" w14:textId="77777777" w:rsidR="006D2677" w:rsidRPr="00D82EE2" w:rsidRDefault="00A21C00" w:rsidP="00D82EE2">
      <w:pPr>
        <w:topLinePunct/>
        <w:ind w:firstLine="360"/>
        <w:rPr>
          <w:rFonts w:eastAsia="宋体" w:cs="Times New Roman"/>
          <w:szCs w:val="18"/>
        </w:rPr>
      </w:pPr>
      <w:r w:rsidRPr="00D82EE2">
        <w:rPr>
          <w:rFonts w:eastAsia="宋体" w:cs="Times New Roman"/>
          <w:szCs w:val="18"/>
        </w:rPr>
        <w:t>The province boasts 33 national-level inspection and testing centers; a total of 15,376 companies have passed ISO9000 system certification; 10,288 compulsory certification certificates have been obtained. There were 107 statutory measurement technology institutions, and 1.5154 million sets of compulsory inspection and measurement instruments.</w:t>
      </w:r>
    </w:p>
    <w:p w14:paraId="3A812F15" w14:textId="77777777" w:rsidR="006D2677" w:rsidRPr="00D82EE2" w:rsidRDefault="00A21C00" w:rsidP="00D82EE2">
      <w:pPr>
        <w:topLinePunct/>
        <w:ind w:firstLine="360"/>
        <w:rPr>
          <w:rFonts w:eastAsia="宋体" w:cs="Times New Roman"/>
          <w:szCs w:val="18"/>
        </w:rPr>
      </w:pPr>
      <w:r w:rsidRPr="00D82EE2">
        <w:rPr>
          <w:rFonts w:eastAsia="宋体" w:cs="Times New Roman"/>
          <w:szCs w:val="18"/>
        </w:rPr>
        <w:t>The province has 16 weather radar observation sites, 18 satellite cloud image receiving sites, 3 seismic telemetry stations and 52 seismic stations.</w:t>
      </w:r>
    </w:p>
    <w:p w14:paraId="08F81B9D" w14:textId="77777777" w:rsidR="006D2677" w:rsidRPr="00D82EE2" w:rsidRDefault="00A21C00" w:rsidP="00D82EE2">
      <w:pPr>
        <w:topLinePunct/>
        <w:ind w:firstLine="361"/>
        <w:rPr>
          <w:rFonts w:eastAsia="宋体" w:cs="Times New Roman"/>
          <w:b/>
          <w:bCs/>
          <w:szCs w:val="18"/>
        </w:rPr>
      </w:pPr>
      <w:r w:rsidRPr="00D82EE2">
        <w:rPr>
          <w:rFonts w:eastAsia="宋体" w:cs="Times New Roman"/>
          <w:b/>
          <w:bCs/>
          <w:szCs w:val="18"/>
        </w:rPr>
        <w:fldChar w:fldCharType="begin"/>
      </w:r>
      <w:r w:rsidRPr="00D82EE2">
        <w:rPr>
          <w:rFonts w:eastAsia="宋体" w:cs="Times New Roman"/>
          <w:b/>
          <w:bCs/>
          <w:szCs w:val="18"/>
        </w:rPr>
        <w:instrText xml:space="preserve"> = 10 \* ROMAN </w:instrText>
      </w:r>
      <w:r w:rsidRPr="00D82EE2">
        <w:rPr>
          <w:rFonts w:eastAsia="宋体" w:cs="Times New Roman"/>
          <w:b/>
          <w:bCs/>
          <w:szCs w:val="18"/>
        </w:rPr>
        <w:fldChar w:fldCharType="separate"/>
      </w:r>
      <w:r w:rsidRPr="00D82EE2">
        <w:rPr>
          <w:rFonts w:eastAsia="宋体" w:cs="Times New Roman"/>
          <w:b/>
          <w:bCs/>
          <w:szCs w:val="18"/>
        </w:rPr>
        <w:t>X</w:t>
      </w:r>
      <w:r w:rsidRPr="00D82EE2">
        <w:rPr>
          <w:rFonts w:eastAsia="宋体" w:cs="Times New Roman"/>
          <w:b/>
          <w:bCs/>
          <w:szCs w:val="18"/>
        </w:rPr>
        <w:fldChar w:fldCharType="end"/>
      </w:r>
      <w:r w:rsidRPr="00D82EE2">
        <w:rPr>
          <w:rFonts w:eastAsia="宋体" w:cs="Times New Roman"/>
          <w:b/>
          <w:bCs/>
          <w:szCs w:val="18"/>
        </w:rPr>
        <w:t>. Culture, Tourism, Public Health and Sports</w:t>
      </w:r>
    </w:p>
    <w:p w14:paraId="3148077D" w14:textId="77777777" w:rsidR="006D2677" w:rsidRPr="00D82EE2" w:rsidRDefault="00A21C00" w:rsidP="00D82EE2">
      <w:pPr>
        <w:topLinePunct/>
        <w:ind w:firstLine="360"/>
        <w:rPr>
          <w:rFonts w:eastAsia="宋体" w:cs="Times New Roman"/>
          <w:szCs w:val="18"/>
        </w:rPr>
      </w:pPr>
      <w:r w:rsidRPr="00D82EE2">
        <w:rPr>
          <w:rFonts w:eastAsia="宋体" w:cs="Times New Roman"/>
          <w:szCs w:val="18"/>
        </w:rPr>
        <w:t xml:space="preserve">By the end of 2020, the province had 87 state-owned </w:t>
      </w:r>
      <w:bookmarkStart w:id="7" w:name="OLE_LINK8"/>
      <w:bookmarkStart w:id="8" w:name="OLE_LINK7"/>
      <w:r w:rsidRPr="00D82EE2">
        <w:rPr>
          <w:rFonts w:eastAsia="宋体" w:cs="Times New Roman"/>
          <w:szCs w:val="18"/>
        </w:rPr>
        <w:t>art troupes</w:t>
      </w:r>
      <w:bookmarkEnd w:id="7"/>
      <w:bookmarkEnd w:id="8"/>
      <w:r w:rsidRPr="00D82EE2">
        <w:rPr>
          <w:rFonts w:eastAsia="宋体" w:cs="Times New Roman"/>
          <w:szCs w:val="18"/>
        </w:rPr>
        <w:t xml:space="preserve">, 125 mass art and cultural centers, 115 public libraries and 230 museums. There were 103 film projection management organizations and 1,797 projection units, 1 radio station, 1 television station, 82 radio and television stations, and 12.03 million cable TV subscribers. The comprehensive population coverage rate of radio programs was 99.86%, and the comprehensive population coverage rate of television programs was 99.82%. In the whole year, 570 million copies of national and provincial newspapers, 70 million copies of various periodicals, and 280 million copies of books were published. The annual operating income of cultural and related industrial enterprises above designated size was 393.07 billion </w:t>
      </w:r>
      <w:proofErr w:type="spellStart"/>
      <w:r w:rsidRPr="00D82EE2">
        <w:rPr>
          <w:rFonts w:eastAsia="宋体" w:cs="Times New Roman"/>
          <w:szCs w:val="18"/>
        </w:rPr>
        <w:t>yuan</w:t>
      </w:r>
      <w:proofErr w:type="spellEnd"/>
      <w:r w:rsidRPr="00D82EE2">
        <w:rPr>
          <w:rFonts w:eastAsia="宋体" w:cs="Times New Roman"/>
          <w:szCs w:val="18"/>
        </w:rPr>
        <w:t>, down 1.2%.</w:t>
      </w:r>
    </w:p>
    <w:p w14:paraId="33541BC1" w14:textId="77777777" w:rsidR="006D2677" w:rsidRPr="00D82EE2" w:rsidRDefault="00A21C00" w:rsidP="00D82EE2">
      <w:pPr>
        <w:topLinePunct/>
        <w:ind w:firstLine="360"/>
        <w:rPr>
          <w:rFonts w:eastAsia="宋体" w:cs="Times New Roman"/>
          <w:szCs w:val="18"/>
        </w:rPr>
      </w:pPr>
      <w:r w:rsidRPr="00D82EE2">
        <w:rPr>
          <w:rFonts w:eastAsia="宋体" w:cs="Times New Roman"/>
          <w:szCs w:val="18"/>
        </w:rPr>
        <w:t xml:space="preserve">In the whole year, a total of 437.2964 million tourists (person-times) were received, a decrease of 27.8%, and the total tourism revenue was 437.949 billion </w:t>
      </w:r>
      <w:proofErr w:type="spellStart"/>
      <w:r w:rsidRPr="00D82EE2">
        <w:rPr>
          <w:rFonts w:eastAsia="宋体" w:cs="Times New Roman"/>
          <w:szCs w:val="18"/>
        </w:rPr>
        <w:t>yuan</w:t>
      </w:r>
      <w:proofErr w:type="spellEnd"/>
      <w:r w:rsidRPr="00D82EE2">
        <w:rPr>
          <w:rFonts w:eastAsia="宋体" w:cs="Times New Roman"/>
          <w:szCs w:val="18"/>
        </w:rPr>
        <w:t>, a decrease of 36.8%.</w:t>
      </w:r>
    </w:p>
    <w:p w14:paraId="3CB990AF" w14:textId="77777777" w:rsidR="006D2677" w:rsidRPr="00D82EE2" w:rsidRDefault="00A21C00" w:rsidP="00D82EE2">
      <w:pPr>
        <w:topLinePunct/>
        <w:ind w:firstLine="360"/>
        <w:rPr>
          <w:rFonts w:eastAsia="宋体" w:cs="Times New Roman"/>
          <w:szCs w:val="18"/>
        </w:rPr>
      </w:pPr>
      <w:r w:rsidRPr="00D82EE2">
        <w:rPr>
          <w:rFonts w:eastAsia="宋体" w:cs="Times New Roman"/>
          <w:szCs w:val="18"/>
        </w:rPr>
        <w:t>There were 35,447 medical and health institutions in the province, including 1,048 hospitals, 33,853 primary medical and health institutions, and 479 professional public health institutions. There were 538,100 health and family planning personnel in the province, including 159,700 practicing (assistant) physicians and 200,100 registered nurses; the province had a total of 411,800 beds in medical and health institutions, including 296,500 beds in hospitals, 16,300 beds in community health service institutions, and 81,600 beds in health centers. In the whole year, the total number of consultations and treatments was 294.5734 million, and the number of discharged patients was 10.2745 million.</w:t>
      </w:r>
    </w:p>
    <w:p w14:paraId="35F04DAF" w14:textId="77777777" w:rsidR="006D2677" w:rsidRPr="00D82EE2" w:rsidRDefault="00A21C00" w:rsidP="00D82EE2">
      <w:pPr>
        <w:topLinePunct/>
        <w:ind w:firstLine="360"/>
        <w:rPr>
          <w:rFonts w:eastAsia="宋体" w:cs="Times New Roman"/>
          <w:szCs w:val="18"/>
        </w:rPr>
      </w:pPr>
      <w:r w:rsidRPr="00D82EE2">
        <w:rPr>
          <w:rFonts w:eastAsia="宋体" w:cs="Times New Roman"/>
          <w:szCs w:val="18"/>
        </w:rPr>
        <w:t xml:space="preserve">Throughout the year, the province’s athletes won 18 championships, 7 runners-up events, and 7 second runner-up events in international competitions; 19 championships, 18 runner-up events and 17 second runner-up events in the highest level of Olympic events; 124 championships, 92 runner-up events, and 88 second runner-up events in domestic competitions; and 19 championships, 18 runners-up events, and 17 second runner-up events in the National Games. The annual sports lottery sales totaled 8.28 billion </w:t>
      </w:r>
      <w:proofErr w:type="spellStart"/>
      <w:r w:rsidRPr="00D82EE2">
        <w:rPr>
          <w:rFonts w:eastAsia="宋体" w:cs="Times New Roman"/>
          <w:szCs w:val="18"/>
        </w:rPr>
        <w:t>yuan</w:t>
      </w:r>
      <w:proofErr w:type="spellEnd"/>
      <w:r w:rsidRPr="00D82EE2">
        <w:rPr>
          <w:rFonts w:eastAsia="宋体" w:cs="Times New Roman"/>
          <w:szCs w:val="18"/>
        </w:rPr>
        <w:t>.</w:t>
      </w:r>
    </w:p>
    <w:p w14:paraId="5EE110AF" w14:textId="77777777" w:rsidR="006D2677" w:rsidRPr="00D82EE2" w:rsidRDefault="00A21C00" w:rsidP="00D82EE2">
      <w:pPr>
        <w:topLinePunct/>
        <w:ind w:firstLine="361"/>
        <w:rPr>
          <w:rFonts w:eastAsia="宋体" w:cs="Times New Roman"/>
          <w:b/>
          <w:bCs/>
          <w:szCs w:val="18"/>
        </w:rPr>
      </w:pPr>
      <w:r w:rsidRPr="00D82EE2">
        <w:rPr>
          <w:rFonts w:eastAsia="宋体" w:cs="Times New Roman"/>
          <w:b/>
          <w:bCs/>
          <w:szCs w:val="18"/>
        </w:rPr>
        <w:fldChar w:fldCharType="begin"/>
      </w:r>
      <w:r w:rsidRPr="00D82EE2">
        <w:rPr>
          <w:rFonts w:eastAsia="宋体" w:cs="Times New Roman"/>
          <w:b/>
          <w:bCs/>
          <w:szCs w:val="18"/>
        </w:rPr>
        <w:instrText xml:space="preserve"> = 11 \* ROMAN </w:instrText>
      </w:r>
      <w:r w:rsidRPr="00D82EE2">
        <w:rPr>
          <w:rFonts w:eastAsia="宋体" w:cs="Times New Roman"/>
          <w:b/>
          <w:bCs/>
          <w:szCs w:val="18"/>
        </w:rPr>
        <w:fldChar w:fldCharType="separate"/>
      </w:r>
      <w:r w:rsidRPr="00D82EE2">
        <w:rPr>
          <w:rFonts w:eastAsia="宋体" w:cs="Times New Roman"/>
          <w:b/>
          <w:bCs/>
          <w:szCs w:val="18"/>
        </w:rPr>
        <w:t>XI</w:t>
      </w:r>
      <w:r w:rsidRPr="00D82EE2">
        <w:rPr>
          <w:rFonts w:eastAsia="宋体" w:cs="Times New Roman"/>
          <w:b/>
          <w:bCs/>
          <w:szCs w:val="18"/>
        </w:rPr>
        <w:fldChar w:fldCharType="end"/>
      </w:r>
      <w:r w:rsidRPr="00D82EE2">
        <w:rPr>
          <w:rFonts w:eastAsia="宋体" w:cs="Times New Roman"/>
          <w:b/>
          <w:bCs/>
          <w:szCs w:val="18"/>
        </w:rPr>
        <w:t>. Residents’ Livelihood and Social Security</w:t>
      </w:r>
    </w:p>
    <w:p w14:paraId="7B49E8CE" w14:textId="77777777" w:rsidR="006D2677" w:rsidRPr="00D82EE2" w:rsidRDefault="00A21C00" w:rsidP="00D82EE2">
      <w:pPr>
        <w:topLinePunct/>
        <w:ind w:firstLine="360"/>
        <w:rPr>
          <w:rFonts w:eastAsia="宋体" w:cs="Times New Roman"/>
          <w:szCs w:val="18"/>
        </w:rPr>
      </w:pPr>
      <w:r w:rsidRPr="00D82EE2">
        <w:rPr>
          <w:rFonts w:eastAsia="宋体" w:cs="Times New Roman"/>
          <w:szCs w:val="18"/>
        </w:rPr>
        <w:t xml:space="preserve">The per capita disposable income of urban residents in the province was 36,706 </w:t>
      </w:r>
      <w:proofErr w:type="spellStart"/>
      <w:r w:rsidRPr="00D82EE2">
        <w:rPr>
          <w:rFonts w:eastAsia="宋体" w:cs="Times New Roman"/>
          <w:szCs w:val="18"/>
        </w:rPr>
        <w:t>yuan</w:t>
      </w:r>
      <w:proofErr w:type="spellEnd"/>
      <w:r w:rsidRPr="00D82EE2">
        <w:rPr>
          <w:rFonts w:eastAsia="宋体" w:cs="Times New Roman"/>
          <w:szCs w:val="18"/>
        </w:rPr>
        <w:t xml:space="preserve">, a decrease of 2.4%; the per capita disposable income of rural residents was 16,306 </w:t>
      </w:r>
      <w:proofErr w:type="spellStart"/>
      <w:r w:rsidRPr="00D82EE2">
        <w:rPr>
          <w:rFonts w:eastAsia="宋体" w:cs="Times New Roman"/>
          <w:szCs w:val="18"/>
        </w:rPr>
        <w:t>yuan</w:t>
      </w:r>
      <w:proofErr w:type="spellEnd"/>
      <w:r w:rsidRPr="00D82EE2">
        <w:rPr>
          <w:rFonts w:eastAsia="宋体" w:cs="Times New Roman"/>
          <w:szCs w:val="18"/>
        </w:rPr>
        <w:t xml:space="preserve">, a decrease of 0.5%. The per capita consumption expenditure of urban residents </w:t>
      </w:r>
      <w:r w:rsidRPr="00D82EE2">
        <w:rPr>
          <w:rFonts w:eastAsia="宋体" w:cs="Times New Roman"/>
          <w:szCs w:val="18"/>
        </w:rPr>
        <w:lastRenderedPageBreak/>
        <w:t xml:space="preserve">was 22,885 </w:t>
      </w:r>
      <w:proofErr w:type="spellStart"/>
      <w:r w:rsidRPr="00D82EE2">
        <w:rPr>
          <w:rFonts w:eastAsia="宋体" w:cs="Times New Roman"/>
          <w:szCs w:val="18"/>
        </w:rPr>
        <w:t>yuan</w:t>
      </w:r>
      <w:proofErr w:type="spellEnd"/>
      <w:r w:rsidRPr="00D82EE2">
        <w:rPr>
          <w:rFonts w:eastAsia="宋体" w:cs="Times New Roman"/>
          <w:szCs w:val="18"/>
        </w:rPr>
        <w:t xml:space="preserve">, a decrease of 13.4%; the per capita consumption expenditure of rural residents was 14,473 </w:t>
      </w:r>
      <w:proofErr w:type="spellStart"/>
      <w:r w:rsidRPr="00D82EE2">
        <w:rPr>
          <w:rFonts w:eastAsia="宋体" w:cs="Times New Roman"/>
          <w:szCs w:val="18"/>
        </w:rPr>
        <w:t>yuan</w:t>
      </w:r>
      <w:proofErr w:type="spellEnd"/>
      <w:r w:rsidRPr="00D82EE2">
        <w:rPr>
          <w:rFonts w:eastAsia="宋体" w:cs="Times New Roman"/>
          <w:szCs w:val="18"/>
        </w:rPr>
        <w:t>, a decrease of 5.6%.</w:t>
      </w:r>
    </w:p>
    <w:p w14:paraId="5D7521DE" w14:textId="77777777" w:rsidR="006D2677" w:rsidRPr="00D82EE2" w:rsidRDefault="00A21C00" w:rsidP="00D82EE2">
      <w:pPr>
        <w:topLinePunct/>
        <w:ind w:firstLine="360"/>
        <w:rPr>
          <w:rFonts w:eastAsia="宋体" w:cs="Times New Roman"/>
          <w:szCs w:val="18"/>
        </w:rPr>
      </w:pPr>
      <w:r w:rsidRPr="00D82EE2">
        <w:rPr>
          <w:rFonts w:eastAsia="宋体" w:cs="Times New Roman"/>
          <w:szCs w:val="18"/>
        </w:rPr>
        <w:t>Social security was further strengthened. By the end of the year, 17.4609 million people have participated in the basic endowment insurance for urban workers, including 11.4962 million employees and 5.9647 million retirees. 23.6886 million people have participated in the basic endowment insurance for urban and rural residents; 11.3693 million people have participated in the basic medical insurance for urban workers; 44.4605 million people have participated in the basic medical insurance for urban and rural residents; 7.5243 million people were covered by work-related injury insurance, and 6.4588 million people by maternity insurance; 6.5131 million people by unemployment insurance and 140,500 received unemployment insurance compensation by the end of the year.</w:t>
      </w:r>
    </w:p>
    <w:p w14:paraId="71A12560" w14:textId="77777777" w:rsidR="006D2677" w:rsidRPr="00D82EE2" w:rsidRDefault="00A21C00" w:rsidP="00D82EE2">
      <w:pPr>
        <w:topLinePunct/>
        <w:ind w:firstLine="360"/>
        <w:rPr>
          <w:rFonts w:eastAsia="宋体" w:cs="Times New Roman"/>
          <w:szCs w:val="18"/>
        </w:rPr>
      </w:pPr>
      <w:r w:rsidRPr="00D82EE2">
        <w:rPr>
          <w:rFonts w:eastAsia="宋体" w:cs="Times New Roman"/>
          <w:szCs w:val="18"/>
        </w:rPr>
        <w:t xml:space="preserve">Throughout the year, 307,000 urban residents and 1.446 million rural residents received the minimum living allowances, and the entitled group of 372,700 people has received special pensions and subsidies by the state. Social welfare programs continued developing. By the end of the year, there were 1831 elderly care institutions in the province, and the coverage of elderly care service facilities in urban and rural communities reached 97% and 67%, respectively. The annual sales of social welfare lottery tickets amounted to 5.25 billion </w:t>
      </w:r>
      <w:proofErr w:type="spellStart"/>
      <w:r w:rsidRPr="00D82EE2">
        <w:rPr>
          <w:rFonts w:eastAsia="宋体" w:cs="Times New Roman"/>
          <w:szCs w:val="18"/>
        </w:rPr>
        <w:t>yuan</w:t>
      </w:r>
      <w:proofErr w:type="spellEnd"/>
      <w:r w:rsidRPr="00D82EE2">
        <w:rPr>
          <w:rFonts w:eastAsia="宋体" w:cs="Times New Roman"/>
          <w:szCs w:val="18"/>
        </w:rPr>
        <w:t>.</w:t>
      </w:r>
    </w:p>
    <w:p w14:paraId="4E23CB03" w14:textId="77777777" w:rsidR="006D2677" w:rsidRPr="00D82EE2" w:rsidRDefault="00A21C00" w:rsidP="00D82EE2">
      <w:pPr>
        <w:topLinePunct/>
        <w:ind w:firstLine="361"/>
        <w:rPr>
          <w:rFonts w:eastAsia="宋体" w:cs="Times New Roman"/>
          <w:b/>
          <w:bCs/>
          <w:szCs w:val="18"/>
        </w:rPr>
      </w:pPr>
      <w:r w:rsidRPr="00D82EE2">
        <w:rPr>
          <w:rFonts w:eastAsia="宋体" w:cs="Times New Roman"/>
          <w:b/>
          <w:bCs/>
          <w:szCs w:val="18"/>
        </w:rPr>
        <w:fldChar w:fldCharType="begin"/>
      </w:r>
      <w:r w:rsidRPr="00D82EE2">
        <w:rPr>
          <w:rFonts w:eastAsia="宋体" w:cs="Times New Roman"/>
          <w:b/>
          <w:bCs/>
          <w:szCs w:val="18"/>
        </w:rPr>
        <w:instrText xml:space="preserve"> = 12 \* ROMAN </w:instrText>
      </w:r>
      <w:r w:rsidRPr="00D82EE2">
        <w:rPr>
          <w:rFonts w:eastAsia="宋体" w:cs="Times New Roman"/>
          <w:b/>
          <w:bCs/>
          <w:szCs w:val="18"/>
        </w:rPr>
        <w:fldChar w:fldCharType="separate"/>
      </w:r>
      <w:r w:rsidRPr="00D82EE2">
        <w:rPr>
          <w:rFonts w:eastAsia="宋体" w:cs="Times New Roman"/>
          <w:b/>
          <w:bCs/>
          <w:szCs w:val="18"/>
        </w:rPr>
        <w:t>XII</w:t>
      </w:r>
      <w:r w:rsidRPr="00D82EE2">
        <w:rPr>
          <w:rFonts w:eastAsia="宋体" w:cs="Times New Roman"/>
          <w:b/>
          <w:bCs/>
          <w:szCs w:val="18"/>
        </w:rPr>
        <w:fldChar w:fldCharType="end"/>
      </w:r>
      <w:r w:rsidRPr="00D82EE2">
        <w:rPr>
          <w:rFonts w:eastAsia="宋体" w:cs="Times New Roman"/>
          <w:b/>
          <w:bCs/>
          <w:szCs w:val="18"/>
        </w:rPr>
        <w:t xml:space="preserve"> Energy Saving and Consumption Reduction, Resources and Environment</w:t>
      </w:r>
    </w:p>
    <w:p w14:paraId="4E3004BC" w14:textId="77777777" w:rsidR="006D2677" w:rsidRPr="00D82EE2" w:rsidRDefault="00A21C00" w:rsidP="00D82EE2">
      <w:pPr>
        <w:topLinePunct/>
        <w:ind w:firstLine="360"/>
        <w:rPr>
          <w:rFonts w:eastAsia="宋体" w:cs="Times New Roman"/>
          <w:szCs w:val="18"/>
        </w:rPr>
      </w:pPr>
      <w:r w:rsidRPr="00D82EE2">
        <w:rPr>
          <w:rFonts w:eastAsia="宋体" w:cs="Times New Roman"/>
          <w:szCs w:val="18"/>
        </w:rPr>
        <w:t>The province continued rolling out efforts to conserve energy and cut consumption. As a result, energy consumption per unit of GDP continued declining, and the target of 1% reduction set at the beginning of the year has been successfully achieved.</w:t>
      </w:r>
    </w:p>
    <w:p w14:paraId="2332878D" w14:textId="77777777" w:rsidR="006D2677" w:rsidRPr="00D82EE2" w:rsidRDefault="00A21C00" w:rsidP="00D82EE2">
      <w:pPr>
        <w:topLinePunct/>
        <w:ind w:firstLine="360"/>
        <w:rPr>
          <w:rFonts w:eastAsia="宋体" w:cs="Times New Roman"/>
          <w:szCs w:val="18"/>
        </w:rPr>
      </w:pPr>
      <w:r w:rsidRPr="00D82EE2">
        <w:rPr>
          <w:rFonts w:eastAsia="宋体" w:cs="Times New Roman"/>
          <w:szCs w:val="18"/>
        </w:rPr>
        <w:t xml:space="preserve">The total supply of state-owned construction land in the province was 27,200 hectares, a decrease of 13.79% over the previous year. The total amount of water resources was 190.33 billion cubic meters, an increase of 210%. Water consumption per 10,000 </w:t>
      </w:r>
      <w:proofErr w:type="spellStart"/>
      <w:r w:rsidRPr="00D82EE2">
        <w:rPr>
          <w:rFonts w:eastAsia="宋体" w:cs="Times New Roman"/>
          <w:szCs w:val="18"/>
        </w:rPr>
        <w:t>yuan</w:t>
      </w:r>
      <w:proofErr w:type="spellEnd"/>
      <w:r w:rsidRPr="00D82EE2">
        <w:rPr>
          <w:rFonts w:eastAsia="宋体" w:cs="Times New Roman"/>
          <w:szCs w:val="18"/>
        </w:rPr>
        <w:t xml:space="preserve"> of GDP was 76 cubic meters, an increase of 2.7%. Water consumption per 10,000 </w:t>
      </w:r>
      <w:proofErr w:type="spellStart"/>
      <w:r w:rsidRPr="00D82EE2">
        <w:rPr>
          <w:rFonts w:eastAsia="宋体" w:cs="Times New Roman"/>
          <w:szCs w:val="18"/>
        </w:rPr>
        <w:t>yuan</w:t>
      </w:r>
      <w:proofErr w:type="spellEnd"/>
      <w:r w:rsidRPr="00D82EE2">
        <w:rPr>
          <w:rFonts w:eastAsia="宋体" w:cs="Times New Roman"/>
          <w:szCs w:val="18"/>
        </w:rPr>
        <w:t xml:space="preserve"> of industrial added value was 56 cubic meters, down 3.4%.</w:t>
      </w:r>
    </w:p>
    <w:p w14:paraId="6486EB3C" w14:textId="77777777" w:rsidR="006D2677" w:rsidRPr="00D82EE2" w:rsidRDefault="00A21C00" w:rsidP="00D82EE2">
      <w:pPr>
        <w:topLinePunct/>
        <w:ind w:firstLine="360"/>
        <w:rPr>
          <w:rFonts w:eastAsia="宋体" w:cs="Times New Roman"/>
          <w:szCs w:val="18"/>
        </w:rPr>
      </w:pPr>
      <w:r w:rsidRPr="00D82EE2">
        <w:rPr>
          <w:rFonts w:eastAsia="宋体" w:cs="Times New Roman"/>
          <w:szCs w:val="18"/>
        </w:rPr>
        <w:t>The province completed afforestation of 248,600 hectares, including 110,500 hectares of artificial afforestation area, accounting for 44.45% of the total afforestation area. The forest tending area was 384,700 hectares. By the end of the year, there were 22 national nature reserves in the province.</w:t>
      </w:r>
    </w:p>
    <w:p w14:paraId="26FB53C9" w14:textId="77777777" w:rsidR="006D2677" w:rsidRPr="00D82EE2" w:rsidRDefault="00A21C00" w:rsidP="00D82EE2">
      <w:pPr>
        <w:topLinePunct/>
        <w:ind w:firstLine="360"/>
        <w:rPr>
          <w:rFonts w:eastAsia="宋体" w:cs="Times New Roman"/>
          <w:szCs w:val="18"/>
        </w:rPr>
      </w:pPr>
      <w:r w:rsidRPr="00D82EE2">
        <w:rPr>
          <w:rFonts w:eastAsia="宋体" w:cs="Times New Roman"/>
          <w:szCs w:val="18"/>
        </w:rPr>
        <w:t>Among the 179 surface water quality monitoring sections of the main rivers in the province, 93.9% had good water quality at Grade I~III, 6.1% had poor water quality at Grade IV and Grade V, and there was no water quality monitoring section that was seriously polluted to inferior to Grade V. Among the 32 waters of the province’s main lakes and reservoirs, 62.5% had the water quality of Grade I to III, 37.5% had poor water quality of Grade IV and Grade V, and none had the water quality inferior to Grade V.</w:t>
      </w:r>
    </w:p>
    <w:p w14:paraId="12CA0A95" w14:textId="77777777" w:rsidR="006D2677" w:rsidRPr="00D82EE2" w:rsidRDefault="00A21C00" w:rsidP="00D82EE2">
      <w:pPr>
        <w:topLinePunct/>
        <w:ind w:firstLine="360"/>
        <w:rPr>
          <w:rFonts w:eastAsia="宋体" w:cs="Times New Roman"/>
          <w:szCs w:val="18"/>
        </w:rPr>
      </w:pPr>
      <w:r w:rsidRPr="00D82EE2">
        <w:rPr>
          <w:rFonts w:eastAsia="宋体" w:cs="Times New Roman"/>
          <w:szCs w:val="18"/>
        </w:rPr>
        <w:t>Among the 13 cities at prefecture-level and above monitored in the province, 38.5% of cities met air quality standards, and 61.5% of cities failed to meet air quality standards. The annual average concentration of fine particulate matter (PM2.5) in cities that did not meet the standards was 40 micrograms/m</w:t>
      </w:r>
      <w:r w:rsidRPr="00D82EE2">
        <w:rPr>
          <w:rFonts w:eastAsia="宋体" w:cs="Times New Roman"/>
          <w:szCs w:val="18"/>
          <w:vertAlign w:val="superscript"/>
        </w:rPr>
        <w:t>3</w:t>
      </w:r>
      <w:r w:rsidRPr="00D82EE2">
        <w:rPr>
          <w:rFonts w:eastAsia="宋体" w:cs="Times New Roman"/>
          <w:szCs w:val="18"/>
        </w:rPr>
        <w:t>, down 11.1% over the previous year.</w:t>
      </w:r>
    </w:p>
    <w:p w14:paraId="6C04B152" w14:textId="77777777" w:rsidR="006D2677" w:rsidRPr="00D82EE2" w:rsidRDefault="00A21C00" w:rsidP="00D82EE2">
      <w:pPr>
        <w:topLinePunct/>
        <w:ind w:firstLine="360"/>
        <w:rPr>
          <w:rFonts w:eastAsia="宋体" w:cs="Times New Roman"/>
          <w:szCs w:val="18"/>
        </w:rPr>
      </w:pPr>
      <w:r w:rsidRPr="00D82EE2">
        <w:rPr>
          <w:rFonts w:eastAsia="宋体" w:cs="Times New Roman"/>
          <w:szCs w:val="18"/>
        </w:rPr>
        <w:t xml:space="preserve">The average temperature of the province was 16.8 </w:t>
      </w:r>
      <w:r w:rsidRPr="00D82EE2">
        <w:rPr>
          <w:rFonts w:eastAsia="宋体" w:cs="Times New Roman" w:hint="eastAsia"/>
          <w:szCs w:val="18"/>
        </w:rPr>
        <w:t>℃</w:t>
      </w:r>
      <w:r w:rsidRPr="00D82EE2">
        <w:rPr>
          <w:rFonts w:eastAsia="宋体" w:cs="Times New Roman" w:hint="eastAsia"/>
          <w:szCs w:val="18"/>
        </w:rPr>
        <w:t>,</w:t>
      </w:r>
      <w:r w:rsidRPr="00D82EE2">
        <w:rPr>
          <w:rFonts w:eastAsia="宋体" w:cs="Times New Roman"/>
          <w:szCs w:val="18"/>
        </w:rPr>
        <w:t xml:space="preserve"> </w:t>
      </w:r>
      <w:r w:rsidRPr="00D82EE2">
        <w:rPr>
          <w:rFonts w:eastAsia="宋体" w:cs="Times New Roman" w:hint="eastAsia"/>
          <w:szCs w:val="18"/>
        </w:rPr>
        <w:t>0.4</w:t>
      </w:r>
      <w:r w:rsidRPr="00D82EE2">
        <w:rPr>
          <w:rFonts w:eastAsia="宋体" w:cs="Times New Roman" w:hint="eastAsia"/>
          <w:szCs w:val="18"/>
        </w:rPr>
        <w:t>℃</w:t>
      </w:r>
      <w:r w:rsidRPr="00D82EE2">
        <w:rPr>
          <w:rFonts w:eastAsia="宋体" w:cs="Times New Roman"/>
          <w:szCs w:val="18"/>
        </w:rPr>
        <w:t xml:space="preserve"> higher than the previous year.</w:t>
      </w:r>
    </w:p>
    <w:p w14:paraId="0B1383AA" w14:textId="77777777" w:rsidR="006D2677" w:rsidRPr="00D82EE2" w:rsidRDefault="00A21C00" w:rsidP="00D82EE2">
      <w:pPr>
        <w:ind w:firstLine="361"/>
        <w:rPr>
          <w:b/>
          <w:bCs/>
          <w:szCs w:val="18"/>
        </w:rPr>
      </w:pPr>
      <w:r w:rsidRPr="00D82EE2">
        <w:rPr>
          <w:b/>
          <w:bCs/>
          <w:szCs w:val="18"/>
        </w:rPr>
        <w:t>Note:</w:t>
      </w:r>
    </w:p>
    <w:p w14:paraId="06AEC164" w14:textId="77777777" w:rsidR="006D2677" w:rsidRPr="00D82EE2" w:rsidRDefault="00A21C00" w:rsidP="00D82EE2">
      <w:pPr>
        <w:topLinePunct/>
        <w:ind w:firstLine="360"/>
        <w:rPr>
          <w:rFonts w:eastAsia="宋体" w:cs="Times New Roman"/>
          <w:szCs w:val="18"/>
        </w:rPr>
      </w:pPr>
      <w:r w:rsidRPr="00D82EE2">
        <w:rPr>
          <w:rFonts w:eastAsia="宋体" w:cs="Times New Roman"/>
          <w:szCs w:val="18"/>
        </w:rPr>
        <w:t>1. The data in this Bulletin are statistical express data.</w:t>
      </w:r>
    </w:p>
    <w:p w14:paraId="793DC861" w14:textId="77777777" w:rsidR="006D2677" w:rsidRPr="00D82EE2" w:rsidRDefault="00A21C00" w:rsidP="00D82EE2">
      <w:pPr>
        <w:topLinePunct/>
        <w:ind w:firstLine="360"/>
        <w:rPr>
          <w:rFonts w:eastAsia="宋体" w:cs="Times New Roman"/>
          <w:szCs w:val="18"/>
        </w:rPr>
      </w:pPr>
      <w:r w:rsidRPr="00D82EE2">
        <w:rPr>
          <w:rFonts w:eastAsia="宋体" w:cs="Times New Roman"/>
          <w:szCs w:val="18"/>
        </w:rPr>
        <w:t>2. The relevant data of the seventh national census carried out in 2020 is expected to be released in May 2021, and population-related data will no longer be released separately in the Bulletin.</w:t>
      </w:r>
    </w:p>
    <w:p w14:paraId="523D3423" w14:textId="77777777" w:rsidR="006D2677" w:rsidRPr="00D82EE2" w:rsidRDefault="00A21C00" w:rsidP="00D82EE2">
      <w:pPr>
        <w:ind w:firstLine="361"/>
        <w:rPr>
          <w:b/>
          <w:bCs/>
          <w:szCs w:val="18"/>
        </w:rPr>
      </w:pPr>
      <w:r w:rsidRPr="00D82EE2">
        <w:rPr>
          <w:b/>
          <w:bCs/>
          <w:szCs w:val="18"/>
        </w:rPr>
        <w:t>Source:</w:t>
      </w:r>
    </w:p>
    <w:p w14:paraId="11060925" w14:textId="77777777" w:rsidR="006D2677" w:rsidRPr="00D82EE2" w:rsidRDefault="00A21C00" w:rsidP="00D82EE2">
      <w:pPr>
        <w:topLinePunct/>
        <w:ind w:firstLine="360"/>
        <w:rPr>
          <w:rFonts w:eastAsia="宋体" w:cs="Times New Roman"/>
          <w:szCs w:val="18"/>
        </w:rPr>
      </w:pPr>
      <w:r w:rsidRPr="00D82EE2">
        <w:rPr>
          <w:rFonts w:eastAsia="宋体" w:cs="Times New Roman"/>
          <w:szCs w:val="18"/>
        </w:rPr>
        <w:t xml:space="preserve">The data on new urban employment, urban registered unemployment rate, endowment insurance, work-related injury insurance, and unemployment insurance in this Bulletin are from the Provincial Department of Human Resources and Social Security; data on poverty alleviation are from the Provincial Office of Poverty Alleviation; fishery data from the Provincial Fisheries Bureau; import and export data from Wuhan Customs; data on actual use of foreign capital, foreign direct investment, foreign contracted projects, and foreign labor cooperation are from the Provincial Department of Commerce; data on total tourism revenue, total number of tourists, public libraries, cultural centers, museums, and art performance groups are from the Provincial Department of Culture and Tourism; data on cargo turnover, passenger turnover, total highway mileage, expressway mileage, port cargo throughput, container throughput, etc. are from China Railway Corporation, the Provincial Department of Transport, China Southern Airlines Hubei Branch, China Eastern Airlines Wuhan Company, Air China Hubei branch; data such as postal business volume, express business volume, and </w:t>
      </w:r>
      <w:r w:rsidRPr="00D82EE2">
        <w:rPr>
          <w:rFonts w:eastAsia="宋体" w:cs="Times New Roman"/>
          <w:szCs w:val="18"/>
        </w:rPr>
        <w:lastRenderedPageBreak/>
        <w:t>express business revenue are from the Provincial Postal Administration; data on total telecommunications business volume, long-distance optical cable lines, telephone users, Internet users, and telephone penetration rates are from the Provincial Communications Administration; government finance data are from the Provincial Department of Finance; financial data are from Wuhan Branch of the People’s Bank of China; insurance premium data are from China Banking and Insurance Regulatory Commission Hubei Office; education data are from the Provincial Department of Education; data on health institutions, beds, and personnel are from the Provincial Health Commission; radio and television data comes from the Provincial Radio and Television Bureau; Movies and publication data come from the Propaganda Department of the Provincial Party Committee; data on sports, sports lottery, etc. come from the Provincial Sports Bureau; data on subsistence allowances, social services, welfare lotteries, etc. come from the Provincial Civil Affairs Department; data on national pensions, subsidies and preferential treatment come from the Provincial Veteran Affairs Department; medical insurance and maternity insurance data are from the Provincial Medical Insurance Bureau; data on provincial engineering research centers and provincial enterprise technology centers are from the Provincial Development and Reform Commission; data on major scientific and technological achievements, technical contracts and so on are from the Provincial Science and Technology Department; data on the number of market entities, national inspection and testing centers, enterprises that have passed ISO9000 system certification and statutory metrology technical institutions are from the Provincial Administration for Market Regulation; seismic data are from the Provincial Earthquake Agency; data on construction land are from the Provincial Department of Natural Resources; data on water resources and soil erosion control areas are from the Provincial Department of Water Resources; data on forest resources and nature reserves are from the Provincial Forestry Bureau; data on ecological environment and environmental monitoring are from the Provincial Department of Ecology and Environment; meteorological data are from the Provincial Meteorological Bureau. Data on prices, food, livestock, income and expenditure of urban and rural residents, and per capita disposable income of rural residents in poverty-stricken areas are from the Survey Office of the National Bureau of Statistics in Hubei; other data are from Hubei Provincial Bureau of Statistics.</w:t>
      </w:r>
    </w:p>
    <w:sectPr w:rsidR="006D2677" w:rsidRPr="00D82EE2">
      <w:headerReference w:type="even" r:id="rId16"/>
      <w:headerReference w:type="default" r:id="rId17"/>
      <w:footerReference w:type="even" r:id="rId18"/>
      <w:footerReference w:type="default" r:id="rId19"/>
      <w:headerReference w:type="first" r:id="rId20"/>
      <w:footerReference w:type="first" r:id="rId21"/>
      <w:pgSz w:w="11906" w:h="16838"/>
      <w:pgMar w:top="1134" w:right="1134" w:bottom="1134" w:left="1134" w:header="851" w:footer="992" w:gutter="0"/>
      <w:cols w:space="425"/>
      <w:docGrid w:type="lines" w:linePitch="312"/>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864F594" w16cid:durableId="25377495"/>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7964FF5" w14:textId="77777777" w:rsidR="009802F8" w:rsidRDefault="009802F8">
      <w:pPr>
        <w:ind w:firstLine="360"/>
      </w:pPr>
      <w:r>
        <w:separator/>
      </w:r>
    </w:p>
  </w:endnote>
  <w:endnote w:type="continuationSeparator" w:id="0">
    <w:p w14:paraId="2877C987" w14:textId="77777777" w:rsidR="009802F8" w:rsidRDefault="009802F8">
      <w:pPr>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E13D3F" w14:textId="77777777" w:rsidR="00D82EE2" w:rsidRDefault="00D82EE2">
    <w:pPr>
      <w:pStyle w:val="a5"/>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C8B997" w14:textId="77777777" w:rsidR="00D82EE2" w:rsidRDefault="00D82EE2">
    <w:pPr>
      <w:pStyle w:val="a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1374CF" w14:textId="77777777" w:rsidR="00D82EE2" w:rsidRDefault="00D82EE2">
    <w:pPr>
      <w:pStyle w:val="a5"/>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8DAD41" w14:textId="77777777" w:rsidR="009802F8" w:rsidRDefault="009802F8">
      <w:pPr>
        <w:ind w:firstLine="360"/>
      </w:pPr>
      <w:r>
        <w:separator/>
      </w:r>
    </w:p>
  </w:footnote>
  <w:footnote w:type="continuationSeparator" w:id="0">
    <w:p w14:paraId="72834D94" w14:textId="77777777" w:rsidR="009802F8" w:rsidRDefault="009802F8">
      <w:pPr>
        <w:ind w:firstLine="3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EDB0B7" w14:textId="77777777" w:rsidR="00D82EE2" w:rsidRDefault="00D82EE2">
    <w:pPr>
      <w:pStyle w:val="a6"/>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AD8DF4" w14:textId="77777777" w:rsidR="00D82EE2" w:rsidRDefault="00D82EE2">
    <w:pPr>
      <w:pStyle w:val="a6"/>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600E70" w14:textId="77777777" w:rsidR="00D82EE2" w:rsidRDefault="00D82EE2">
    <w:pPr>
      <w:pStyle w:val="a6"/>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5C89"/>
    <w:rsid w:val="9FFF9BB7"/>
    <w:rsid w:val="A3FBDEE3"/>
    <w:rsid w:val="AFDF082B"/>
    <w:rsid w:val="CDBDBEAA"/>
    <w:rsid w:val="DFDFB8FE"/>
    <w:rsid w:val="DFFAB837"/>
    <w:rsid w:val="FE73C243"/>
    <w:rsid w:val="FE7FB9EB"/>
    <w:rsid w:val="FF7FD44B"/>
    <w:rsid w:val="000011E1"/>
    <w:rsid w:val="00007E38"/>
    <w:rsid w:val="00020305"/>
    <w:rsid w:val="000374B6"/>
    <w:rsid w:val="0006517B"/>
    <w:rsid w:val="00091C31"/>
    <w:rsid w:val="000A036A"/>
    <w:rsid w:val="000D28B1"/>
    <w:rsid w:val="000E3D25"/>
    <w:rsid w:val="001627A8"/>
    <w:rsid w:val="001724EC"/>
    <w:rsid w:val="00174341"/>
    <w:rsid w:val="00187DCE"/>
    <w:rsid w:val="00194AF9"/>
    <w:rsid w:val="001A7829"/>
    <w:rsid w:val="001B2CD5"/>
    <w:rsid w:val="001D08A5"/>
    <w:rsid w:val="001D3526"/>
    <w:rsid w:val="001D58B5"/>
    <w:rsid w:val="001F7BDA"/>
    <w:rsid w:val="00202518"/>
    <w:rsid w:val="0021060A"/>
    <w:rsid w:val="00213F8D"/>
    <w:rsid w:val="00214FBB"/>
    <w:rsid w:val="002158D0"/>
    <w:rsid w:val="00225505"/>
    <w:rsid w:val="00225E3E"/>
    <w:rsid w:val="00231EDA"/>
    <w:rsid w:val="00234689"/>
    <w:rsid w:val="00241321"/>
    <w:rsid w:val="0024198B"/>
    <w:rsid w:val="00252CBC"/>
    <w:rsid w:val="00254BD9"/>
    <w:rsid w:val="0026228E"/>
    <w:rsid w:val="002863D4"/>
    <w:rsid w:val="00292439"/>
    <w:rsid w:val="00297603"/>
    <w:rsid w:val="002B6EE3"/>
    <w:rsid w:val="002D1499"/>
    <w:rsid w:val="002F2383"/>
    <w:rsid w:val="00300226"/>
    <w:rsid w:val="00300F41"/>
    <w:rsid w:val="00302C83"/>
    <w:rsid w:val="00325764"/>
    <w:rsid w:val="003257A6"/>
    <w:rsid w:val="00332365"/>
    <w:rsid w:val="0033317B"/>
    <w:rsid w:val="0035666E"/>
    <w:rsid w:val="00393B48"/>
    <w:rsid w:val="00394D60"/>
    <w:rsid w:val="003A73D1"/>
    <w:rsid w:val="003B6A2D"/>
    <w:rsid w:val="003D2C05"/>
    <w:rsid w:val="003D4A78"/>
    <w:rsid w:val="003E1BCF"/>
    <w:rsid w:val="003E3744"/>
    <w:rsid w:val="003E4FE1"/>
    <w:rsid w:val="003F2E88"/>
    <w:rsid w:val="004005E1"/>
    <w:rsid w:val="004128DD"/>
    <w:rsid w:val="00415F67"/>
    <w:rsid w:val="00436962"/>
    <w:rsid w:val="00457EB3"/>
    <w:rsid w:val="004A2E25"/>
    <w:rsid w:val="004B075D"/>
    <w:rsid w:val="004B1E5F"/>
    <w:rsid w:val="004C44A0"/>
    <w:rsid w:val="004E26F8"/>
    <w:rsid w:val="00506DCB"/>
    <w:rsid w:val="005147F1"/>
    <w:rsid w:val="00523E15"/>
    <w:rsid w:val="00551B13"/>
    <w:rsid w:val="00551D9A"/>
    <w:rsid w:val="00554BC9"/>
    <w:rsid w:val="005915F4"/>
    <w:rsid w:val="005C2A67"/>
    <w:rsid w:val="005D7FB4"/>
    <w:rsid w:val="005E5928"/>
    <w:rsid w:val="00613519"/>
    <w:rsid w:val="00632261"/>
    <w:rsid w:val="00650599"/>
    <w:rsid w:val="006578BC"/>
    <w:rsid w:val="00667573"/>
    <w:rsid w:val="00673823"/>
    <w:rsid w:val="006879BF"/>
    <w:rsid w:val="00695C89"/>
    <w:rsid w:val="006965B5"/>
    <w:rsid w:val="006D2677"/>
    <w:rsid w:val="006E233E"/>
    <w:rsid w:val="006E2C91"/>
    <w:rsid w:val="006E54A9"/>
    <w:rsid w:val="006F300D"/>
    <w:rsid w:val="0070050A"/>
    <w:rsid w:val="00705E4A"/>
    <w:rsid w:val="0071069A"/>
    <w:rsid w:val="00712267"/>
    <w:rsid w:val="0072228C"/>
    <w:rsid w:val="0073460D"/>
    <w:rsid w:val="0073464F"/>
    <w:rsid w:val="00740881"/>
    <w:rsid w:val="00745F89"/>
    <w:rsid w:val="00747DF7"/>
    <w:rsid w:val="0077268A"/>
    <w:rsid w:val="007833BC"/>
    <w:rsid w:val="007A04E3"/>
    <w:rsid w:val="007A59B3"/>
    <w:rsid w:val="007E220D"/>
    <w:rsid w:val="007F7198"/>
    <w:rsid w:val="00806F53"/>
    <w:rsid w:val="00810E3D"/>
    <w:rsid w:val="00811A7C"/>
    <w:rsid w:val="00825052"/>
    <w:rsid w:val="00842645"/>
    <w:rsid w:val="00842E5C"/>
    <w:rsid w:val="008479A8"/>
    <w:rsid w:val="00870812"/>
    <w:rsid w:val="0087312B"/>
    <w:rsid w:val="00873B1D"/>
    <w:rsid w:val="008E21DD"/>
    <w:rsid w:val="009113A3"/>
    <w:rsid w:val="00915971"/>
    <w:rsid w:val="00916D77"/>
    <w:rsid w:val="00925BED"/>
    <w:rsid w:val="00927F19"/>
    <w:rsid w:val="00937659"/>
    <w:rsid w:val="009641AB"/>
    <w:rsid w:val="009802F8"/>
    <w:rsid w:val="00993B6E"/>
    <w:rsid w:val="009A3AFE"/>
    <w:rsid w:val="009C359E"/>
    <w:rsid w:val="009F6C03"/>
    <w:rsid w:val="00A21C00"/>
    <w:rsid w:val="00A268AE"/>
    <w:rsid w:val="00A27B6B"/>
    <w:rsid w:val="00A301E3"/>
    <w:rsid w:val="00A6113C"/>
    <w:rsid w:val="00A6150E"/>
    <w:rsid w:val="00A61FD8"/>
    <w:rsid w:val="00A813DB"/>
    <w:rsid w:val="00A84670"/>
    <w:rsid w:val="00A95DDB"/>
    <w:rsid w:val="00AD6976"/>
    <w:rsid w:val="00AE1975"/>
    <w:rsid w:val="00B50A52"/>
    <w:rsid w:val="00B63211"/>
    <w:rsid w:val="00B76474"/>
    <w:rsid w:val="00B77E85"/>
    <w:rsid w:val="00BA11A2"/>
    <w:rsid w:val="00BA7381"/>
    <w:rsid w:val="00BC46BD"/>
    <w:rsid w:val="00BE3789"/>
    <w:rsid w:val="00BE4924"/>
    <w:rsid w:val="00BE50A3"/>
    <w:rsid w:val="00BF3E5B"/>
    <w:rsid w:val="00C00D66"/>
    <w:rsid w:val="00C02335"/>
    <w:rsid w:val="00C03446"/>
    <w:rsid w:val="00C2463D"/>
    <w:rsid w:val="00C440BD"/>
    <w:rsid w:val="00C644EF"/>
    <w:rsid w:val="00C73B83"/>
    <w:rsid w:val="00C76FCB"/>
    <w:rsid w:val="00C8025B"/>
    <w:rsid w:val="00CA7352"/>
    <w:rsid w:val="00CE6511"/>
    <w:rsid w:val="00D15180"/>
    <w:rsid w:val="00D26C55"/>
    <w:rsid w:val="00D30E60"/>
    <w:rsid w:val="00D36E7A"/>
    <w:rsid w:val="00D4041B"/>
    <w:rsid w:val="00D415DB"/>
    <w:rsid w:val="00D611B1"/>
    <w:rsid w:val="00D74479"/>
    <w:rsid w:val="00D75B5A"/>
    <w:rsid w:val="00D770AF"/>
    <w:rsid w:val="00D82EE2"/>
    <w:rsid w:val="00DA33A1"/>
    <w:rsid w:val="00DB0C30"/>
    <w:rsid w:val="00DB19E8"/>
    <w:rsid w:val="00DC041C"/>
    <w:rsid w:val="00DC48B1"/>
    <w:rsid w:val="00DD7AD0"/>
    <w:rsid w:val="00DE276B"/>
    <w:rsid w:val="00E0384E"/>
    <w:rsid w:val="00E1556D"/>
    <w:rsid w:val="00E80649"/>
    <w:rsid w:val="00E8503C"/>
    <w:rsid w:val="00E85A80"/>
    <w:rsid w:val="00E93208"/>
    <w:rsid w:val="00E94882"/>
    <w:rsid w:val="00E94D2B"/>
    <w:rsid w:val="00EA6531"/>
    <w:rsid w:val="00EB0DE8"/>
    <w:rsid w:val="00EC6949"/>
    <w:rsid w:val="00ED4272"/>
    <w:rsid w:val="00EF52FD"/>
    <w:rsid w:val="00F02C59"/>
    <w:rsid w:val="00F13723"/>
    <w:rsid w:val="00F3510B"/>
    <w:rsid w:val="00F47F90"/>
    <w:rsid w:val="00F52645"/>
    <w:rsid w:val="00F619AC"/>
    <w:rsid w:val="00F72801"/>
    <w:rsid w:val="00F82C76"/>
    <w:rsid w:val="00F97A24"/>
    <w:rsid w:val="00FA19B8"/>
    <w:rsid w:val="00FC7ED0"/>
    <w:rsid w:val="00FD126F"/>
    <w:rsid w:val="00FE0074"/>
    <w:rsid w:val="00FF1144"/>
    <w:rsid w:val="00FF59BD"/>
    <w:rsid w:val="02B7359E"/>
    <w:rsid w:val="06747E87"/>
    <w:rsid w:val="07410019"/>
    <w:rsid w:val="0AAB130C"/>
    <w:rsid w:val="0AB20DCD"/>
    <w:rsid w:val="0C290C97"/>
    <w:rsid w:val="0D8B084F"/>
    <w:rsid w:val="10AA7611"/>
    <w:rsid w:val="14854ADA"/>
    <w:rsid w:val="14DC1BAA"/>
    <w:rsid w:val="16713092"/>
    <w:rsid w:val="1A555B8D"/>
    <w:rsid w:val="20F6565F"/>
    <w:rsid w:val="21344E10"/>
    <w:rsid w:val="249642D8"/>
    <w:rsid w:val="26052771"/>
    <w:rsid w:val="299A5B6F"/>
    <w:rsid w:val="2C353B08"/>
    <w:rsid w:val="2F607B34"/>
    <w:rsid w:val="3B3E5D94"/>
    <w:rsid w:val="432E3EA4"/>
    <w:rsid w:val="439636A3"/>
    <w:rsid w:val="447A4D77"/>
    <w:rsid w:val="44AF5A9F"/>
    <w:rsid w:val="4A044E7E"/>
    <w:rsid w:val="4AFB5739"/>
    <w:rsid w:val="4D793372"/>
    <w:rsid w:val="4FE95D52"/>
    <w:rsid w:val="53645E7E"/>
    <w:rsid w:val="57940F92"/>
    <w:rsid w:val="5A952E9B"/>
    <w:rsid w:val="5F245349"/>
    <w:rsid w:val="616F3BB5"/>
    <w:rsid w:val="620B6135"/>
    <w:rsid w:val="639E6239"/>
    <w:rsid w:val="66BB3DEC"/>
    <w:rsid w:val="67FF931B"/>
    <w:rsid w:val="687F4976"/>
    <w:rsid w:val="69442975"/>
    <w:rsid w:val="6A8775DA"/>
    <w:rsid w:val="6D0473A6"/>
    <w:rsid w:val="6DE577EC"/>
    <w:rsid w:val="70614600"/>
    <w:rsid w:val="791C0EA5"/>
    <w:rsid w:val="793F4985"/>
    <w:rsid w:val="7B3622E7"/>
    <w:rsid w:val="7BAF54EA"/>
    <w:rsid w:val="7C203651"/>
    <w:rsid w:val="7C3B23FD"/>
    <w:rsid w:val="7DD84A90"/>
    <w:rsid w:val="7F7B6FB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954D437"/>
  <w15:docId w15:val="{5493B460-D1B3-4AEE-87D6-D2706BE9C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ind w:firstLineChars="200" w:firstLine="643"/>
      <w:jc w:val="both"/>
    </w:pPr>
    <w:rPr>
      <w:rFonts w:eastAsiaTheme="minorEastAsia" w:cstheme="minorBidi"/>
      <w:kern w:val="2"/>
      <w:sz w:val="18"/>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uiPriority w:val="99"/>
    <w:semiHidden/>
    <w:unhideWhenUsed/>
    <w:qFormat/>
    <w:pPr>
      <w:jc w:val="left"/>
    </w:pPr>
  </w:style>
  <w:style w:type="paragraph" w:styleId="a4">
    <w:name w:val="Balloon Text"/>
    <w:basedOn w:val="a"/>
    <w:link w:val="Char0"/>
    <w:uiPriority w:val="99"/>
    <w:semiHidden/>
    <w:unhideWhenUsed/>
    <w:qFormat/>
    <w:rPr>
      <w:rFonts w:ascii="宋体" w:eastAsia="宋体"/>
      <w:szCs w:val="18"/>
    </w:rPr>
  </w:style>
  <w:style w:type="paragraph" w:styleId="a5">
    <w:name w:val="footer"/>
    <w:basedOn w:val="a"/>
    <w:link w:val="Char1"/>
    <w:uiPriority w:val="99"/>
    <w:unhideWhenUsed/>
    <w:qFormat/>
    <w:pPr>
      <w:tabs>
        <w:tab w:val="center" w:pos="4153"/>
        <w:tab w:val="right" w:pos="8306"/>
      </w:tabs>
      <w:snapToGrid w:val="0"/>
      <w:jc w:val="left"/>
    </w:pPr>
    <w:rPr>
      <w:szCs w:val="18"/>
    </w:rPr>
  </w:style>
  <w:style w:type="paragraph" w:styleId="a6">
    <w:name w:val="header"/>
    <w:basedOn w:val="a"/>
    <w:link w:val="Char2"/>
    <w:uiPriority w:val="99"/>
    <w:unhideWhenUsed/>
    <w:qFormat/>
    <w:pPr>
      <w:pBdr>
        <w:bottom w:val="single" w:sz="6" w:space="1" w:color="auto"/>
      </w:pBdr>
      <w:tabs>
        <w:tab w:val="center" w:pos="4153"/>
        <w:tab w:val="right" w:pos="8306"/>
      </w:tabs>
      <w:snapToGrid w:val="0"/>
      <w:jc w:val="center"/>
    </w:pPr>
    <w:rPr>
      <w:szCs w:val="18"/>
    </w:rPr>
  </w:style>
  <w:style w:type="paragraph" w:styleId="a7">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8">
    <w:name w:val="annotation subject"/>
    <w:basedOn w:val="a3"/>
    <w:next w:val="a3"/>
    <w:link w:val="Char3"/>
    <w:uiPriority w:val="99"/>
    <w:semiHidden/>
    <w:unhideWhenUsed/>
    <w:qFormat/>
    <w:rPr>
      <w:b/>
      <w:bCs/>
    </w:rPr>
  </w:style>
  <w:style w:type="table" w:styleId="a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uiPriority w:val="22"/>
    <w:qFormat/>
    <w:rPr>
      <w:b/>
      <w:bCs/>
    </w:rPr>
  </w:style>
  <w:style w:type="character" w:styleId="ab">
    <w:name w:val="annotation reference"/>
    <w:basedOn w:val="a0"/>
    <w:uiPriority w:val="99"/>
    <w:semiHidden/>
    <w:unhideWhenUsed/>
    <w:qFormat/>
    <w:rPr>
      <w:sz w:val="21"/>
      <w:szCs w:val="21"/>
    </w:rPr>
  </w:style>
  <w:style w:type="character" w:customStyle="1" w:styleId="Char2">
    <w:name w:val="页眉 Char"/>
    <w:basedOn w:val="a0"/>
    <w:link w:val="a6"/>
    <w:uiPriority w:val="99"/>
    <w:qFormat/>
    <w:rPr>
      <w:sz w:val="18"/>
      <w:szCs w:val="18"/>
    </w:rPr>
  </w:style>
  <w:style w:type="character" w:customStyle="1" w:styleId="Char1">
    <w:name w:val="页脚 Char"/>
    <w:basedOn w:val="a0"/>
    <w:link w:val="a5"/>
    <w:uiPriority w:val="99"/>
    <w:qFormat/>
    <w:rPr>
      <w:sz w:val="18"/>
      <w:szCs w:val="18"/>
    </w:rPr>
  </w:style>
  <w:style w:type="character" w:customStyle="1" w:styleId="font11">
    <w:name w:val="font11"/>
    <w:basedOn w:val="a0"/>
    <w:qFormat/>
    <w:rPr>
      <w:rFonts w:ascii="仿宋" w:eastAsia="仿宋" w:hAnsi="仿宋" w:cs="仿宋" w:hint="eastAsia"/>
      <w:color w:val="000000"/>
      <w:sz w:val="32"/>
      <w:szCs w:val="32"/>
      <w:u w:val="none"/>
    </w:rPr>
  </w:style>
  <w:style w:type="character" w:customStyle="1" w:styleId="Char0">
    <w:name w:val="批注框文本 Char"/>
    <w:basedOn w:val="a0"/>
    <w:link w:val="a4"/>
    <w:uiPriority w:val="99"/>
    <w:semiHidden/>
    <w:qFormat/>
    <w:rPr>
      <w:rFonts w:ascii="宋体" w:hAnsiTheme="minorHAnsi" w:cstheme="minorBidi"/>
      <w:kern w:val="2"/>
      <w:sz w:val="18"/>
      <w:szCs w:val="18"/>
    </w:rPr>
  </w:style>
  <w:style w:type="character" w:customStyle="1" w:styleId="Char">
    <w:name w:val="批注文字 Char"/>
    <w:basedOn w:val="a0"/>
    <w:link w:val="a3"/>
    <w:uiPriority w:val="99"/>
    <w:semiHidden/>
    <w:qFormat/>
    <w:rPr>
      <w:rFonts w:asciiTheme="minorHAnsi" w:eastAsiaTheme="minorEastAsia" w:hAnsiTheme="minorHAnsi" w:cstheme="minorBidi"/>
      <w:kern w:val="2"/>
      <w:sz w:val="21"/>
      <w:szCs w:val="22"/>
    </w:rPr>
  </w:style>
  <w:style w:type="character" w:customStyle="1" w:styleId="Char3">
    <w:name w:val="批注主题 Char"/>
    <w:basedOn w:val="Char"/>
    <w:link w:val="a8"/>
    <w:uiPriority w:val="99"/>
    <w:semiHidden/>
    <w:qFormat/>
    <w:rPr>
      <w:rFonts w:asciiTheme="minorHAnsi" w:eastAsiaTheme="minorEastAsia" w:hAnsiTheme="minorHAnsi" w:cstheme="minorBidi"/>
      <w:b/>
      <w:bCs/>
      <w:kern w:val="2"/>
      <w:sz w:val="21"/>
      <w:szCs w:val="22"/>
    </w:rPr>
  </w:style>
  <w:style w:type="paragraph" w:customStyle="1" w:styleId="1">
    <w:name w:val="修订1"/>
    <w:hidden/>
    <w:uiPriority w:val="99"/>
    <w:semiHidden/>
    <w:qFormat/>
    <w:rPr>
      <w:rFonts w:asciiTheme="minorHAnsi" w:eastAsiaTheme="minorEastAsia" w:hAnsiTheme="minorHAnsi" w:cstheme="minorBidi"/>
      <w:kern w:val="2"/>
      <w:sz w:val="21"/>
      <w:szCs w:val="22"/>
    </w:rPr>
  </w:style>
  <w:style w:type="character" w:customStyle="1" w:styleId="viiyi">
    <w:name w:val="viiyi"/>
    <w:basedOn w:val="a0"/>
    <w:qFormat/>
  </w:style>
  <w:style w:type="character" w:customStyle="1" w:styleId="jlqj4b">
    <w:name w:val="jlqj4b"/>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chart" Target="charts/chart7.xm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chart" Target="charts/chart1.xml"/><Relationship Id="rId12" Type="http://schemas.openxmlformats.org/officeDocument/2006/relationships/chart" Target="charts/chart6.xm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hart" Target="charts/chart5.xml"/><Relationship Id="rId24"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chart" Target="charts/chart9.xml"/><Relationship Id="rId23" Type="http://schemas.openxmlformats.org/officeDocument/2006/relationships/theme" Target="theme/theme1.xml"/><Relationship Id="rId10" Type="http://schemas.openxmlformats.org/officeDocument/2006/relationships/chart" Target="charts/chart4.xm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chart" Target="charts/chart8.xml"/><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PC\Desktop\0.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PC\Desktop\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24037;&#20316;&#31807;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PC\Desktop\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file:///C:\Users\Lenovo\Desktop\&#19987;&#19994;&#36820;&#25968;-&#20844;&#25253;\&#25237;&#36164;\2020&#24180;&#28246;&#21271;&#30465;&#22269;&#27665;&#32463;&#27982;&#21644;&#31038;&#20250;&#21457;&#23637;&#32479;&#35745;&#20844;&#25253;-&#25237;&#36164;&#22270;&#34920;.xlsx" TargetMode="External"/></Relationships>
</file>

<file path=word/charts/_rels/chart6.xml.rels><?xml version="1.0" encoding="UTF-8" standalone="yes"?>
<Relationships xmlns="http://schemas.openxmlformats.org/package/2006/relationships"><Relationship Id="rId3" Type="http://schemas.openxmlformats.org/officeDocument/2006/relationships/chartUserShapes" Target="../drawings/drawing1.xml"/><Relationship Id="rId2" Type="http://schemas.openxmlformats.org/officeDocument/2006/relationships/oleObject" Target="file:///C:\Users\Lenovo\Desktop\&#19987;&#19994;&#36820;&#25968;-&#20844;&#25253;\&#20844;&#25253;2020&#65288;&#36152;&#32463;&#65289;0225&#26356;&#26032;\&#36152;&#32463;&#22270;&#34920;.xlsx" TargetMode="External"/><Relationship Id="rId1" Type="http://schemas.openxmlformats.org/officeDocument/2006/relationships/themeOverride" Target="../theme/themeOverride2.xml"/></Relationships>
</file>

<file path=word/charts/_rels/chart7.xml.rels><?xml version="1.0" encoding="UTF-8" standalone="yes"?>
<Relationships xmlns="http://schemas.openxmlformats.org/package/2006/relationships"><Relationship Id="rId3" Type="http://schemas.openxmlformats.org/officeDocument/2006/relationships/oleObject" Target="file:///G:\&#26700;&#38754;\9.6\2.xlsx" TargetMode="External"/><Relationship Id="rId2" Type="http://schemas.microsoft.com/office/2011/relationships/chartColorStyle" Target="colors6.xml"/><Relationship Id="rId1" Type="http://schemas.microsoft.com/office/2011/relationships/chartStyle" Target="style6.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Administrator\Desktop\4.xlsx" TargetMode="External"/><Relationship Id="rId2" Type="http://schemas.microsoft.com/office/2011/relationships/chartColorStyle" Target="colors7.xml"/><Relationship Id="rId1" Type="http://schemas.microsoft.com/office/2011/relationships/chartStyle" Target="style7.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PC\Desktop\&#23485;&#24102;.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'[0.xlsx]1地区生产总值（1-9）'!$C$3</c:f>
              <c:strCache>
                <c:ptCount val="1"/>
                <c:pt idx="0">
                  <c:v>Total (100 million yuan)</c:v>
                </c:pt>
              </c:strCache>
            </c:strRef>
          </c:tx>
          <c:spPr>
            <a:solidFill>
              <a:schemeClr val="accent1"/>
            </a:solidFill>
            <a:ln w="9525" cap="flat" cmpd="sng" algn="ctr">
              <a:noFill/>
              <a:round/>
            </a:ln>
            <a:effectLst>
              <a:innerShdw blurRad="63500" dist="50800" dir="16200000">
                <a:prstClr val="black">
                  <a:alpha val="50000"/>
                </a:prstClr>
              </a:innerShdw>
            </a:effectLst>
          </c:spPr>
          <c:invertIfNegative val="0"/>
          <c:dLbls>
            <c:dLbl>
              <c:idx val="0"/>
              <c:layout>
                <c:manualLayout>
                  <c:x val="0"/>
                  <c:y val="1.3289811144789001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B1B3-4150-899D-F1908D5CB496}"/>
                </c:ext>
                <c:ext xmlns:c15="http://schemas.microsoft.com/office/drawing/2012/chart" uri="{CE6537A1-D6FC-4f65-9D91-7224C49458BB}"/>
              </c:extLst>
            </c:dLbl>
            <c:dLbl>
              <c:idx val="1"/>
              <c:layout>
                <c:manualLayout>
                  <c:x val="0"/>
                  <c:y val="1.35229657262765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B1B3-4150-899D-F1908D5CB496}"/>
                </c:ext>
                <c:ext xmlns:c15="http://schemas.microsoft.com/office/drawing/2012/chart" uri="{CE6537A1-D6FC-4f65-9D91-7224C49458BB}"/>
              </c:extLst>
            </c:dLbl>
            <c:dLbl>
              <c:idx val="3"/>
              <c:layout>
                <c:manualLayout>
                  <c:x val="0"/>
                  <c:y val="1.18908836558638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B1B3-4150-899D-F1908D5CB496}"/>
                </c:ext>
                <c:ext xmlns:c15="http://schemas.microsoft.com/office/drawing/2012/chart" uri="{CE6537A1-D6FC-4f65-9D91-7224C49458BB}"/>
              </c:extLst>
            </c:dLbl>
            <c:dLbl>
              <c:idx val="4"/>
              <c:layout>
                <c:manualLayout>
                  <c:x val="0"/>
                  <c:y val="1.4921893215201701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B1B3-4150-899D-F1908D5CB496}"/>
                </c:ext>
                <c:ext xmlns:c15="http://schemas.microsoft.com/office/drawing/2012/chart" uri="{CE6537A1-D6FC-4f65-9D91-7224C49458BB}"/>
              </c:extLst>
            </c:dLbl>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solidFill>
                    <a:latin typeface="Times New Roman" charset="0"/>
                    <a:ea typeface="Times New Roman" charset="0"/>
                    <a:cs typeface="Times New Roman" charset="0"/>
                    <a:sym typeface="Times New Roman" charset="0"/>
                  </a:defRPr>
                </a:pPr>
                <a:endParaRPr lang="zh-CN"/>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'[0.xlsx]1地区生产总值（1-9）'!$A$4:$A$8</c:f>
              <c:numCache>
                <c:formatCode>General</c:formatCode>
                <c:ptCount val="5"/>
                <c:pt idx="0">
                  <c:v>2016</c:v>
                </c:pt>
                <c:pt idx="1">
                  <c:v>2017</c:v>
                </c:pt>
                <c:pt idx="2">
                  <c:v>2018</c:v>
                </c:pt>
                <c:pt idx="3">
                  <c:v>2019</c:v>
                </c:pt>
                <c:pt idx="4">
                  <c:v>2020</c:v>
                </c:pt>
              </c:numCache>
            </c:numRef>
          </c:cat>
          <c:val>
            <c:numRef>
              <c:f>'[0.xlsx]1地区生产总值（1-9）'!$C$4:$C$8</c:f>
              <c:numCache>
                <c:formatCode>0.00_ </c:formatCode>
                <c:ptCount val="5"/>
                <c:pt idx="0">
                  <c:v>33353</c:v>
                </c:pt>
                <c:pt idx="1">
                  <c:v>37235</c:v>
                </c:pt>
                <c:pt idx="2">
                  <c:v>42021.95</c:v>
                </c:pt>
                <c:pt idx="3">
                  <c:v>45428.959999999999</c:v>
                </c:pt>
                <c:pt idx="4">
                  <c:v>43443.460500000001</c:v>
                </c:pt>
              </c:numCache>
            </c:numRef>
          </c:val>
          <c:extLst xmlns:c16r2="http://schemas.microsoft.com/office/drawing/2015/06/chart">
            <c:ext xmlns:c16="http://schemas.microsoft.com/office/drawing/2014/chart" uri="{C3380CC4-5D6E-409C-BE32-E72D297353CC}">
              <c16:uniqueId val="{00000004-B1B3-4150-899D-F1908D5CB496}"/>
            </c:ext>
          </c:extLst>
        </c:ser>
        <c:dLbls>
          <c:showLegendKey val="0"/>
          <c:showVal val="1"/>
          <c:showCatName val="0"/>
          <c:showSerName val="0"/>
          <c:showPercent val="0"/>
          <c:showBubbleSize val="0"/>
        </c:dLbls>
        <c:gapWidth val="150"/>
        <c:axId val="853374408"/>
        <c:axId val="857829616"/>
      </c:barChart>
      <c:lineChart>
        <c:grouping val="stacked"/>
        <c:varyColors val="0"/>
        <c:ser>
          <c:idx val="1"/>
          <c:order val="1"/>
          <c:tx>
            <c:strRef>
              <c:f>'[0.xlsx]1地区生产总值（1-9）'!$B$3</c:f>
              <c:strCache>
                <c:ptCount val="1"/>
                <c:pt idx="0">
                  <c:v>Growth (%)</c:v>
                </c:pt>
              </c:strCache>
            </c:strRef>
          </c:tx>
          <c:spPr>
            <a:ln w="15875" cap="rnd">
              <a:solidFill>
                <a:srgbClr val="FF0000"/>
              </a:solidFill>
              <a:round/>
            </a:ln>
            <a:effectLst>
              <a:outerShdw blurRad="40000" dist="20000" dir="5400000" rotWithShape="0">
                <a:srgbClr val="000000">
                  <a:alpha val="38000"/>
                </a:srgbClr>
              </a:outerShdw>
            </a:effectLst>
          </c:spPr>
          <c:marker>
            <c:symbol val="circle"/>
            <c:size val="5"/>
            <c:spPr>
              <a:gradFill rotWithShape="1">
                <a:gsLst>
                  <a:gs pos="20000">
                    <a:schemeClr val="accent2">
                      <a:tint val="50000"/>
                      <a:satMod val="300000"/>
                      <a:alpha val="100000"/>
                    </a:schemeClr>
                  </a:gs>
                  <a:gs pos="35000">
                    <a:schemeClr val="accent2">
                      <a:tint val="37000"/>
                      <a:satMod val="300000"/>
                    </a:schemeClr>
                  </a:gs>
                  <a:gs pos="100000">
                    <a:schemeClr val="accent2">
                      <a:tint val="15000"/>
                      <a:satMod val="350000"/>
                    </a:schemeClr>
                  </a:gs>
                </a:gsLst>
                <a:lin ang="15120000" scaled="1"/>
              </a:gradFill>
              <a:ln w="9525" cap="flat" cmpd="sng" algn="ctr">
                <a:solidFill>
                  <a:schemeClr val="accent2">
                    <a:shade val="95000"/>
                  </a:schemeClr>
                </a:solidFill>
                <a:round/>
              </a:ln>
              <a:effectLst>
                <a:outerShdw blurRad="40000" dist="20000" dir="5400000" rotWithShape="0">
                  <a:srgbClr val="000000">
                    <a:alpha val="38000"/>
                  </a:srgbClr>
                </a:outerShdw>
              </a:effectLst>
            </c:spPr>
          </c:marker>
          <c:dLbls>
            <c:dLbl>
              <c:idx val="0"/>
              <c:layout>
                <c:manualLayout>
                  <c:x val="-1.83664950605259E-2"/>
                  <c:y val="-3.3333333333333298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B1B3-4150-899D-F1908D5CB496}"/>
                </c:ext>
                <c:ext xmlns:c15="http://schemas.microsoft.com/office/drawing/2012/chart" uri="{CE6537A1-D6FC-4f65-9D91-7224C49458BB}"/>
              </c:extLst>
            </c:dLbl>
            <c:dLbl>
              <c:idx val="1"/>
              <c:layout>
                <c:manualLayout>
                  <c:x val="-2.0871017114233999E-2"/>
                  <c:y val="-3.7857142857142902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B1B3-4150-899D-F1908D5CB496}"/>
                </c:ext>
                <c:ext xmlns:c15="http://schemas.microsoft.com/office/drawing/2012/chart" uri="{CE6537A1-D6FC-4f65-9D91-7224C49458BB}"/>
              </c:extLst>
            </c:dLbl>
            <c:dLbl>
              <c:idx val="2"/>
              <c:layout>
                <c:manualLayout>
                  <c:x val="1.4663304161412705E-2"/>
                  <c:y val="4.01025880158545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7-B1B3-4150-899D-F1908D5CB496}"/>
                </c:ext>
                <c:ext xmlns:c15="http://schemas.microsoft.com/office/drawing/2012/chart" uri="{CE6537A1-D6FC-4f65-9D91-7224C49458BB}">
                  <c15:layout>
                    <c:manualLayout>
                      <c:w val="4.2134831460674156E-2"/>
                      <c:h val="6.5739110197432213E-2"/>
                    </c:manualLayout>
                  </c15:layout>
                </c:ext>
              </c:extLst>
            </c:dLbl>
            <c:dLbl>
              <c:idx val="3"/>
              <c:layout>
                <c:manualLayout>
                  <c:x val="1.5722832892722999E-2"/>
                  <c:y val="2.1428571428571399E-3"/>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8-B1B3-4150-899D-F1908D5CB496}"/>
                </c:ext>
                <c:ext xmlns:c15="http://schemas.microsoft.com/office/drawing/2012/chart" uri="{CE6537A1-D6FC-4f65-9D91-7224C49458BB}"/>
              </c:extLst>
            </c:dLbl>
            <c:dLbl>
              <c:idx val="4"/>
              <c:layout>
                <c:manualLayout>
                  <c:x val="1.16877695839711E-2"/>
                  <c:y val="0"/>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9-B1B3-4150-899D-F1908D5CB496}"/>
                </c:ext>
                <c:ext xmlns:c15="http://schemas.microsoft.com/office/drawing/2012/chart" uri="{CE6537A1-D6FC-4f65-9D91-7224C49458BB}"/>
              </c:extLst>
            </c:dLbl>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solidFill>
                    <a:latin typeface="Times New Roman" charset="0"/>
                    <a:ea typeface="Times New Roman" charset="0"/>
                    <a:cs typeface="Times New Roman" charset="0"/>
                    <a:sym typeface="Times New Roman" charset="0"/>
                  </a:defRPr>
                </a:pPr>
                <a:endParaRPr lang="zh-CN"/>
              </a:p>
            </c:txPr>
            <c:dLblPos val="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numRef>
              <c:f>'[0.xlsx]1地区生产总值（1-9）'!$A$4:$A$8</c:f>
              <c:numCache>
                <c:formatCode>General</c:formatCode>
                <c:ptCount val="5"/>
                <c:pt idx="0">
                  <c:v>2016</c:v>
                </c:pt>
                <c:pt idx="1">
                  <c:v>2017</c:v>
                </c:pt>
                <c:pt idx="2">
                  <c:v>2018</c:v>
                </c:pt>
                <c:pt idx="3">
                  <c:v>2019</c:v>
                </c:pt>
                <c:pt idx="4">
                  <c:v>2020</c:v>
                </c:pt>
              </c:numCache>
            </c:numRef>
          </c:cat>
          <c:val>
            <c:numRef>
              <c:f>'[0.xlsx]1地区生产总值（1-9）'!$B$4:$B$8</c:f>
              <c:numCache>
                <c:formatCode>0.0_ </c:formatCode>
                <c:ptCount val="5"/>
                <c:pt idx="0">
                  <c:v>8.0999999999999908</c:v>
                </c:pt>
                <c:pt idx="1">
                  <c:v>7.8</c:v>
                </c:pt>
                <c:pt idx="2">
                  <c:v>7.8</c:v>
                </c:pt>
                <c:pt idx="3">
                  <c:v>7.2500053710730299</c:v>
                </c:pt>
                <c:pt idx="4">
                  <c:v>-5</c:v>
                </c:pt>
              </c:numCache>
            </c:numRef>
          </c:val>
          <c:smooth val="0"/>
          <c:extLst xmlns:c16r2="http://schemas.microsoft.com/office/drawing/2015/06/chart">
            <c:ext xmlns:c16="http://schemas.microsoft.com/office/drawing/2014/chart" uri="{C3380CC4-5D6E-409C-BE32-E72D297353CC}">
              <c16:uniqueId val="{0000000A-B1B3-4150-899D-F1908D5CB496}"/>
            </c:ext>
          </c:extLst>
        </c:ser>
        <c:dLbls>
          <c:showLegendKey val="0"/>
          <c:showVal val="0"/>
          <c:showCatName val="0"/>
          <c:showSerName val="0"/>
          <c:showPercent val="0"/>
          <c:showBubbleSize val="0"/>
        </c:dLbls>
        <c:marker val="1"/>
        <c:smooth val="0"/>
        <c:axId val="857829224"/>
        <c:axId val="857828832"/>
        <c:extLst xmlns:c16r2="http://schemas.microsoft.com/office/drawing/2015/06/chart">
          <c:ext xmlns:c15="http://schemas.microsoft.com/office/drawing/2012/chart" uri="{02D57815-91ED-43cb-92C2-25804820EDAC}">
            <c15:filteredLineSeries>
              <c15:ser>
                <c:idx val="2"/>
                <c:order val="2"/>
                <c:tx>
                  <c:strRef>
                    <c:extLst xmlns:c16r2="http://schemas.microsoft.com/office/drawing/2015/06/chart">
                      <c:ext uri="{02D57815-91ED-43cb-92C2-25804820EDAC}">
                        <c15:formulaRef>
                          <c15:sqref>"年份"</c15:sqref>
                        </c15:formulaRef>
                      </c:ext>
                    </c:extLst>
                    <c:strCache>
                      <c:ptCount val="1"/>
                      <c:pt idx="0">
                        <c:v>年份</c:v>
                      </c:pt>
                    </c:strCache>
                  </c:strRef>
                </c:tx>
                <c:spPr>
                  <a:ln w="15875" cap="rnd">
                    <a:solidFill>
                      <a:schemeClr val="accent3"/>
                    </a:solidFill>
                    <a:round/>
                  </a:ln>
                  <a:effectLst>
                    <a:outerShdw blurRad="40000" dist="20000" dir="5400000" rotWithShape="0">
                      <a:srgbClr val="000000">
                        <a:alpha val="38000"/>
                      </a:srgbClr>
                    </a:outerShdw>
                  </a:effectLst>
                </c:spPr>
                <c:marker>
                  <c:symbol val="circle"/>
                  <c:size val="5"/>
                  <c:spPr>
                    <a:gradFill rotWithShape="1">
                      <a:gsLst>
                        <a:gs pos="0">
                          <a:schemeClr val="accent3">
                            <a:tint val="50000"/>
                            <a:satMod val="300000"/>
                          </a:schemeClr>
                        </a:gs>
                        <a:gs pos="35000">
                          <a:schemeClr val="accent3">
                            <a:tint val="37000"/>
                            <a:satMod val="300000"/>
                          </a:schemeClr>
                        </a:gs>
                        <a:gs pos="100000">
                          <a:schemeClr val="accent3">
                            <a:tint val="15000"/>
                            <a:satMod val="350000"/>
                          </a:schemeClr>
                        </a:gs>
                      </a:gsLst>
                      <a:lin ang="16200000" scaled="1"/>
                    </a:gradFill>
                    <a:ln w="9525" cap="flat" cmpd="sng" algn="ctr">
                      <a:solidFill>
                        <a:schemeClr val="accent3">
                          <a:shade val="95000"/>
                        </a:schemeClr>
                      </a:solidFill>
                      <a:round/>
                    </a:ln>
                    <a:effectLst>
                      <a:outerShdw blurRad="40000" dist="20000" dir="5400000" rotWithShape="0">
                        <a:srgbClr val="000000">
                          <a:alpha val="38000"/>
                        </a:srgbClr>
                      </a:outerShdw>
                    </a:effectLst>
                  </c:spPr>
                </c:marker>
                <c:cat>
                  <c:numRef>
                    <c:extLst xmlns:c16r2="http://schemas.microsoft.com/office/drawing/2015/06/chart">
                      <c:ext uri="{02D57815-91ED-43cb-92C2-25804820EDAC}">
                        <c15:formulaRef>
                          <c15:sqref>'[0.xlsx]1地区生产总值（1-9）'!$A$4:$A$8</c15:sqref>
                        </c15:formulaRef>
                      </c:ext>
                    </c:extLst>
                    <c:numCache>
                      <c:formatCode>General</c:formatCode>
                      <c:ptCount val="5"/>
                      <c:pt idx="0">
                        <c:v>2016</c:v>
                      </c:pt>
                      <c:pt idx="1">
                        <c:v>2017</c:v>
                      </c:pt>
                      <c:pt idx="2">
                        <c:v>2018</c:v>
                      </c:pt>
                      <c:pt idx="3">
                        <c:v>2019</c:v>
                      </c:pt>
                      <c:pt idx="4">
                        <c:v>2020</c:v>
                      </c:pt>
                    </c:numCache>
                  </c:numRef>
                </c:cat>
                <c:val>
                  <c:numRef>
                    <c:extLst xmlns:c16r2="http://schemas.microsoft.com/office/drawing/2015/06/chart">
                      <c:ext uri="{02D57815-91ED-43cb-92C2-25804820EDAC}">
                        <c15:formulaRef>
                          <c15:sqref>{1}</c15:sqref>
                        </c15:formulaRef>
                      </c:ext>
                    </c:extLst>
                    <c:numCache>
                      <c:formatCode>General</c:formatCode>
                      <c:ptCount val="1"/>
                      <c:pt idx="0">
                        <c:v>1</c:v>
                      </c:pt>
                    </c:numCache>
                  </c:numRef>
                </c:val>
                <c:smooth val="0"/>
                <c:extLst xmlns:c16r2="http://schemas.microsoft.com/office/drawing/2015/06/chart">
                  <c:ext xmlns:c16="http://schemas.microsoft.com/office/drawing/2014/chart" uri="{C3380CC4-5D6E-409C-BE32-E72D297353CC}">
                    <c16:uniqueId val="{0000000B-B1B3-4150-899D-F1908D5CB496}"/>
                  </c:ext>
                </c:extLst>
              </c15:ser>
            </c15:filteredLineSeries>
          </c:ext>
        </c:extLst>
      </c:lineChart>
      <c:catAx>
        <c:axId val="853374408"/>
        <c:scaling>
          <c:orientation val="minMax"/>
        </c:scaling>
        <c:delete val="0"/>
        <c:axPos val="b"/>
        <c:numFmt formatCode="General" sourceLinked="0"/>
        <c:majorTickMark val="none"/>
        <c:minorTickMark val="none"/>
        <c:tickLblPos val="nextTo"/>
        <c:spPr>
          <a:noFill/>
          <a:ln w="9525" cap="flat" cmpd="sng" algn="ctr">
            <a:noFill/>
            <a:round/>
          </a:ln>
          <a:effectLst/>
        </c:spPr>
        <c:txPr>
          <a:bodyPr rot="-60000000" spcFirstLastPara="0" vertOverflow="ellipsis" vert="horz" wrap="square" anchor="ctr" anchorCtr="1"/>
          <a:lstStyle/>
          <a:p>
            <a:pPr>
              <a:defRPr lang="zh-CN" sz="900" b="0" i="0" u="none" strike="noStrike" kern="1200" baseline="0">
                <a:solidFill>
                  <a:schemeClr val="tx1"/>
                </a:solidFill>
                <a:latin typeface="Times New Roman" charset="0"/>
                <a:ea typeface="Times New Roman" charset="0"/>
                <a:cs typeface="Times New Roman" charset="0"/>
                <a:sym typeface="Times New Roman" charset="0"/>
              </a:defRPr>
            </a:pPr>
            <a:endParaRPr lang="zh-CN"/>
          </a:p>
        </c:txPr>
        <c:crossAx val="857829616"/>
        <c:crosses val="autoZero"/>
        <c:auto val="1"/>
        <c:lblAlgn val="ctr"/>
        <c:lblOffset val="100"/>
        <c:noMultiLvlLbl val="0"/>
      </c:catAx>
      <c:valAx>
        <c:axId val="857829616"/>
        <c:scaling>
          <c:orientation val="minMax"/>
        </c:scaling>
        <c:delete val="0"/>
        <c:axPos val="l"/>
        <c:numFmt formatCode="0.00_ " sourceLinked="1"/>
        <c:majorTickMark val="in"/>
        <c:minorTickMark val="none"/>
        <c:tickLblPos val="nextTo"/>
        <c:spPr>
          <a:noFill/>
          <a:ln>
            <a:solidFill>
              <a:schemeClr val="accent1"/>
            </a:solidFill>
          </a:ln>
          <a:effectLst/>
        </c:spPr>
        <c:txPr>
          <a:bodyPr rot="-60000000" spcFirstLastPara="0" vertOverflow="ellipsis" vert="horz" wrap="square" anchor="ctr" anchorCtr="1"/>
          <a:lstStyle/>
          <a:p>
            <a:pPr>
              <a:defRPr lang="zh-CN" sz="900" b="0" i="0" u="none" strike="noStrike" kern="1200" baseline="0">
                <a:solidFill>
                  <a:schemeClr val="tx1"/>
                </a:solidFill>
                <a:latin typeface="Times New Roman" charset="0"/>
                <a:ea typeface="Times New Roman" charset="0"/>
                <a:cs typeface="Times New Roman" charset="0"/>
                <a:sym typeface="Times New Roman" charset="0"/>
              </a:defRPr>
            </a:pPr>
            <a:endParaRPr lang="zh-CN"/>
          </a:p>
        </c:txPr>
        <c:crossAx val="853374408"/>
        <c:crosses val="autoZero"/>
        <c:crossBetween val="between"/>
      </c:valAx>
      <c:catAx>
        <c:axId val="857829224"/>
        <c:scaling>
          <c:orientation val="minMax"/>
        </c:scaling>
        <c:delete val="1"/>
        <c:axPos val="t"/>
        <c:numFmt formatCode="General" sourceLinked="1"/>
        <c:majorTickMark val="out"/>
        <c:minorTickMark val="none"/>
        <c:tickLblPos val="nextTo"/>
        <c:crossAx val="857828832"/>
        <c:crosses val="max"/>
        <c:auto val="1"/>
        <c:lblAlgn val="ctr"/>
        <c:lblOffset val="100"/>
        <c:noMultiLvlLbl val="0"/>
      </c:catAx>
      <c:valAx>
        <c:axId val="857828832"/>
        <c:scaling>
          <c:orientation val="minMax"/>
        </c:scaling>
        <c:delete val="0"/>
        <c:axPos val="r"/>
        <c:numFmt formatCode="General" sourceLinked="0"/>
        <c:majorTickMark val="in"/>
        <c:minorTickMark val="none"/>
        <c:tickLblPos val="nextTo"/>
        <c:spPr>
          <a:noFill/>
          <a:ln>
            <a:solidFill>
              <a:schemeClr val="accent1"/>
            </a:solidFill>
          </a:ln>
          <a:effectLst/>
        </c:spPr>
        <c:txPr>
          <a:bodyPr rot="-60000000" spcFirstLastPara="0" vertOverflow="ellipsis" vert="horz" wrap="square" anchor="ctr" anchorCtr="1"/>
          <a:lstStyle/>
          <a:p>
            <a:pPr>
              <a:defRPr lang="zh-CN" sz="900" b="0" i="0" u="none" strike="noStrike" kern="1200" baseline="0">
                <a:solidFill>
                  <a:schemeClr val="tx1"/>
                </a:solidFill>
                <a:latin typeface="Times New Roman" charset="0"/>
                <a:ea typeface="Times New Roman" charset="0"/>
                <a:cs typeface="Times New Roman" charset="0"/>
                <a:sym typeface="Times New Roman" charset="0"/>
              </a:defRPr>
            </a:pPr>
            <a:endParaRPr lang="zh-CN"/>
          </a:p>
        </c:txPr>
        <c:crossAx val="857829224"/>
        <c:crosses val="max"/>
        <c:crossBetween val="between"/>
      </c:valAx>
      <c:spPr>
        <a:noFill/>
        <a:ln>
          <a:solidFill>
            <a:schemeClr val="accent1"/>
          </a:solidFill>
        </a:ln>
        <a:effectLst/>
      </c:spPr>
    </c:plotArea>
    <c:legend>
      <c:legendPos val="b"/>
      <c:legendEntry>
        <c:idx val="0"/>
        <c:txPr>
          <a:bodyPr rot="0" spcFirstLastPara="0" vertOverflow="ellipsis" vert="horz" wrap="square" anchor="ctr" anchorCtr="1"/>
          <a:lstStyle/>
          <a:p>
            <a:pPr>
              <a:defRPr lang="zh-CN" sz="900" b="0" i="0" u="none" strike="noStrike" kern="1200" baseline="0">
                <a:solidFill>
                  <a:schemeClr val="tx1"/>
                </a:solidFill>
                <a:latin typeface="Times New Roman" charset="0"/>
                <a:ea typeface="Times New Roman" charset="0"/>
                <a:cs typeface="Times New Roman" charset="0"/>
                <a:sym typeface="Times New Roman" charset="0"/>
              </a:defRPr>
            </a:pPr>
            <a:endParaRPr lang="zh-CN"/>
          </a:p>
        </c:txPr>
      </c:legendEntry>
      <c:legendEntry>
        <c:idx val="1"/>
        <c:txPr>
          <a:bodyPr rot="0" spcFirstLastPara="0" vertOverflow="ellipsis" vert="horz" wrap="square" anchor="ctr" anchorCtr="1"/>
          <a:lstStyle/>
          <a:p>
            <a:pPr>
              <a:defRPr lang="zh-CN" sz="900" b="0" i="0" u="none" strike="noStrike" kern="1200" baseline="0">
                <a:solidFill>
                  <a:schemeClr val="tx1"/>
                </a:solidFill>
                <a:latin typeface="Times New Roman" charset="0"/>
                <a:ea typeface="Times New Roman" charset="0"/>
                <a:cs typeface="Times New Roman" charset="0"/>
                <a:sym typeface="Times New Roman" charset="0"/>
              </a:defRPr>
            </a:pPr>
            <a:endParaRPr lang="zh-CN"/>
          </a:p>
        </c:txPr>
      </c:legendEntry>
      <c:overlay val="0"/>
      <c:spPr>
        <a:noFill/>
        <a:ln>
          <a:noFill/>
        </a:ln>
        <a:effectLst/>
      </c:spPr>
      <c:txPr>
        <a:bodyPr rot="0" spcFirstLastPara="0" vertOverflow="ellipsis" vert="horz" wrap="square" anchor="ctr" anchorCtr="1"/>
        <a:lstStyle/>
        <a:p>
          <a:pPr>
            <a:defRPr lang="zh-CN" sz="900" b="0" i="0" u="none" strike="noStrike" kern="1200" baseline="0">
              <a:solidFill>
                <a:schemeClr val="tx1"/>
              </a:solidFill>
              <a:latin typeface="Times New Roman" charset="0"/>
              <a:ea typeface="Times New Roman" charset="0"/>
              <a:cs typeface="Times New Roman" charset="0"/>
              <a:sym typeface="Times New Roman" charset="0"/>
            </a:defRPr>
          </a:pPr>
          <a:endParaRPr lang="zh-CN"/>
        </a:p>
      </c:txPr>
    </c:legend>
    <c:plotVisOnly val="1"/>
    <c:dispBlanksAs val="gap"/>
    <c:showDLblsOverMax val="0"/>
  </c:chart>
  <c:spPr>
    <a:solidFill>
      <a:schemeClr val="bg1"/>
    </a:solidFill>
    <a:ln w="28575" cap="flat" cmpd="sng" algn="ctr">
      <a:noFill/>
      <a:prstDash val="solid"/>
      <a:round/>
    </a:ln>
    <a:effectLst/>
  </c:spPr>
  <c:txPr>
    <a:bodyPr/>
    <a:lstStyle/>
    <a:p>
      <a:pPr>
        <a:defRPr lang="zh-CN">
          <a:latin typeface="Times New Roman" charset="0"/>
          <a:ea typeface="Times New Roman" charset="0"/>
          <a:cs typeface="Times New Roman" charset="0"/>
          <a:sym typeface="Times New Roman" charset="0"/>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900" b="0" i="0" u="none" strike="noStrike" kern="1200" spc="0" baseline="0">
                <a:solidFill>
                  <a:schemeClr val="tx1">
                    <a:lumMod val="65000"/>
                    <a:lumOff val="35000"/>
                  </a:schemeClr>
                </a:solidFill>
                <a:latin typeface="Times New Roman" charset="0"/>
                <a:ea typeface="Times New Roman" charset="0"/>
                <a:cs typeface="Times New Roman" charset="0"/>
                <a:sym typeface="Times New Roman" charset="0"/>
              </a:defRPr>
            </a:pPr>
            <a:r>
              <a:rPr lang="en-US" altLang="zh-CN" sz="900">
                <a:solidFill>
                  <a:schemeClr val="tx1"/>
                </a:solidFill>
                <a:latin typeface="Times New Roman" charset="0"/>
                <a:ea typeface="Times New Roman" charset="0"/>
                <a:cs typeface="Times New Roman" charset="0"/>
                <a:sym typeface="Times New Roman" charset="0"/>
              </a:rPr>
              <a:t>10 000 </a:t>
            </a:r>
            <a:r>
              <a:rPr lang="en-US" altLang="zh-CN" sz="900">
                <a:solidFill>
                  <a:schemeClr val="tx1"/>
                </a:solidFill>
                <a:latin typeface="Times New Roman" charset="0"/>
                <a:ea typeface="宋体" charset="-122"/>
                <a:cs typeface="Times New Roman" charset="0"/>
                <a:sym typeface="Times New Roman" charset="0"/>
              </a:rPr>
              <a:t>peoples</a:t>
            </a:r>
          </a:p>
        </c:rich>
      </c:tx>
      <c:layout>
        <c:manualLayout>
          <c:xMode val="edge"/>
          <c:yMode val="edge"/>
          <c:x val="2.0254629629629602E-2"/>
          <c:y val="3.3970555993971099E-2"/>
        </c:manualLayout>
      </c:layout>
      <c:overlay val="0"/>
      <c:spPr>
        <a:noFill/>
        <a:ln>
          <a:noFill/>
        </a:ln>
        <a:effectLst/>
      </c:spPr>
      <c:txPr>
        <a:bodyPr rot="0" spcFirstLastPara="0" vertOverflow="ellipsis" vert="horz" wrap="square" anchor="ctr" anchorCtr="1"/>
        <a:lstStyle/>
        <a:p>
          <a:pPr defTabSz="914400">
            <a:defRPr lang="zh-CN" sz="900" b="0" i="0" u="none" strike="noStrike" kern="1200" spc="0" baseline="0">
              <a:solidFill>
                <a:schemeClr val="tx1">
                  <a:lumMod val="65000"/>
                  <a:lumOff val="35000"/>
                </a:schemeClr>
              </a:solidFill>
              <a:latin typeface="Times New Roman" charset="0"/>
              <a:ea typeface="Times New Roman" charset="0"/>
              <a:cs typeface="Times New Roman" charset="0"/>
              <a:sym typeface="Times New Roman" charset="0"/>
            </a:defRPr>
          </a:pPr>
          <a:endParaRPr lang="zh-CN"/>
        </a:p>
      </c:txPr>
    </c:title>
    <c:autoTitleDeleted val="0"/>
    <c:plotArea>
      <c:layout/>
      <c:barChart>
        <c:barDir val="col"/>
        <c:grouping val="clustered"/>
        <c:varyColors val="0"/>
        <c:ser>
          <c:idx val="0"/>
          <c:order val="0"/>
          <c:tx>
            <c:strRef>
              <c:f>[1.xlsx]Sheet2!$B$2</c:f>
              <c:strCache>
                <c:ptCount val="1"/>
                <c:pt idx="0">
                  <c:v>减贫人数</c:v>
                </c:pt>
              </c:strCache>
            </c:strRef>
          </c:tx>
          <c:spPr>
            <a:solidFill>
              <a:schemeClr val="accent1"/>
            </a:solidFill>
            <a:ln>
              <a:noFill/>
            </a:ln>
            <a:effectLst>
              <a:innerShdw blurRad="63500" dist="50800" dir="16200000">
                <a:prstClr val="black">
                  <a:alpha val="50000"/>
                </a:prstClr>
              </a:innerShdw>
            </a:effectLst>
          </c:spPr>
          <c:invertIfNegative val="0"/>
          <c:dLbls>
            <c:dLbl>
              <c:idx val="0"/>
              <c:layout>
                <c:manualLayout>
                  <c:x val="0"/>
                  <c:y val="1.17279124315872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F229-4FF7-BBE4-1723D2D3A77C}"/>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Times New Roman" charset="0"/>
                    <a:ea typeface="Times New Roman" charset="0"/>
                    <a:cs typeface="Times New Roman" charset="0"/>
                    <a:sym typeface="Times New Roman" charset="0"/>
                  </a:defRPr>
                </a:pPr>
                <a:endParaRPr lang="zh-CN"/>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[1.xlsx]Sheet2!$A$3:$A$7</c:f>
              <c:numCache>
                <c:formatCode>General</c:formatCode>
                <c:ptCount val="5"/>
                <c:pt idx="0">
                  <c:v>2016</c:v>
                </c:pt>
                <c:pt idx="1">
                  <c:v>2017</c:v>
                </c:pt>
                <c:pt idx="2">
                  <c:v>2018</c:v>
                </c:pt>
                <c:pt idx="3">
                  <c:v>2019</c:v>
                </c:pt>
                <c:pt idx="4">
                  <c:v>2020</c:v>
                </c:pt>
              </c:numCache>
            </c:numRef>
          </c:cat>
          <c:val>
            <c:numRef>
              <c:f>[1.xlsx]Sheet2!$B$3:$B$7</c:f>
              <c:numCache>
                <c:formatCode>General</c:formatCode>
                <c:ptCount val="5"/>
                <c:pt idx="0">
                  <c:v>90.64</c:v>
                </c:pt>
                <c:pt idx="1">
                  <c:v>91.86</c:v>
                </c:pt>
                <c:pt idx="2">
                  <c:v>91.96</c:v>
                </c:pt>
                <c:pt idx="3">
                  <c:v>92.15</c:v>
                </c:pt>
                <c:pt idx="4">
                  <c:v>75.180000000000007</c:v>
                </c:pt>
              </c:numCache>
            </c:numRef>
          </c:val>
          <c:extLst xmlns:c16r2="http://schemas.microsoft.com/office/drawing/2015/06/chart">
            <c:ext xmlns:c16="http://schemas.microsoft.com/office/drawing/2014/chart" uri="{C3380CC4-5D6E-409C-BE32-E72D297353CC}">
              <c16:uniqueId val="{00000001-F229-4FF7-BBE4-1723D2D3A77C}"/>
            </c:ext>
          </c:extLst>
        </c:ser>
        <c:dLbls>
          <c:showLegendKey val="0"/>
          <c:showVal val="1"/>
          <c:showCatName val="0"/>
          <c:showSerName val="0"/>
          <c:showPercent val="0"/>
          <c:showBubbleSize val="0"/>
        </c:dLbls>
        <c:gapWidth val="219"/>
        <c:overlap val="-27"/>
        <c:axId val="476977400"/>
        <c:axId val="476977792"/>
      </c:barChart>
      <c:catAx>
        <c:axId val="476977400"/>
        <c:scaling>
          <c:orientation val="minMax"/>
        </c:scaling>
        <c:delete val="0"/>
        <c:axPos val="b"/>
        <c:numFmt formatCode="General" sourceLinked="0"/>
        <c:majorTickMark val="in"/>
        <c:minorTickMark val="none"/>
        <c:tickLblPos val="nextTo"/>
        <c:spPr>
          <a:noFill/>
          <a:ln w="9525" cap="flat" cmpd="sng" algn="ctr">
            <a:solidFill>
              <a:schemeClr val="accent1"/>
            </a:solidFill>
            <a:round/>
          </a:ln>
          <a:effectLst/>
        </c:spPr>
        <c:txPr>
          <a:bodyPr rot="-60000000" spcFirstLastPara="0" vertOverflow="ellipsis" vert="horz" wrap="square" anchor="ctr" anchorCtr="1"/>
          <a:lstStyle/>
          <a:p>
            <a:pPr>
              <a:defRPr lang="zh-CN" sz="900" b="0" i="0" u="none" strike="noStrike" kern="1200" baseline="0">
                <a:solidFill>
                  <a:schemeClr val="tx1"/>
                </a:solidFill>
                <a:latin typeface="Times New Roman" charset="0"/>
                <a:ea typeface="Times New Roman" charset="0"/>
                <a:cs typeface="Times New Roman" charset="0"/>
                <a:sym typeface="Times New Roman" charset="0"/>
              </a:defRPr>
            </a:pPr>
            <a:endParaRPr lang="zh-CN"/>
          </a:p>
        </c:txPr>
        <c:crossAx val="476977792"/>
        <c:crosses val="autoZero"/>
        <c:auto val="1"/>
        <c:lblAlgn val="ctr"/>
        <c:lblOffset val="100"/>
        <c:noMultiLvlLbl val="0"/>
      </c:catAx>
      <c:valAx>
        <c:axId val="476977792"/>
        <c:scaling>
          <c:orientation val="minMax"/>
          <c:max val="110"/>
          <c:min val="0"/>
        </c:scaling>
        <c:delete val="0"/>
        <c:axPos val="l"/>
        <c:numFmt formatCode="#,##0.00_);[Red]\(#,##0.00\)" sourceLinked="0"/>
        <c:majorTickMark val="out"/>
        <c:minorTickMark val="none"/>
        <c:tickLblPos val="nextTo"/>
        <c:spPr>
          <a:noFill/>
          <a:ln>
            <a:solidFill>
              <a:schemeClr val="accent1"/>
            </a:solidFill>
          </a:ln>
          <a:effectLst/>
        </c:spPr>
        <c:txPr>
          <a:bodyPr rot="-60000000" spcFirstLastPara="0" vertOverflow="ellipsis" vert="horz" wrap="square" anchor="ctr" anchorCtr="1"/>
          <a:lstStyle/>
          <a:p>
            <a:pPr>
              <a:defRPr lang="zh-CN" sz="900" b="0" i="0" u="none" strike="noStrike" kern="1200" baseline="0">
                <a:solidFill>
                  <a:schemeClr val="tx1"/>
                </a:solidFill>
                <a:latin typeface="Times New Roman" charset="0"/>
                <a:ea typeface="Times New Roman" charset="0"/>
                <a:cs typeface="Times New Roman" charset="0"/>
                <a:sym typeface="Times New Roman" charset="0"/>
              </a:defRPr>
            </a:pPr>
            <a:endParaRPr lang="zh-CN"/>
          </a:p>
        </c:txPr>
        <c:crossAx val="476977400"/>
        <c:crosses val="autoZero"/>
        <c:crossBetween val="between"/>
        <c:majorUnit val="10"/>
      </c:valAx>
      <c:spPr>
        <a:noFill/>
        <a:ln>
          <a:solidFill>
            <a:schemeClr val="accent1"/>
          </a:solidFill>
        </a:ln>
        <a:effectLst/>
      </c:spPr>
    </c:plotArea>
    <c:plotVisOnly val="1"/>
    <c:dispBlanksAs val="gap"/>
    <c:showDLblsOverMax val="0"/>
  </c:chart>
  <c:spPr>
    <a:solidFill>
      <a:schemeClr val="bg1"/>
    </a:solidFill>
    <a:ln w="9525" cap="flat" cmpd="sng" algn="ctr">
      <a:noFill/>
      <a:round/>
    </a:ln>
    <a:effectLst/>
  </c:spPr>
  <c:txPr>
    <a:bodyPr/>
    <a:lstStyle/>
    <a:p>
      <a:pPr>
        <a:defRPr lang="zh-CN" sz="900">
          <a:latin typeface="Times New Roman" charset="0"/>
          <a:ea typeface="Times New Roman" charset="0"/>
          <a:cs typeface="Times New Roman" charset="0"/>
          <a:sym typeface="Times New Roman" charset="0"/>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080" b="0" i="0" u="none" strike="noStrike" kern="1200" spc="0" baseline="0">
                <a:solidFill>
                  <a:schemeClr val="tx1">
                    <a:lumMod val="65000"/>
                    <a:lumOff val="35000"/>
                  </a:schemeClr>
                </a:solidFill>
                <a:latin typeface="Times New Roman" charset="0"/>
                <a:ea typeface="Times New Roman" charset="0"/>
                <a:cs typeface="Times New Roman" charset="0"/>
                <a:sym typeface="Times New Roman" charset="0"/>
              </a:defRPr>
            </a:pPr>
            <a:r>
              <a:rPr lang="en-US" altLang="zh-CN" sz="900">
                <a:solidFill>
                  <a:schemeClr val="tx1"/>
                </a:solidFill>
                <a:latin typeface="Times New Roman" charset="0"/>
                <a:ea typeface="Times New Roman" charset="0"/>
                <a:cs typeface="Times New Roman" charset="0"/>
                <a:sym typeface="Times New Roman" charset="0"/>
              </a:rPr>
              <a:t>10 000 peoples</a:t>
            </a:r>
          </a:p>
        </c:rich>
      </c:tx>
      <c:layout>
        <c:manualLayout>
          <c:xMode val="edge"/>
          <c:yMode val="edge"/>
          <c:x val="5.0925925925925904E-3"/>
          <c:y val="3.8818201423334003E-2"/>
        </c:manualLayout>
      </c:layout>
      <c:overlay val="0"/>
      <c:spPr>
        <a:noFill/>
        <a:ln>
          <a:noFill/>
        </a:ln>
        <a:effectLst/>
      </c:spPr>
      <c:txPr>
        <a:bodyPr rot="0" spcFirstLastPara="0" vertOverflow="ellipsis" vert="horz" wrap="square" anchor="ctr" anchorCtr="1"/>
        <a:lstStyle/>
        <a:p>
          <a:pPr defTabSz="914400">
            <a:defRPr lang="zh-CN" sz="1080" b="0" i="0" u="none" strike="noStrike" kern="1200" spc="0" baseline="0">
              <a:solidFill>
                <a:schemeClr val="tx1">
                  <a:lumMod val="65000"/>
                  <a:lumOff val="35000"/>
                </a:schemeClr>
              </a:solidFill>
              <a:latin typeface="Times New Roman" charset="0"/>
              <a:ea typeface="Times New Roman" charset="0"/>
              <a:cs typeface="Times New Roman" charset="0"/>
              <a:sym typeface="Times New Roman" charset="0"/>
            </a:defRPr>
          </a:pPr>
          <a:endParaRPr lang="zh-CN"/>
        </a:p>
      </c:txPr>
    </c:title>
    <c:autoTitleDeleted val="0"/>
    <c:plotArea>
      <c:layout/>
      <c:barChart>
        <c:barDir val="col"/>
        <c:grouping val="clustered"/>
        <c:varyColors val="0"/>
        <c:ser>
          <c:idx val="0"/>
          <c:order val="0"/>
          <c:tx>
            <c:strRef>
              <c:f>[工作簿1]Sheet2!$B$2</c:f>
              <c:strCache>
                <c:ptCount val="1"/>
                <c:pt idx="0">
                  <c:v>减贫人数</c:v>
                </c:pt>
              </c:strCache>
            </c:strRef>
          </c:tx>
          <c:spPr>
            <a:solidFill>
              <a:schemeClr val="accent1"/>
            </a:solidFill>
            <a:ln>
              <a:noFill/>
            </a:ln>
            <a:effectLst>
              <a:innerShdw blurRad="63500" dist="50800" dir="16200000">
                <a:prstClr val="black">
                  <a:alpha val="50000"/>
                </a:prstClr>
              </a:innerShdw>
            </a:effectLst>
          </c:spPr>
          <c:invertIfNegative val="0"/>
          <c:dLbls>
            <c:dLbl>
              <c:idx val="0"/>
              <c:layout>
                <c:manualLayout>
                  <c:x val="-2.3063214173393398E-3"/>
                  <c:y val="2.2631018788303901E-2"/>
                </c:manualLayout>
              </c:layout>
              <c:tx>
                <c:rich>
                  <a:bodyPr/>
                  <a:lstStyle/>
                  <a:p>
                    <a:r>
                      <a:rPr lang="en-US" altLang="zh-CN"/>
                      <a:t>147.0</a:t>
                    </a:r>
                  </a:p>
                </c:rich>
              </c:tx>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D0E9-4198-A44F-B31C0E860CF9}"/>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Times New Roman" charset="0"/>
                    <a:ea typeface="Times New Roman" charset="0"/>
                    <a:cs typeface="Times New Roman" charset="0"/>
                    <a:sym typeface="Times New Roman" charset="0"/>
                  </a:defRPr>
                </a:pPr>
                <a:endParaRPr lang="zh-CN"/>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[工作簿1]Sheet2!$A$3:$A$7</c:f>
              <c:numCache>
                <c:formatCode>General</c:formatCode>
                <c:ptCount val="5"/>
                <c:pt idx="0">
                  <c:v>2016</c:v>
                </c:pt>
                <c:pt idx="1">
                  <c:v>2017</c:v>
                </c:pt>
                <c:pt idx="2">
                  <c:v>2018</c:v>
                </c:pt>
                <c:pt idx="3">
                  <c:v>2019</c:v>
                </c:pt>
                <c:pt idx="4">
                  <c:v>2020</c:v>
                </c:pt>
              </c:numCache>
            </c:numRef>
          </c:cat>
          <c:val>
            <c:numRef>
              <c:f>[工作簿1]Sheet2!$B$3:$B$7</c:f>
              <c:numCache>
                <c:formatCode>General</c:formatCode>
                <c:ptCount val="5"/>
                <c:pt idx="0">
                  <c:v>147</c:v>
                </c:pt>
                <c:pt idx="1">
                  <c:v>91.7</c:v>
                </c:pt>
                <c:pt idx="2">
                  <c:v>105.5</c:v>
                </c:pt>
                <c:pt idx="3">
                  <c:v>92.5</c:v>
                </c:pt>
                <c:pt idx="4">
                  <c:v>5.8</c:v>
                </c:pt>
              </c:numCache>
            </c:numRef>
          </c:val>
          <c:extLst xmlns:c16r2="http://schemas.microsoft.com/office/drawing/2015/06/chart">
            <c:ext xmlns:c16="http://schemas.microsoft.com/office/drawing/2014/chart" uri="{C3380CC4-5D6E-409C-BE32-E72D297353CC}">
              <c16:uniqueId val="{00000001-D0E9-4198-A44F-B31C0E860CF9}"/>
            </c:ext>
          </c:extLst>
        </c:ser>
        <c:dLbls>
          <c:showLegendKey val="0"/>
          <c:showVal val="1"/>
          <c:showCatName val="0"/>
          <c:showSerName val="0"/>
          <c:showPercent val="0"/>
          <c:showBubbleSize val="0"/>
        </c:dLbls>
        <c:gapWidth val="219"/>
        <c:overlap val="-27"/>
        <c:axId val="476978576"/>
        <c:axId val="476978968"/>
      </c:barChart>
      <c:catAx>
        <c:axId val="476978576"/>
        <c:scaling>
          <c:orientation val="minMax"/>
        </c:scaling>
        <c:delete val="0"/>
        <c:axPos val="b"/>
        <c:numFmt formatCode="General" sourceLinked="0"/>
        <c:majorTickMark val="in"/>
        <c:minorTickMark val="none"/>
        <c:tickLblPos val="nextTo"/>
        <c:spPr>
          <a:noFill/>
          <a:ln w="9525" cap="flat" cmpd="sng" algn="ctr">
            <a:solidFill>
              <a:schemeClr val="accent1"/>
            </a:solidFill>
            <a:round/>
          </a:ln>
          <a:effectLst/>
        </c:spPr>
        <c:txPr>
          <a:bodyPr rot="-60000000" spcFirstLastPara="0" vertOverflow="ellipsis" vert="horz" wrap="square" anchor="ctr" anchorCtr="1"/>
          <a:lstStyle/>
          <a:p>
            <a:pPr>
              <a:defRPr lang="zh-CN" sz="900" b="0" i="0" u="none" strike="noStrike" kern="1200" baseline="0">
                <a:solidFill>
                  <a:schemeClr val="tx1"/>
                </a:solidFill>
                <a:latin typeface="Times New Roman" charset="0"/>
                <a:ea typeface="Times New Roman" charset="0"/>
                <a:cs typeface="Times New Roman" charset="0"/>
                <a:sym typeface="Times New Roman" charset="0"/>
              </a:defRPr>
            </a:pPr>
            <a:endParaRPr lang="zh-CN"/>
          </a:p>
        </c:txPr>
        <c:crossAx val="476978968"/>
        <c:crosses val="autoZero"/>
        <c:auto val="1"/>
        <c:lblAlgn val="ctr"/>
        <c:lblOffset val="100"/>
        <c:noMultiLvlLbl val="0"/>
      </c:catAx>
      <c:valAx>
        <c:axId val="476978968"/>
        <c:scaling>
          <c:orientation val="minMax"/>
        </c:scaling>
        <c:delete val="0"/>
        <c:axPos val="l"/>
        <c:numFmt formatCode="#,##0.00_);[Red]\(#,##0.00\)" sourceLinked="0"/>
        <c:majorTickMark val="in"/>
        <c:minorTickMark val="none"/>
        <c:tickLblPos val="nextTo"/>
        <c:spPr>
          <a:noFill/>
          <a:ln>
            <a:solidFill>
              <a:schemeClr val="accent1"/>
            </a:solidFill>
          </a:ln>
          <a:effectLst/>
        </c:spPr>
        <c:txPr>
          <a:bodyPr rot="-60000000" spcFirstLastPara="0" vertOverflow="ellipsis" vert="horz" wrap="square" anchor="ctr" anchorCtr="1"/>
          <a:lstStyle/>
          <a:p>
            <a:pPr>
              <a:defRPr lang="zh-CN" sz="900" b="0" i="0" u="none" strike="noStrike" kern="1200" baseline="0">
                <a:solidFill>
                  <a:schemeClr val="tx1"/>
                </a:solidFill>
                <a:latin typeface="Times New Roman" charset="0"/>
                <a:ea typeface="Times New Roman" charset="0"/>
                <a:cs typeface="Times New Roman" charset="0"/>
                <a:sym typeface="Times New Roman" charset="0"/>
              </a:defRPr>
            </a:pPr>
            <a:endParaRPr lang="zh-CN"/>
          </a:p>
        </c:txPr>
        <c:crossAx val="476978576"/>
        <c:crosses val="autoZero"/>
        <c:crossBetween val="between"/>
      </c:valAx>
      <c:spPr>
        <a:noFill/>
        <a:ln>
          <a:solidFill>
            <a:schemeClr val="accent1"/>
          </a:solidFill>
        </a:ln>
        <a:effectLst/>
      </c:spPr>
    </c:plotArea>
    <c:plotVisOnly val="1"/>
    <c:dispBlanksAs val="gap"/>
    <c:showDLblsOverMax val="0"/>
  </c:chart>
  <c:spPr>
    <a:solidFill>
      <a:schemeClr val="bg1"/>
    </a:solidFill>
    <a:ln w="9525" cap="flat" cmpd="sng" algn="ctr">
      <a:solidFill>
        <a:schemeClr val="bg1"/>
      </a:solidFill>
      <a:round/>
    </a:ln>
    <a:effectLst/>
  </c:spPr>
  <c:txPr>
    <a:bodyPr/>
    <a:lstStyle/>
    <a:p>
      <a:pPr>
        <a:defRPr lang="zh-CN" sz="900">
          <a:latin typeface="Times New Roman" charset="0"/>
          <a:ea typeface="Times New Roman" charset="0"/>
          <a:cs typeface="Times New Roman" charset="0"/>
          <a:sym typeface="Times New Roman" charset="0"/>
        </a:defRPr>
      </a:pPr>
      <a:endParaRPr lang="zh-C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080" b="0" i="0" u="none" strike="noStrike" kern="1200" spc="0" baseline="0">
                <a:solidFill>
                  <a:schemeClr val="tx1">
                    <a:lumMod val="65000"/>
                    <a:lumOff val="35000"/>
                  </a:schemeClr>
                </a:solidFill>
                <a:latin typeface="Times New Roman" charset="0"/>
                <a:ea typeface="Times New Roman" charset="0"/>
                <a:cs typeface="Times New Roman" charset="0"/>
                <a:sym typeface="Times New Roman" charset="0"/>
              </a:defRPr>
            </a:pPr>
            <a:r>
              <a:rPr lang="en-US" altLang="zh-CN" sz="900">
                <a:solidFill>
                  <a:schemeClr val="tx1"/>
                </a:solidFill>
                <a:latin typeface="Times New Roman" charset="0"/>
                <a:ea typeface="Times New Roman" charset="0"/>
                <a:cs typeface="Times New Roman" charset="0"/>
                <a:sym typeface="Times New Roman" charset="0"/>
              </a:rPr>
              <a:t>10 000 tons</a:t>
            </a:r>
          </a:p>
        </c:rich>
      </c:tx>
      <c:layout>
        <c:manualLayout>
          <c:xMode val="edge"/>
          <c:yMode val="edge"/>
          <c:x val="5.0925925925925904E-3"/>
          <c:y val="3.8818201423334003E-2"/>
        </c:manualLayout>
      </c:layout>
      <c:overlay val="0"/>
      <c:spPr>
        <a:noFill/>
        <a:ln>
          <a:noFill/>
        </a:ln>
        <a:effectLst/>
      </c:spPr>
      <c:txPr>
        <a:bodyPr rot="0" spcFirstLastPara="0" vertOverflow="ellipsis" vert="horz" wrap="square" anchor="ctr" anchorCtr="1"/>
        <a:lstStyle/>
        <a:p>
          <a:pPr defTabSz="914400">
            <a:defRPr lang="zh-CN" sz="1080" b="0" i="0" u="none" strike="noStrike" kern="1200" spc="0" baseline="0">
              <a:solidFill>
                <a:schemeClr val="tx1">
                  <a:lumMod val="65000"/>
                  <a:lumOff val="35000"/>
                </a:schemeClr>
              </a:solidFill>
              <a:latin typeface="Times New Roman" charset="0"/>
              <a:ea typeface="Times New Roman" charset="0"/>
              <a:cs typeface="Times New Roman" charset="0"/>
              <a:sym typeface="Times New Roman" charset="0"/>
            </a:defRPr>
          </a:pPr>
          <a:endParaRPr lang="zh-CN"/>
        </a:p>
      </c:txPr>
    </c:title>
    <c:autoTitleDeleted val="0"/>
    <c:plotArea>
      <c:layout/>
      <c:barChart>
        <c:barDir val="col"/>
        <c:grouping val="clustered"/>
        <c:varyColors val="0"/>
        <c:ser>
          <c:idx val="0"/>
          <c:order val="0"/>
          <c:tx>
            <c:strRef>
              <c:f>[1.xlsx]Sheet2!$B$2</c:f>
              <c:strCache>
                <c:ptCount val="1"/>
                <c:pt idx="0">
                  <c:v>减贫人数</c:v>
                </c:pt>
              </c:strCache>
            </c:strRef>
          </c:tx>
          <c:spPr>
            <a:solidFill>
              <a:schemeClr val="accent1"/>
            </a:solidFill>
            <a:ln>
              <a:noFill/>
            </a:ln>
            <a:effectLst>
              <a:innerShdw blurRad="63500" dist="50800" dir="16200000">
                <a:prstClr val="black">
                  <a:alpha val="50000"/>
                </a:prstClr>
              </a:innerShdw>
            </a:effectLst>
          </c:spPr>
          <c:invertIfNegative val="0"/>
          <c:dLbls>
            <c:dLbl>
              <c:idx val="0"/>
              <c:layout>
                <c:manualLayout>
                  <c:x val="0"/>
                  <c:y val="1.17279124315872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C90D-4686-B761-6317BFDC0719}"/>
                </c:ext>
                <c:ext xmlns:c15="http://schemas.microsoft.com/office/drawing/2012/chart" uri="{CE6537A1-D6FC-4f65-9D91-7224C49458BB}"/>
              </c:extLst>
            </c:dLbl>
            <c:dLbl>
              <c:idx val="1"/>
              <c:layout>
                <c:manualLayout>
                  <c:x val="1.7361111111111099E-3"/>
                  <c:y val="2.0523846755277599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C90D-4686-B761-6317BFDC0719}"/>
                </c:ext>
                <c:ext xmlns:c15="http://schemas.microsoft.com/office/drawing/2012/chart" uri="{CE6537A1-D6FC-4f65-9D91-7224C49458BB}"/>
              </c:extLst>
            </c:dLbl>
            <c:dLbl>
              <c:idx val="2"/>
              <c:layout>
                <c:manualLayout>
                  <c:x val="0"/>
                  <c:y val="1.4659890539483999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C90D-4686-B761-6317BFDC0719}"/>
                </c:ext>
                <c:ext xmlns:c15="http://schemas.microsoft.com/office/drawing/2012/chart" uri="{CE6537A1-D6FC-4f65-9D91-7224C49458BB}"/>
              </c:extLst>
            </c:dLbl>
            <c:dLbl>
              <c:idx val="3"/>
              <c:layout>
                <c:manualLayout>
                  <c:x val="0"/>
                  <c:y val="8.7959343236903801E-3"/>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C90D-4686-B761-6317BFDC0719}"/>
                </c:ext>
                <c:ext xmlns:c15="http://schemas.microsoft.com/office/drawing/2012/chart" uri="{CE6537A1-D6FC-4f65-9D91-7224C49458BB}"/>
              </c:extLst>
            </c:dLbl>
            <c:dLbl>
              <c:idx val="4"/>
              <c:layout>
                <c:manualLayout>
                  <c:x val="1.2780295108632499E-3"/>
                  <c:y val="1.0954490053674701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C90D-4686-B761-6317BFDC0719}"/>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Times New Roman" charset="0"/>
                    <a:ea typeface="Times New Roman" charset="0"/>
                    <a:cs typeface="Times New Roman" charset="0"/>
                    <a:sym typeface="Times New Roman" charset="0"/>
                  </a:defRPr>
                </a:pPr>
                <a:endParaRPr lang="zh-CN"/>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[1.xlsx]Sheet2!$A$3:$A$7</c:f>
              <c:numCache>
                <c:formatCode>General</c:formatCode>
                <c:ptCount val="5"/>
                <c:pt idx="0">
                  <c:v>2016</c:v>
                </c:pt>
                <c:pt idx="1">
                  <c:v>2017</c:v>
                </c:pt>
                <c:pt idx="2">
                  <c:v>2018</c:v>
                </c:pt>
                <c:pt idx="3">
                  <c:v>2019</c:v>
                </c:pt>
                <c:pt idx="4">
                  <c:v>2020</c:v>
                </c:pt>
              </c:numCache>
            </c:numRef>
          </c:cat>
          <c:val>
            <c:numRef>
              <c:f>[1.xlsx]Sheet2!$B$3:$B$7</c:f>
              <c:numCache>
                <c:formatCode>General</c:formatCode>
                <c:ptCount val="5"/>
                <c:pt idx="0">
                  <c:v>2796.35</c:v>
                </c:pt>
                <c:pt idx="1">
                  <c:v>2846.12</c:v>
                </c:pt>
                <c:pt idx="2">
                  <c:v>2839.47</c:v>
                </c:pt>
                <c:pt idx="3">
                  <c:v>2724.98</c:v>
                </c:pt>
                <c:pt idx="4">
                  <c:v>2727.43</c:v>
                </c:pt>
              </c:numCache>
            </c:numRef>
          </c:val>
          <c:extLst xmlns:c16r2="http://schemas.microsoft.com/office/drawing/2015/06/chart">
            <c:ext xmlns:c16="http://schemas.microsoft.com/office/drawing/2014/chart" uri="{C3380CC4-5D6E-409C-BE32-E72D297353CC}">
              <c16:uniqueId val="{00000005-C90D-4686-B761-6317BFDC0719}"/>
            </c:ext>
          </c:extLst>
        </c:ser>
        <c:dLbls>
          <c:showLegendKey val="0"/>
          <c:showVal val="1"/>
          <c:showCatName val="0"/>
          <c:showSerName val="0"/>
          <c:showPercent val="0"/>
          <c:showBubbleSize val="0"/>
        </c:dLbls>
        <c:gapWidth val="219"/>
        <c:overlap val="-27"/>
        <c:axId val="476979752"/>
        <c:axId val="476980144"/>
      </c:barChart>
      <c:catAx>
        <c:axId val="476979752"/>
        <c:scaling>
          <c:orientation val="minMax"/>
        </c:scaling>
        <c:delete val="0"/>
        <c:axPos val="b"/>
        <c:numFmt formatCode="General" sourceLinked="0"/>
        <c:majorTickMark val="in"/>
        <c:minorTickMark val="none"/>
        <c:tickLblPos val="nextTo"/>
        <c:spPr>
          <a:noFill/>
          <a:ln w="9525" cap="flat" cmpd="sng" algn="ctr">
            <a:solidFill>
              <a:schemeClr val="accent1"/>
            </a:solidFill>
            <a:round/>
          </a:ln>
          <a:effectLst/>
        </c:spPr>
        <c:txPr>
          <a:bodyPr rot="-60000000" spcFirstLastPara="0" vertOverflow="ellipsis" vert="horz" wrap="square" anchor="ctr" anchorCtr="1"/>
          <a:lstStyle/>
          <a:p>
            <a:pPr>
              <a:defRPr lang="zh-CN" sz="900" b="0" i="0" u="none" strike="noStrike" kern="1200" baseline="0">
                <a:solidFill>
                  <a:schemeClr val="tx1"/>
                </a:solidFill>
                <a:latin typeface="Times New Roman" charset="0"/>
                <a:ea typeface="Times New Roman" charset="0"/>
                <a:cs typeface="Times New Roman" charset="0"/>
                <a:sym typeface="Times New Roman" charset="0"/>
              </a:defRPr>
            </a:pPr>
            <a:endParaRPr lang="zh-CN"/>
          </a:p>
        </c:txPr>
        <c:crossAx val="476980144"/>
        <c:crosses val="autoZero"/>
        <c:auto val="1"/>
        <c:lblAlgn val="ctr"/>
        <c:lblOffset val="100"/>
        <c:noMultiLvlLbl val="0"/>
      </c:catAx>
      <c:valAx>
        <c:axId val="476980144"/>
        <c:scaling>
          <c:orientation val="minMax"/>
          <c:max val="3500"/>
        </c:scaling>
        <c:delete val="0"/>
        <c:axPos val="l"/>
        <c:numFmt formatCode="#,##0.00_);[Red]\(#,##0.00\)" sourceLinked="0"/>
        <c:majorTickMark val="in"/>
        <c:minorTickMark val="none"/>
        <c:tickLblPos val="nextTo"/>
        <c:spPr>
          <a:noFill/>
          <a:ln>
            <a:solidFill>
              <a:schemeClr val="accent1"/>
            </a:solidFill>
          </a:ln>
          <a:effectLst/>
        </c:spPr>
        <c:txPr>
          <a:bodyPr rot="-60000000" spcFirstLastPara="0" vertOverflow="ellipsis" vert="horz" wrap="square" anchor="ctr" anchorCtr="1"/>
          <a:lstStyle/>
          <a:p>
            <a:pPr>
              <a:defRPr lang="zh-CN" sz="900" b="0" i="0" u="none" strike="noStrike" kern="1200" baseline="0">
                <a:solidFill>
                  <a:schemeClr val="tx1"/>
                </a:solidFill>
                <a:latin typeface="Times New Roman" charset="0"/>
                <a:ea typeface="Times New Roman" charset="0"/>
                <a:cs typeface="Times New Roman" charset="0"/>
                <a:sym typeface="Times New Roman" charset="0"/>
              </a:defRPr>
            </a:pPr>
            <a:endParaRPr lang="zh-CN"/>
          </a:p>
        </c:txPr>
        <c:crossAx val="476979752"/>
        <c:crosses val="autoZero"/>
        <c:crossBetween val="between"/>
      </c:valAx>
      <c:spPr>
        <a:noFill/>
        <a:ln>
          <a:solidFill>
            <a:schemeClr val="accent1"/>
          </a:solidFill>
        </a:ln>
        <a:effectLst/>
      </c:spPr>
    </c:plotArea>
    <c:plotVisOnly val="1"/>
    <c:dispBlanksAs val="gap"/>
    <c:showDLblsOverMax val="0"/>
  </c:chart>
  <c:spPr>
    <a:solidFill>
      <a:schemeClr val="bg1"/>
    </a:solidFill>
    <a:ln w="9525" cap="flat" cmpd="sng" algn="ctr">
      <a:solidFill>
        <a:schemeClr val="bg1"/>
      </a:solidFill>
      <a:round/>
    </a:ln>
    <a:effectLst/>
  </c:spPr>
  <c:txPr>
    <a:bodyPr/>
    <a:lstStyle/>
    <a:p>
      <a:pPr>
        <a:defRPr lang="zh-CN" sz="900">
          <a:latin typeface="Times New Roman" charset="0"/>
          <a:ea typeface="Times New Roman" charset="0"/>
          <a:cs typeface="Times New Roman" charset="0"/>
          <a:sym typeface="Times New Roman" charset="0"/>
        </a:defRPr>
      </a:pPr>
      <a:endParaRPr lang="zh-C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51332825590251"/>
          <c:y val="0.101549053356282"/>
          <c:w val="0.51942117288651901"/>
          <c:h val="0.88037865748709099"/>
        </c:manualLayout>
      </c:layout>
      <c:pieChart>
        <c:varyColors val="1"/>
        <c:ser>
          <c:idx val="0"/>
          <c:order val="0"/>
          <c:tx>
            <c:strRef>
              <c:f>Sheet1!$C$2</c:f>
              <c:strCache>
                <c:ptCount val="1"/>
                <c:pt idx="0">
                  <c:v>比重</c:v>
                </c:pt>
              </c:strCache>
            </c:strRef>
          </c:tx>
          <c:dPt>
            <c:idx val="0"/>
            <c:bubble3D val="0"/>
            <c:spPr>
              <a:solidFill>
                <a:schemeClr val="accent6">
                  <a:lumMod val="75000"/>
                </a:schemeClr>
              </a:solidFill>
              <a:ln w="19050">
                <a:solidFill>
                  <a:schemeClr val="lt1"/>
                </a:solidFill>
              </a:ln>
              <a:effectLst/>
            </c:spPr>
            <c:extLst xmlns:c16r2="http://schemas.microsoft.com/office/drawing/2015/06/chart">
              <c:ext xmlns:c16="http://schemas.microsoft.com/office/drawing/2014/chart" uri="{C3380CC4-5D6E-409C-BE32-E72D297353CC}">
                <c16:uniqueId val="{00000001-E5FA-4AF9-9971-681640CC026E}"/>
              </c:ext>
            </c:extLst>
          </c:dPt>
          <c:dPt>
            <c:idx val="1"/>
            <c:bubble3D val="0"/>
            <c:spPr>
              <a:solidFill>
                <a:srgbClr val="FFC000"/>
              </a:solidFill>
              <a:ln w="19050">
                <a:solidFill>
                  <a:schemeClr val="lt1"/>
                </a:solidFill>
              </a:ln>
              <a:effectLst/>
            </c:spPr>
            <c:extLst xmlns:c16r2="http://schemas.microsoft.com/office/drawing/2015/06/chart">
              <c:ext xmlns:c16="http://schemas.microsoft.com/office/drawing/2014/chart" uri="{C3380CC4-5D6E-409C-BE32-E72D297353CC}">
                <c16:uniqueId val="{00000003-E5FA-4AF9-9971-681640CC026E}"/>
              </c:ext>
            </c:extLst>
          </c:dPt>
          <c:dPt>
            <c:idx val="2"/>
            <c:bubble3D val="0"/>
            <c:spPr>
              <a:solidFill>
                <a:schemeClr val="accent3"/>
              </a:solidFill>
              <a:ln w="19050">
                <a:solidFill>
                  <a:schemeClr val="lt1"/>
                </a:solidFill>
              </a:ln>
              <a:effectLst/>
            </c:spPr>
            <c:extLst xmlns:c16r2="http://schemas.microsoft.com/office/drawing/2015/06/chart">
              <c:ext xmlns:c16="http://schemas.microsoft.com/office/drawing/2014/chart" uri="{C3380CC4-5D6E-409C-BE32-E72D297353CC}">
                <c16:uniqueId val="{00000005-E5FA-4AF9-9971-681640CC026E}"/>
              </c:ext>
            </c:extLst>
          </c:dPt>
          <c:dLbls>
            <c:dLbl>
              <c:idx val="0"/>
              <c:layout>
                <c:manualLayout>
                  <c:x val="-2.2715156130997699E-2"/>
                  <c:y val="0"/>
                </c:manualLayout>
              </c:layout>
              <c:tx>
                <c:rich>
                  <a:bodyPr rot="0" spcFirstLastPara="1" vertOverflow="ellipsis" vert="horz" wrap="square" lIns="38100" tIns="19050" rIns="38100" bIns="19050" anchor="ctr" anchorCtr="1">
                    <a:spAutoFit/>
                  </a:bodyPr>
                  <a:lstStyle/>
                  <a:p>
                    <a:pPr defTabSz="914400">
                      <a:defRPr lang="zh-CN" sz="900" b="0" i="0" u="none" strike="noStrike" kern="1200" baseline="0">
                        <a:solidFill>
                          <a:schemeClr val="tx1"/>
                        </a:solidFill>
                        <a:latin typeface="Times New Roman" charset="0"/>
                        <a:ea typeface="Times New Roman" charset="0"/>
                        <a:cs typeface="Times New Roman" charset="0"/>
                        <a:sym typeface="Times New Roman" charset="0"/>
                      </a:defRPr>
                    </a:pPr>
                    <a:r>
                      <a:rPr lang="en-US" altLang="zh-CN" sz="900">
                        <a:latin typeface="Times New Roman" charset="0"/>
                        <a:ea typeface="Times New Roman" charset="0"/>
                        <a:cs typeface="Times New Roman" charset="0"/>
                        <a:sym typeface="Times New Roman" charset="0"/>
                      </a:rPr>
                      <a:t>Primary Industry 2.0%</a:t>
                    </a:r>
                  </a:p>
                </c:rich>
              </c:tx>
              <c:numFmt formatCode="0.0%" sourceLinked="0"/>
              <c:spPr>
                <a:noFill/>
                <a:ln>
                  <a:noFill/>
                </a:ln>
                <a:effectLst/>
              </c:spPr>
              <c:txPr>
                <a:bodyPr rot="0" spcFirstLastPara="1" vertOverflow="ellipsis" vert="horz" wrap="square" lIns="38100" tIns="19050" rIns="38100" bIns="19050" anchor="ctr" anchorCtr="1">
                  <a:spAutoFit/>
                </a:bodyPr>
                <a:lstStyle/>
                <a:p>
                  <a:pPr defTabSz="914400">
                    <a:defRPr lang="zh-CN" sz="900" b="0" i="0" u="none" strike="noStrike" kern="1200" baseline="0">
                      <a:solidFill>
                        <a:schemeClr val="tx1"/>
                      </a:solidFill>
                      <a:latin typeface="Times New Roman" charset="0"/>
                      <a:ea typeface="Times New Roman" charset="0"/>
                      <a:cs typeface="Times New Roman" charset="0"/>
                      <a:sym typeface="Times New Roman" charset="0"/>
                    </a:defRPr>
                  </a:pPr>
                  <a:endParaRPr lang="zh-CN"/>
                </a:p>
              </c:txPr>
              <c:dLblPos val="bestFit"/>
              <c:showLegendKey val="0"/>
              <c:showVal val="0"/>
              <c:showCatName val="1"/>
              <c:showSerName val="0"/>
              <c:showPercent val="1"/>
              <c:showBubbleSize val="0"/>
              <c:separator>
</c:separator>
              <c:extLst xmlns:c16r2="http://schemas.microsoft.com/office/drawing/2015/06/chart">
                <c:ext xmlns:c16="http://schemas.microsoft.com/office/drawing/2014/chart" uri="{C3380CC4-5D6E-409C-BE32-E72D297353CC}">
                  <c16:uniqueId val="{00000001-E5FA-4AF9-9971-681640CC026E}"/>
                </c:ext>
                <c:ext xmlns:c15="http://schemas.microsoft.com/office/drawing/2012/chart" uri="{CE6537A1-D6FC-4f65-9D91-7224C49458BB}">
                  <c15:layout>
                    <c:manualLayout>
                      <c:w val="0.52856054836252897"/>
                      <c:h val="8.9500860585197906E-2"/>
                    </c:manualLayout>
                  </c15:layout>
                </c:ext>
              </c:extLst>
            </c:dLbl>
            <c:dLbl>
              <c:idx val="1"/>
              <c:layout>
                <c:manualLayout>
                  <c:x val="-0.172222222222222"/>
                  <c:y val="9.7222222222222196E-2"/>
                </c:manualLayout>
              </c:layout>
              <c:tx>
                <c:rich>
                  <a:bodyPr rot="0" spcFirstLastPara="1" vertOverflow="ellipsis" vert="horz" wrap="square" lIns="38100" tIns="19050" rIns="38100" bIns="19050" anchor="ctr" anchorCtr="1">
                    <a:spAutoFit/>
                  </a:bodyPr>
                  <a:lstStyle/>
                  <a:p>
                    <a:pPr defTabSz="914400">
                      <a:defRPr lang="zh-CN" sz="900" b="0" i="0" u="none" strike="noStrike" kern="1200" baseline="0">
                        <a:solidFill>
                          <a:schemeClr val="tx1"/>
                        </a:solidFill>
                        <a:latin typeface="Times New Roman" charset="0"/>
                        <a:ea typeface="Times New Roman" charset="0"/>
                        <a:cs typeface="Times New Roman" charset="0"/>
                        <a:sym typeface="Times New Roman" charset="0"/>
                      </a:defRPr>
                    </a:pPr>
                    <a:r>
                      <a:rPr lang="en-US" altLang="zh-CN"/>
                      <a:t>Second Industry</a:t>
                    </a:r>
                    <a:endParaRPr lang="en-US"/>
                  </a:p>
                  <a:p>
                    <a:pPr defTabSz="914400">
                      <a:defRPr>
                        <a:solidFill>
                          <a:schemeClr val="tx1"/>
                        </a:solidFill>
                        <a:latin typeface="Times New Roman" charset="0"/>
                        <a:ea typeface="Times New Roman" charset="0"/>
                        <a:cs typeface="Times New Roman" charset="0"/>
                        <a:sym typeface="Times New Roman" charset="0"/>
                      </a:defRPr>
                    </a:pPr>
                    <a:r>
                      <a:rPr lang="en-US"/>
                      <a:t>35.1%</a:t>
                    </a:r>
                  </a:p>
                </c:rich>
              </c:tx>
              <c:numFmt formatCode="0.0%" sourceLinked="0"/>
              <c:spPr>
                <a:noFill/>
                <a:ln>
                  <a:noFill/>
                </a:ln>
                <a:effectLst/>
              </c:spPr>
              <c:txPr>
                <a:bodyPr rot="0" spcFirstLastPara="1" vertOverflow="ellipsis" vert="horz" wrap="square" lIns="38100" tIns="19050" rIns="38100" bIns="19050" anchor="ctr" anchorCtr="1">
                  <a:spAutoFit/>
                </a:bodyPr>
                <a:lstStyle/>
                <a:p>
                  <a:pPr defTabSz="914400">
                    <a:defRPr lang="zh-CN" sz="900" b="0" i="0" u="none" strike="noStrike" kern="1200" baseline="0">
                      <a:solidFill>
                        <a:schemeClr val="tx1"/>
                      </a:solidFill>
                      <a:latin typeface="Times New Roman" charset="0"/>
                      <a:ea typeface="Times New Roman" charset="0"/>
                      <a:cs typeface="Times New Roman" charset="0"/>
                      <a:sym typeface="Times New Roman" charset="0"/>
                    </a:defRPr>
                  </a:pPr>
                  <a:endParaRPr lang="zh-CN"/>
                </a:p>
              </c:txPr>
              <c:dLblPos val="bestFit"/>
              <c:showLegendKey val="0"/>
              <c:showVal val="0"/>
              <c:showCatName val="1"/>
              <c:showSerName val="0"/>
              <c:showPercent val="1"/>
              <c:showBubbleSize val="0"/>
              <c:separator>
</c:separator>
              <c:extLst xmlns:c16r2="http://schemas.microsoft.com/office/drawing/2015/06/chart">
                <c:ext xmlns:c16="http://schemas.microsoft.com/office/drawing/2014/chart" uri="{C3380CC4-5D6E-409C-BE32-E72D297353CC}">
                  <c16:uniqueId val="{00000003-E5FA-4AF9-9971-681640CC026E}"/>
                </c:ext>
                <c:ext xmlns:c15="http://schemas.microsoft.com/office/drawing/2012/chart" uri="{CE6537A1-D6FC-4f65-9D91-7224C49458BB}"/>
              </c:extLst>
            </c:dLbl>
            <c:dLbl>
              <c:idx val="2"/>
              <c:layout>
                <c:manualLayout>
                  <c:x val="0.16111111111111101"/>
                  <c:y val="-0.148148148148148"/>
                </c:manualLayout>
              </c:layout>
              <c:tx>
                <c:rich>
                  <a:bodyPr rot="0" spcFirstLastPara="1" vertOverflow="ellipsis" vert="horz" wrap="square" lIns="38100" tIns="19050" rIns="38100" bIns="19050" anchor="ctr" anchorCtr="1">
                    <a:noAutofit/>
                  </a:bodyPr>
                  <a:lstStyle/>
                  <a:p>
                    <a:pPr defTabSz="914400">
                      <a:defRPr lang="zh-CN" sz="900" b="0" i="0" u="none" strike="noStrike" kern="1200" baseline="0">
                        <a:solidFill>
                          <a:schemeClr val="tx1"/>
                        </a:solidFill>
                        <a:latin typeface="Times New Roman" charset="0"/>
                        <a:ea typeface="Times New Roman" charset="0"/>
                        <a:cs typeface="Times New Roman" charset="0"/>
                        <a:sym typeface="Times New Roman" charset="0"/>
                      </a:defRPr>
                    </a:pPr>
                    <a:r>
                      <a:rPr lang="en-US" altLang="zh-CN"/>
                      <a:t>Tertiary Industry</a:t>
                    </a:r>
                    <a:endParaRPr lang="en-US"/>
                  </a:p>
                  <a:p>
                    <a:pPr defTabSz="914400">
                      <a:defRPr>
                        <a:solidFill>
                          <a:schemeClr val="tx1"/>
                        </a:solidFill>
                        <a:latin typeface="Times New Roman" charset="0"/>
                        <a:ea typeface="Times New Roman" charset="0"/>
                        <a:cs typeface="Times New Roman" charset="0"/>
                        <a:sym typeface="Times New Roman" charset="0"/>
                      </a:defRPr>
                    </a:pPr>
                    <a:r>
                      <a:rPr lang="en-US"/>
                      <a:t>62.9%</a:t>
                    </a:r>
                  </a:p>
                </c:rich>
              </c:tx>
              <c:numFmt formatCode="0.0%" sourceLinked="0"/>
              <c:spPr>
                <a:noFill/>
                <a:ln>
                  <a:noFill/>
                </a:ln>
                <a:effectLst/>
              </c:spPr>
              <c:txPr>
                <a:bodyPr rot="0" spcFirstLastPara="1" vertOverflow="ellipsis" vert="horz" wrap="square" lIns="38100" tIns="19050" rIns="38100" bIns="19050" anchor="ctr" anchorCtr="1">
                  <a:noAutofit/>
                </a:bodyPr>
                <a:lstStyle/>
                <a:p>
                  <a:pPr defTabSz="914400">
                    <a:defRPr lang="zh-CN" sz="900" b="0" i="0" u="none" strike="noStrike" kern="1200" baseline="0">
                      <a:solidFill>
                        <a:schemeClr val="tx1"/>
                      </a:solidFill>
                      <a:latin typeface="Times New Roman" charset="0"/>
                      <a:ea typeface="Times New Roman" charset="0"/>
                      <a:cs typeface="Times New Roman" charset="0"/>
                      <a:sym typeface="Times New Roman" charset="0"/>
                    </a:defRPr>
                  </a:pPr>
                  <a:endParaRPr lang="zh-CN"/>
                </a:p>
              </c:txPr>
              <c:dLblPos val="bestFit"/>
              <c:showLegendKey val="0"/>
              <c:showVal val="0"/>
              <c:showCatName val="1"/>
              <c:showSerName val="0"/>
              <c:showPercent val="1"/>
              <c:showBubbleSize val="0"/>
              <c:separator>
</c:separator>
              <c:extLst xmlns:c16r2="http://schemas.microsoft.com/office/drawing/2015/06/chart">
                <c:ext xmlns:c16="http://schemas.microsoft.com/office/drawing/2014/chart" uri="{C3380CC4-5D6E-409C-BE32-E72D297353CC}">
                  <c16:uniqueId val="{00000005-E5FA-4AF9-9971-681640CC026E}"/>
                </c:ext>
                <c:ext xmlns:c15="http://schemas.microsoft.com/office/drawing/2012/chart" uri="{CE6537A1-D6FC-4f65-9D91-7224C49458BB}">
                  <c15:layout>
                    <c:manualLayout>
                      <c:w val="0.201567583555161"/>
                      <c:h val="0.265049928673324"/>
                    </c:manualLayout>
                  </c15:layout>
                </c:ext>
              </c:extLst>
            </c:dLbl>
            <c:numFmt formatCode="0.0%" sourceLinked="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lang="zh-CN" sz="900" b="0" i="0" u="none" strike="noStrike" kern="1200" baseline="0">
                    <a:solidFill>
                      <a:schemeClr val="tx1"/>
                    </a:solidFill>
                    <a:latin typeface="Times New Roman" charset="0"/>
                    <a:ea typeface="Times New Roman" charset="0"/>
                    <a:cs typeface="Times New Roman" charset="0"/>
                    <a:sym typeface="Times New Roman" charset="0"/>
                  </a:defRPr>
                </a:pPr>
                <a:endParaRPr lang="zh-CN"/>
              </a:p>
            </c:txPr>
            <c:dLblPos val="outEnd"/>
            <c:showLegendKey val="0"/>
            <c:showVal val="0"/>
            <c:showCatName val="1"/>
            <c:showSerName val="0"/>
            <c:showPercent val="1"/>
            <c:showBubbleSize val="0"/>
            <c:showLeaderLines val="0"/>
            <c:extLst xmlns:c16r2="http://schemas.microsoft.com/office/drawing/2015/06/char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Sheet1!$B$3:$B$5</c:f>
              <c:strCache>
                <c:ptCount val="3"/>
                <c:pt idx="0">
                  <c:v>第一产业</c:v>
                </c:pt>
                <c:pt idx="1">
                  <c:v>第二产业</c:v>
                </c:pt>
                <c:pt idx="2">
                  <c:v>第三产业</c:v>
                </c:pt>
              </c:strCache>
            </c:strRef>
          </c:cat>
          <c:val>
            <c:numRef>
              <c:f>Sheet1!$C$3:$C$5</c:f>
              <c:numCache>
                <c:formatCode>General</c:formatCode>
                <c:ptCount val="3"/>
                <c:pt idx="0" formatCode="0.0_ ">
                  <c:v>2</c:v>
                </c:pt>
                <c:pt idx="1">
                  <c:v>35.1</c:v>
                </c:pt>
                <c:pt idx="2">
                  <c:v>62.9</c:v>
                </c:pt>
              </c:numCache>
            </c:numRef>
          </c:val>
          <c:extLst xmlns:c16r2="http://schemas.microsoft.com/office/drawing/2015/06/chart">
            <c:ext xmlns:c16="http://schemas.microsoft.com/office/drawing/2014/chart" uri="{C3380CC4-5D6E-409C-BE32-E72D297353CC}">
              <c16:uniqueId val="{00000006-E5FA-4AF9-9971-681640CC026E}"/>
            </c:ext>
          </c:extLst>
        </c:ser>
        <c:dLbls>
          <c:showLegendKey val="0"/>
          <c:showVal val="0"/>
          <c:showCatName val="0"/>
          <c:showSerName val="0"/>
          <c:showPercent val="0"/>
          <c:showBubbleSize val="0"/>
          <c:showLeaderLines val="0"/>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lang="zh-CN" sz="900"/>
      </a:pPr>
      <a:endParaRPr lang="zh-CN"/>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043656103101"/>
          <c:y val="0.110877156748849"/>
          <c:w val="0.86936103997741798"/>
          <c:h val="0.80500150595929598"/>
        </c:manualLayout>
      </c:layout>
      <c:barChart>
        <c:barDir val="col"/>
        <c:grouping val="clustered"/>
        <c:varyColors val="0"/>
        <c:ser>
          <c:idx val="1"/>
          <c:order val="1"/>
          <c:spPr>
            <a:solidFill>
              <a:srgbClr val="4F81BD"/>
            </a:solidFill>
            <a:ln>
              <a:noFill/>
            </a:ln>
            <a:effectLst>
              <a:innerShdw blurRad="63500" dist="50800" dir="16200000">
                <a:prstClr val="black">
                  <a:alpha val="50000"/>
                </a:prstClr>
              </a:innerShdw>
            </a:effectLst>
          </c:spPr>
          <c:invertIfNegative val="0"/>
          <c:dLbls>
            <c:spPr>
              <a:noFill/>
              <a:ln>
                <a:noFill/>
              </a:ln>
              <a:effectLst/>
            </c:spPr>
            <c:txPr>
              <a:bodyPr rot="0" spcFirstLastPara="0" vertOverflow="ellipsis" vert="horz" wrap="square" lIns="38100" tIns="19050" rIns="38100" bIns="19050" anchor="ctr" anchorCtr="1"/>
              <a:lstStyle/>
              <a:p>
                <a:pPr>
                  <a:defRPr lang="zh-CN" sz="900" b="0" i="0" u="none" strike="noStrike" kern="1200" cap="none" spc="0" normalizeH="0" baseline="0">
                    <a:solidFill>
                      <a:schemeClr val="tx1"/>
                    </a:solidFill>
                    <a:uFill>
                      <a:solidFill>
                        <a:schemeClr val="tx1"/>
                      </a:solidFill>
                    </a:uFill>
                    <a:latin typeface="Times New Roman" charset="0"/>
                    <a:ea typeface="仿宋_GB2312" panose="02010609030101010101" charset="-122"/>
                    <a:cs typeface="+mn-cs"/>
                  </a:defRPr>
                </a:pPr>
                <a:endParaRPr lang="zh-CN"/>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prstDash val="solid"/>
                      <a:round/>
                    </a:ln>
                    <a:effectLst/>
                  </c:spPr>
                </c15:leaderLines>
              </c:ext>
            </c:extLst>
          </c:dLbls>
          <c:cat>
            <c:numRef>
              <c:f>图6!$C$2:$G$2</c:f>
              <c:numCache>
                <c:formatCode>General</c:formatCode>
                <c:ptCount val="5"/>
                <c:pt idx="0">
                  <c:v>2016</c:v>
                </c:pt>
                <c:pt idx="1">
                  <c:v>2017</c:v>
                </c:pt>
                <c:pt idx="2">
                  <c:v>2018</c:v>
                </c:pt>
                <c:pt idx="3">
                  <c:v>2019</c:v>
                </c:pt>
                <c:pt idx="4">
                  <c:v>2020</c:v>
                </c:pt>
              </c:numCache>
            </c:numRef>
          </c:cat>
          <c:val>
            <c:numRef>
              <c:f>图6!$C$3:$G$3</c:f>
              <c:numCache>
                <c:formatCode>0.00_ </c:formatCode>
                <c:ptCount val="5"/>
                <c:pt idx="0">
                  <c:v>16601.8822845582</c:v>
                </c:pt>
                <c:pt idx="1">
                  <c:v>18519.650466521402</c:v>
                </c:pt>
                <c:pt idx="2">
                  <c:v>20598.157300708299</c:v>
                </c:pt>
                <c:pt idx="3">
                  <c:v>22722.310099999999</c:v>
                </c:pt>
                <c:pt idx="4">
                  <c:v>17984.87</c:v>
                </c:pt>
              </c:numCache>
            </c:numRef>
          </c:val>
          <c:extLst xmlns:c16r2="http://schemas.microsoft.com/office/drawing/2015/06/chart">
            <c:ext xmlns:c16="http://schemas.microsoft.com/office/drawing/2014/chart" uri="{C3380CC4-5D6E-409C-BE32-E72D297353CC}">
              <c16:uniqueId val="{00000000-BA69-4BA7-BA79-3C349C3304BE}"/>
            </c:ext>
          </c:extLst>
        </c:ser>
        <c:dLbls>
          <c:showLegendKey val="0"/>
          <c:showVal val="0"/>
          <c:showCatName val="0"/>
          <c:showSerName val="0"/>
          <c:showPercent val="0"/>
          <c:showBubbleSize val="0"/>
        </c:dLbls>
        <c:gapWidth val="137"/>
        <c:overlap val="95"/>
        <c:axId val="866437944"/>
        <c:axId val="866438336"/>
        <c:extLst xmlns:c16r2="http://schemas.microsoft.com/office/drawing/2015/06/chart">
          <c:ext xmlns:c15="http://schemas.microsoft.com/office/drawing/2012/chart" uri="{02D57815-91ED-43cb-92C2-25804820EDAC}">
            <c15:filteredBarSeries>
              <c15:ser>
                <c:idx val="0"/>
                <c:order val="0"/>
                <c:spPr>
                  <a:solidFill>
                    <a:schemeClr val="accent1"/>
                  </a:solidFill>
                  <a:ln>
                    <a:noFill/>
                  </a:ln>
                  <a:effectLst/>
                </c:spPr>
                <c:invertIfNegative val="0"/>
                <c:cat>
                  <c:numRef>
                    <c:extLst xmlns:c16r2="http://schemas.microsoft.com/office/drawing/2015/06/chart">
                      <c:ext uri="{02D57815-91ED-43cb-92C2-25804820EDAC}">
                        <c15:formulaRef>
                          <c15:sqref>图6!$C$2:$G$2</c15:sqref>
                        </c15:formulaRef>
                      </c:ext>
                    </c:extLst>
                    <c:numCache>
                      <c:formatCode>General</c:formatCode>
                      <c:ptCount val="5"/>
                      <c:pt idx="0">
                        <c:v>2016</c:v>
                      </c:pt>
                      <c:pt idx="1">
                        <c:v>2017</c:v>
                      </c:pt>
                      <c:pt idx="2">
                        <c:v>2018</c:v>
                      </c:pt>
                      <c:pt idx="3">
                        <c:v>2019</c:v>
                      </c:pt>
                      <c:pt idx="4">
                        <c:v>2020</c:v>
                      </c:pt>
                    </c:numCache>
                  </c:numRef>
                </c:cat>
                <c:val>
                  <c:numRef>
                    <c:extLst xmlns:c16r2="http://schemas.microsoft.com/office/drawing/2015/06/chart">
                      <c:ext uri="{02D57815-91ED-43cb-92C2-25804820EDAC}">
                        <c15:formulaRef>
                          <c15:sqref>图6!$C$2:$G$2</c15:sqref>
                        </c15:formulaRef>
                      </c:ext>
                    </c:extLst>
                    <c:numCache>
                      <c:formatCode>General</c:formatCode>
                      <c:ptCount val="5"/>
                      <c:pt idx="0">
                        <c:v>2016</c:v>
                      </c:pt>
                      <c:pt idx="1">
                        <c:v>2017</c:v>
                      </c:pt>
                      <c:pt idx="2">
                        <c:v>2018</c:v>
                      </c:pt>
                      <c:pt idx="3">
                        <c:v>2019</c:v>
                      </c:pt>
                      <c:pt idx="4">
                        <c:v>2020</c:v>
                      </c:pt>
                    </c:numCache>
                  </c:numRef>
                </c:val>
                <c:extLst xmlns:c16r2="http://schemas.microsoft.com/office/drawing/2015/06/chart">
                  <c:ext xmlns:c16="http://schemas.microsoft.com/office/drawing/2014/chart" uri="{C3380CC4-5D6E-409C-BE32-E72D297353CC}">
                    <c16:uniqueId val="{00000001-BA69-4BA7-BA79-3C349C3304BE}"/>
                  </c:ext>
                </c:extLst>
              </c15:ser>
            </c15:filteredBarSeries>
          </c:ext>
        </c:extLst>
      </c:barChart>
      <c:catAx>
        <c:axId val="866437944"/>
        <c:scaling>
          <c:orientation val="minMax"/>
        </c:scaling>
        <c:delete val="0"/>
        <c:axPos val="b"/>
        <c:numFmt formatCode="General" sourceLinked="1"/>
        <c:majorTickMark val="in"/>
        <c:minorTickMark val="none"/>
        <c:tickLblPos val="nextTo"/>
        <c:spPr>
          <a:noFill/>
          <a:ln w="9525" cap="flat" cmpd="sng" algn="ctr">
            <a:solidFill>
              <a:srgbClr val="000000"/>
            </a:solidFill>
            <a:prstDash val="solid"/>
            <a:round/>
          </a:ln>
          <a:effectLst/>
        </c:spPr>
        <c:txPr>
          <a:bodyPr rot="-60000000" spcFirstLastPara="1" vertOverflow="ellipsis" vert="horz" wrap="square" anchor="ctr" anchorCtr="1"/>
          <a:lstStyle/>
          <a:p>
            <a:pPr>
              <a:defRPr lang="zh-CN" sz="900" b="0" i="0" u="none" strike="noStrike" kern="1200" cap="none" spc="0" normalizeH="0" baseline="0">
                <a:solidFill>
                  <a:schemeClr val="tx1"/>
                </a:solidFill>
                <a:uFill>
                  <a:solidFill>
                    <a:schemeClr val="tx1"/>
                  </a:solidFill>
                </a:uFill>
                <a:latin typeface="Times New Roman" charset="0"/>
                <a:ea typeface="+mn-ea"/>
                <a:cs typeface="+mn-cs"/>
              </a:defRPr>
            </a:pPr>
            <a:endParaRPr lang="zh-CN"/>
          </a:p>
        </c:txPr>
        <c:crossAx val="866438336"/>
        <c:crosses val="autoZero"/>
        <c:auto val="1"/>
        <c:lblAlgn val="ctr"/>
        <c:lblOffset val="100"/>
        <c:noMultiLvlLbl val="0"/>
      </c:catAx>
      <c:valAx>
        <c:axId val="866438336"/>
        <c:scaling>
          <c:orientation val="minMax"/>
          <c:max val="30000"/>
        </c:scaling>
        <c:delete val="0"/>
        <c:axPos val="l"/>
        <c:majorGridlines>
          <c:spPr>
            <a:ln w="9525" cap="flat" cmpd="sng" algn="ctr">
              <a:solidFill>
                <a:schemeClr val="bg1"/>
              </a:solidFill>
              <a:prstDash val="solid"/>
              <a:round/>
            </a:ln>
            <a:effectLst/>
          </c:spPr>
        </c:majorGridlines>
        <c:title>
          <c:tx>
            <c:rich>
              <a:bodyPr rot="0" spcFirstLastPara="1" vertOverflow="ellipsis" vert="horz" wrap="square" anchor="ctr" anchorCtr="1"/>
              <a:lstStyle/>
              <a:p>
                <a:pPr>
                  <a:defRPr lang="zh-CN" sz="900" b="0" i="0" u="none" strike="noStrike" kern="1200" cap="none" spc="0" normalizeH="0" baseline="0">
                    <a:solidFill>
                      <a:schemeClr val="tx1"/>
                    </a:solidFill>
                    <a:uFill>
                      <a:solidFill>
                        <a:schemeClr val="tx1"/>
                      </a:solidFill>
                    </a:uFill>
                    <a:latin typeface="Times New Roman" charset="0"/>
                    <a:ea typeface="+mn-ea"/>
                    <a:cs typeface="+mn-cs"/>
                  </a:defRPr>
                </a:pPr>
                <a:r>
                  <a:rPr lang="en-US" altLang="zh-CN" sz="900"/>
                  <a:t>100 million yuan</a:t>
                </a:r>
              </a:p>
            </c:rich>
          </c:tx>
          <c:layout>
            <c:manualLayout>
              <c:xMode val="edge"/>
              <c:yMode val="edge"/>
              <c:x val="2.79299630256605E-2"/>
              <c:y val="7.1633237822349601E-3"/>
            </c:manualLayout>
          </c:layout>
          <c:overlay val="0"/>
          <c:spPr>
            <a:noFill/>
            <a:ln>
              <a:noFill/>
            </a:ln>
            <a:effectLst/>
          </c:spPr>
        </c:title>
        <c:numFmt formatCode="0.00_ " sourceLinked="0"/>
        <c:majorTickMark val="in"/>
        <c:minorTickMark val="none"/>
        <c:tickLblPos val="nextTo"/>
        <c:spPr>
          <a:noFill/>
          <a:ln w="6350" cap="flat" cmpd="sng" algn="ctr">
            <a:solidFill>
              <a:schemeClr val="tx1"/>
            </a:solidFill>
            <a:prstDash val="solid"/>
            <a:round/>
          </a:ln>
          <a:effectLst/>
        </c:spPr>
        <c:txPr>
          <a:bodyPr rot="-60000000" spcFirstLastPara="0" vertOverflow="ellipsis" vert="horz" wrap="square" anchor="ctr" anchorCtr="1"/>
          <a:lstStyle/>
          <a:p>
            <a:pPr>
              <a:defRPr lang="zh-CN" sz="900" b="0" i="0" u="none" strike="noStrike" kern="1200" cap="none" spc="0" normalizeH="0" baseline="0">
                <a:solidFill>
                  <a:schemeClr val="tx1"/>
                </a:solidFill>
                <a:uFill>
                  <a:solidFill>
                    <a:schemeClr val="tx1"/>
                  </a:solidFill>
                </a:uFill>
                <a:latin typeface="Times New Roman" charset="0"/>
                <a:ea typeface="黑体" panose="02010609060101010101" charset="-122"/>
                <a:cs typeface="黑体" panose="02010609060101010101" charset="-122"/>
                <a:sym typeface="黑体" panose="02010609060101010101" charset="-122"/>
              </a:defRPr>
            </a:pPr>
            <a:endParaRPr lang="zh-CN"/>
          </a:p>
        </c:txPr>
        <c:crossAx val="866437944"/>
        <c:crosses val="autoZero"/>
        <c:crossBetween val="between"/>
      </c:valAx>
      <c:spPr>
        <a:noFill/>
        <a:ln w="9525" cmpd="sng">
          <a:solidFill>
            <a:srgbClr val="000000"/>
          </a:solidFill>
          <a:prstDash val="solid"/>
        </a:ln>
        <a:effectLst/>
      </c:spPr>
    </c:plotArea>
    <c:plotVisOnly val="1"/>
    <c:dispBlanksAs val="gap"/>
    <c:showDLblsOverMax val="0"/>
  </c:chart>
  <c:spPr>
    <a:solidFill>
      <a:schemeClr val="bg1"/>
    </a:solidFill>
    <a:ln w="9525" cap="flat" cmpd="sng" algn="ctr">
      <a:noFill/>
      <a:prstDash val="solid"/>
      <a:round/>
    </a:ln>
    <a:effectLst/>
  </c:spPr>
  <c:txPr>
    <a:bodyPr/>
    <a:lstStyle/>
    <a:p>
      <a:pPr>
        <a:defRPr lang="zh-CN" sz="900" u="none" strike="noStrike" kern="1200" cap="none" spc="0" normalizeH="0">
          <a:solidFill>
            <a:schemeClr val="tx1"/>
          </a:solidFill>
          <a:uFill>
            <a:solidFill>
              <a:schemeClr val="tx1"/>
            </a:solidFill>
          </a:uFill>
          <a:latin typeface="Times New Roman" charset="0"/>
        </a:defRPr>
      </a:pPr>
      <a:endParaRPr lang="zh-CN"/>
    </a:p>
  </c:txPr>
  <c:externalData r:id="rId2">
    <c:autoUpdate val="0"/>
  </c:externalData>
  <c:userShapes r:id="rId3"/>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ysClr val="windowText" lastClr="000000"/>
                </a:solidFill>
                <a:latin typeface="Times New Roman" charset="0"/>
                <a:ea typeface="Times New Roman" charset="0"/>
                <a:cs typeface="Times New Roman" charset="0"/>
                <a:sym typeface="Times New Roman" charset="0"/>
              </a:defRPr>
            </a:pPr>
            <a:r>
              <a:rPr lang="en-US" sz="800">
                <a:solidFill>
                  <a:sysClr val="windowText" lastClr="000000"/>
                </a:solidFill>
                <a:latin typeface="Times New Roman" charset="0"/>
                <a:ea typeface="Times New Roman" charset="0"/>
                <a:cs typeface="Times New Roman" charset="0"/>
                <a:sym typeface="Times New Roman" charset="0"/>
              </a:rPr>
              <a:t>100 million yuan</a:t>
            </a:r>
          </a:p>
        </c:rich>
      </c:tx>
      <c:layout>
        <c:manualLayout>
          <c:xMode val="edge"/>
          <c:yMode val="edge"/>
          <c:x val="4.4285184114628397E-3"/>
          <c:y val="1.45650395107018E-2"/>
        </c:manualLayout>
      </c:layout>
      <c:overlay val="0"/>
      <c:spPr>
        <a:noFill/>
        <a:ln>
          <a:noFill/>
        </a:ln>
        <a:effectLst/>
      </c:spPr>
      <c:txPr>
        <a:bodyPr rot="0" spcFirstLastPara="0" vertOverflow="ellipsis" vert="horz" wrap="square" anchor="ctr" anchorCtr="1"/>
        <a:lstStyle/>
        <a:p>
          <a:pPr defTabSz="914400">
            <a:defRPr lang="zh-CN" sz="1400" b="0" i="0" u="none" strike="noStrike" kern="1200" spc="0" baseline="0">
              <a:solidFill>
                <a:sysClr val="windowText" lastClr="000000"/>
              </a:solidFill>
              <a:latin typeface="Times New Roman" charset="0"/>
              <a:ea typeface="Times New Roman" charset="0"/>
              <a:cs typeface="Times New Roman" charset="0"/>
              <a:sym typeface="Times New Roman" charset="0"/>
            </a:defRPr>
          </a:pPr>
          <a:endParaRPr lang="zh-CN"/>
        </a:p>
      </c:txPr>
    </c:title>
    <c:autoTitleDeleted val="0"/>
    <c:plotArea>
      <c:layout>
        <c:manualLayout>
          <c:layoutTarget val="inner"/>
          <c:xMode val="edge"/>
          <c:yMode val="edge"/>
          <c:x val="6.5938760977925504E-2"/>
          <c:y val="0.10464820929641901"/>
          <c:w val="0.93050083076192702"/>
          <c:h val="0.77302514605029204"/>
        </c:manualLayout>
      </c:layout>
      <c:barChart>
        <c:barDir val="col"/>
        <c:grouping val="stacked"/>
        <c:varyColors val="0"/>
        <c:ser>
          <c:idx val="0"/>
          <c:order val="0"/>
          <c:tx>
            <c:strRef>
              <c:f>[2.xlsx]Sheet4!$B$3</c:f>
              <c:strCache>
                <c:ptCount val="1"/>
                <c:pt idx="0">
                  <c:v>Value of exports of goods</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ysClr val="windowText" lastClr="000000"/>
                    </a:solidFill>
                    <a:latin typeface="Times New Roman" charset="0"/>
                    <a:ea typeface="Times New Roman" charset="0"/>
                    <a:cs typeface="Times New Roman" charset="0"/>
                    <a:sym typeface="Times New Roman" charset="0"/>
                  </a:defRPr>
                </a:pPr>
                <a:endParaRPr lang="zh-CN"/>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[2.xlsx]Sheet4!$A$4:$A$8</c:f>
              <c:numCache>
                <c:formatCode>General</c:formatCode>
                <c:ptCount val="5"/>
                <c:pt idx="0">
                  <c:v>2016</c:v>
                </c:pt>
                <c:pt idx="1">
                  <c:v>2017</c:v>
                </c:pt>
                <c:pt idx="2">
                  <c:v>2018</c:v>
                </c:pt>
                <c:pt idx="3">
                  <c:v>2019</c:v>
                </c:pt>
                <c:pt idx="4">
                  <c:v>2020</c:v>
                </c:pt>
              </c:numCache>
            </c:numRef>
          </c:cat>
          <c:val>
            <c:numRef>
              <c:f>[2.xlsx]Sheet4!$B$4:$B$8</c:f>
              <c:numCache>
                <c:formatCode>0.0_ </c:formatCode>
                <c:ptCount val="5"/>
                <c:pt idx="0">
                  <c:v>1718</c:v>
                </c:pt>
                <c:pt idx="1">
                  <c:v>2063.6999999999998</c:v>
                </c:pt>
                <c:pt idx="2">
                  <c:v>2253.1999999999998</c:v>
                </c:pt>
                <c:pt idx="3">
                  <c:v>2486</c:v>
                </c:pt>
                <c:pt idx="4">
                  <c:v>2702</c:v>
                </c:pt>
              </c:numCache>
            </c:numRef>
          </c:val>
          <c:extLst xmlns:c16r2="http://schemas.microsoft.com/office/drawing/2015/06/chart">
            <c:ext xmlns:c16="http://schemas.microsoft.com/office/drawing/2014/chart" uri="{C3380CC4-5D6E-409C-BE32-E72D297353CC}">
              <c16:uniqueId val="{00000000-16A8-4953-A476-4310CDFA7188}"/>
            </c:ext>
          </c:extLst>
        </c:ser>
        <c:ser>
          <c:idx val="1"/>
          <c:order val="1"/>
          <c:tx>
            <c:strRef>
              <c:f>[2.xlsx]Sheet4!$C$3</c:f>
              <c:strCache>
                <c:ptCount val="1"/>
                <c:pt idx="0">
                  <c:v>Value of imports of goods</c:v>
                </c:pt>
              </c:strCache>
            </c:strRef>
          </c:tx>
          <c:spPr>
            <a:solidFill>
              <a:srgbClr val="FF7777"/>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ysClr val="windowText" lastClr="000000"/>
                    </a:solidFill>
                    <a:latin typeface="Times New Roman" charset="0"/>
                    <a:ea typeface="Times New Roman" charset="0"/>
                    <a:cs typeface="Times New Roman" charset="0"/>
                    <a:sym typeface="Times New Roman" charset="0"/>
                  </a:defRPr>
                </a:pPr>
                <a:endParaRPr lang="zh-CN"/>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[2.xlsx]Sheet4!$A$4:$A$8</c:f>
              <c:numCache>
                <c:formatCode>General</c:formatCode>
                <c:ptCount val="5"/>
                <c:pt idx="0">
                  <c:v>2016</c:v>
                </c:pt>
                <c:pt idx="1">
                  <c:v>2017</c:v>
                </c:pt>
                <c:pt idx="2">
                  <c:v>2018</c:v>
                </c:pt>
                <c:pt idx="3">
                  <c:v>2019</c:v>
                </c:pt>
                <c:pt idx="4">
                  <c:v>2020</c:v>
                </c:pt>
              </c:numCache>
            </c:numRef>
          </c:cat>
          <c:val>
            <c:numRef>
              <c:f>[2.xlsx]Sheet4!$C$4:$C$8</c:f>
              <c:numCache>
                <c:formatCode>0.0_ </c:formatCode>
                <c:ptCount val="5"/>
                <c:pt idx="0">
                  <c:v>881.6</c:v>
                </c:pt>
                <c:pt idx="1">
                  <c:v>1070.8</c:v>
                </c:pt>
                <c:pt idx="2">
                  <c:v>1234</c:v>
                </c:pt>
                <c:pt idx="3">
                  <c:v>1458.8</c:v>
                </c:pt>
                <c:pt idx="4">
                  <c:v>1592.1</c:v>
                </c:pt>
              </c:numCache>
            </c:numRef>
          </c:val>
          <c:extLst xmlns:c16r2="http://schemas.microsoft.com/office/drawing/2015/06/chart">
            <c:ext xmlns:c16="http://schemas.microsoft.com/office/drawing/2014/chart" uri="{C3380CC4-5D6E-409C-BE32-E72D297353CC}">
              <c16:uniqueId val="{00000001-16A8-4953-A476-4310CDFA7188}"/>
            </c:ext>
          </c:extLst>
        </c:ser>
        <c:dLbls>
          <c:showLegendKey val="0"/>
          <c:showVal val="1"/>
          <c:showCatName val="0"/>
          <c:showSerName val="0"/>
          <c:showPercent val="0"/>
          <c:showBubbleSize val="0"/>
        </c:dLbls>
        <c:gapWidth val="150"/>
        <c:overlap val="100"/>
        <c:axId val="866439120"/>
        <c:axId val="866439512"/>
      </c:barChart>
      <c:catAx>
        <c:axId val="866439120"/>
        <c:scaling>
          <c:orientation val="minMax"/>
        </c:scaling>
        <c:delete val="0"/>
        <c:axPos val="b"/>
        <c:numFmt formatCode="General" sourceLinked="0"/>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Times New Roman" charset="0"/>
                <a:ea typeface="Times New Roman" charset="0"/>
                <a:cs typeface="Times New Roman" charset="0"/>
                <a:sym typeface="Times New Roman" charset="0"/>
              </a:defRPr>
            </a:pPr>
            <a:endParaRPr lang="zh-CN"/>
          </a:p>
        </c:txPr>
        <c:crossAx val="866439512"/>
        <c:crosses val="autoZero"/>
        <c:auto val="1"/>
        <c:lblAlgn val="ctr"/>
        <c:lblOffset val="100"/>
        <c:noMultiLvlLbl val="0"/>
      </c:catAx>
      <c:valAx>
        <c:axId val="866439512"/>
        <c:scaling>
          <c:orientation val="minMax"/>
        </c:scaling>
        <c:delete val="0"/>
        <c:axPos val="l"/>
        <c:majorGridlines>
          <c:spPr>
            <a:ln w="9525" cap="flat" cmpd="sng" algn="ctr">
              <a:solidFill>
                <a:schemeClr val="bg1"/>
              </a:solidFill>
              <a:round/>
            </a:ln>
            <a:effectLst/>
          </c:spPr>
        </c:majorGridlines>
        <c:numFmt formatCode="General" sourceLinked="0"/>
        <c:majorTickMark val="in"/>
        <c:minorTickMark val="none"/>
        <c:tickLblPos val="nextTo"/>
        <c:spPr>
          <a:noFill/>
          <a:ln>
            <a:solidFill>
              <a:schemeClr val="accent1"/>
            </a:solidFill>
          </a:ln>
          <a:effectLst/>
        </c:spPr>
        <c:txPr>
          <a:bodyPr rot="0" spcFirstLastPara="0" vertOverflow="ellipsis" wrap="square" anchor="ctr" anchorCtr="1"/>
          <a:lstStyle/>
          <a:p>
            <a:pPr>
              <a:defRPr lang="zh-CN" sz="900" b="0" i="0" u="none" strike="noStrike" kern="1200" baseline="0">
                <a:solidFill>
                  <a:sysClr val="windowText" lastClr="000000"/>
                </a:solidFill>
                <a:latin typeface="Times New Roman" charset="0"/>
                <a:ea typeface="Times New Roman" charset="0"/>
                <a:cs typeface="Times New Roman" charset="0"/>
                <a:sym typeface="Times New Roman" charset="0"/>
              </a:defRPr>
            </a:pPr>
            <a:endParaRPr lang="zh-CN"/>
          </a:p>
        </c:txPr>
        <c:crossAx val="866439120"/>
        <c:crosses val="autoZero"/>
        <c:crossBetween val="between"/>
      </c:valAx>
      <c:spPr>
        <a:solidFill>
          <a:schemeClr val="accent1">
            <a:lumMod val="20000"/>
            <a:lumOff val="80000"/>
          </a:schemeClr>
        </a:solidFill>
        <a:ln>
          <a:solidFill>
            <a:schemeClr val="tx1"/>
          </a:solidFill>
        </a:ln>
        <a:effectLst/>
      </c:spPr>
    </c:plotArea>
    <c:legend>
      <c:legendPos val="t"/>
      <c:layout>
        <c:manualLayout>
          <c:xMode val="edge"/>
          <c:yMode val="edge"/>
          <c:x val="9.4469499169238094E-2"/>
          <c:y val="0.117415868337018"/>
          <c:w val="0.57061476382625198"/>
          <c:h val="8.1798084008843003E-2"/>
        </c:manualLayout>
      </c:layout>
      <c:overlay val="1"/>
      <c:spPr>
        <a:noFill/>
        <a:ln>
          <a:noFill/>
        </a:ln>
        <a:effectLst/>
      </c:spPr>
      <c:txPr>
        <a:bodyPr rot="0" spcFirstLastPara="1" vertOverflow="ellipsis" vert="horz" wrap="square" anchor="ctr" anchorCtr="1"/>
        <a:lstStyle/>
        <a:p>
          <a:pPr>
            <a:defRPr lang="zh-CN" sz="900" b="0" i="0" u="none" strike="noStrike" kern="1200" baseline="0">
              <a:solidFill>
                <a:sysClr val="windowText" lastClr="000000"/>
              </a:solidFill>
              <a:latin typeface="Times New Roman" charset="0"/>
              <a:ea typeface="Times New Roman" charset="0"/>
              <a:cs typeface="Times New Roman" charset="0"/>
              <a:sym typeface="Times New Roman" charset="0"/>
            </a:defRPr>
          </a:pPr>
          <a:endParaRPr lang="zh-CN"/>
        </a:p>
      </c:txPr>
    </c:legend>
    <c:plotVisOnly val="1"/>
    <c:dispBlanksAs val="gap"/>
    <c:showDLblsOverMax val="0"/>
  </c:chart>
  <c:spPr>
    <a:solidFill>
      <a:schemeClr val="bg1"/>
    </a:solidFill>
    <a:ln w="9525" cap="flat" cmpd="sng" algn="ctr">
      <a:noFill/>
      <a:round/>
    </a:ln>
    <a:effectLst/>
  </c:spPr>
  <c:txPr>
    <a:bodyPr rot="0" vert="horz" anchor="t" anchorCtr="0"/>
    <a:lstStyle/>
    <a:p>
      <a:pPr>
        <a:defRPr lang="zh-CN">
          <a:solidFill>
            <a:sysClr val="windowText" lastClr="000000"/>
          </a:solidFill>
          <a:latin typeface="Times New Roman" charset="0"/>
          <a:ea typeface="Times New Roman" charset="0"/>
          <a:cs typeface="Times New Roman" charset="0"/>
          <a:sym typeface="Times New Roman" charset="0"/>
        </a:defRPr>
      </a:pPr>
      <a:endParaRPr lang="zh-CN"/>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5325212094844501E-2"/>
          <c:y val="7.8333970194879601E-2"/>
          <c:w val="0.92760495975636303"/>
          <c:h val="0.84302636606801695"/>
        </c:manualLayout>
      </c:layout>
      <c:barChart>
        <c:barDir val="col"/>
        <c:grouping val="clustered"/>
        <c:varyColors val="0"/>
        <c:ser>
          <c:idx val="0"/>
          <c:order val="0"/>
          <c:tx>
            <c:strRef>
              <c:f>[4.xlsx]Sheet4!$B$3</c:f>
              <c:strCache>
                <c:ptCount val="1"/>
                <c:pt idx="0">
                  <c:v>Business volume of express delivery (100 million pieces)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ysClr val="windowText" lastClr="000000"/>
                    </a:solidFill>
                    <a:latin typeface="Times New Roman" charset="0"/>
                    <a:ea typeface="Times New Roman" charset="0"/>
                    <a:cs typeface="Times New Roman" charset="0"/>
                    <a:sym typeface="Times New Roman" charset="0"/>
                  </a:defRPr>
                </a:pPr>
                <a:endParaRPr lang="zh-CN"/>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[4.xlsx]Sheet4!$A$4:$A$8</c:f>
              <c:numCache>
                <c:formatCode>General</c:formatCode>
                <c:ptCount val="5"/>
                <c:pt idx="0">
                  <c:v>2016</c:v>
                </c:pt>
                <c:pt idx="1">
                  <c:v>2017</c:v>
                </c:pt>
                <c:pt idx="2">
                  <c:v>2018</c:v>
                </c:pt>
                <c:pt idx="3">
                  <c:v>2019</c:v>
                </c:pt>
                <c:pt idx="4">
                  <c:v>2020</c:v>
                </c:pt>
              </c:numCache>
            </c:numRef>
          </c:cat>
          <c:val>
            <c:numRef>
              <c:f>[4.xlsx]Sheet4!$B$4:$B$8</c:f>
              <c:numCache>
                <c:formatCode>General</c:formatCode>
                <c:ptCount val="5"/>
                <c:pt idx="0">
                  <c:v>7.73</c:v>
                </c:pt>
                <c:pt idx="1">
                  <c:v>10.130000000000001</c:v>
                </c:pt>
                <c:pt idx="2">
                  <c:v>13.53</c:v>
                </c:pt>
                <c:pt idx="3">
                  <c:v>16.850000000000001</c:v>
                </c:pt>
                <c:pt idx="4">
                  <c:v>17.850000000000001</c:v>
                </c:pt>
              </c:numCache>
            </c:numRef>
          </c:val>
          <c:extLst xmlns:c16r2="http://schemas.microsoft.com/office/drawing/2015/06/chart">
            <c:ext xmlns:c16="http://schemas.microsoft.com/office/drawing/2014/chart" uri="{C3380CC4-5D6E-409C-BE32-E72D297353CC}">
              <c16:uniqueId val="{00000000-CC9A-4D4E-AC33-AC6B023331D2}"/>
            </c:ext>
          </c:extLst>
        </c:ser>
        <c:dLbls>
          <c:showLegendKey val="0"/>
          <c:showVal val="1"/>
          <c:showCatName val="0"/>
          <c:showSerName val="0"/>
          <c:showPercent val="0"/>
          <c:showBubbleSize val="0"/>
        </c:dLbls>
        <c:gapWidth val="150"/>
        <c:axId val="866440296"/>
        <c:axId val="866440688"/>
      </c:barChart>
      <c:lineChart>
        <c:grouping val="standard"/>
        <c:varyColors val="0"/>
        <c:ser>
          <c:idx val="1"/>
          <c:order val="1"/>
          <c:tx>
            <c:strRef>
              <c:f>[4.xlsx]Sheet4!$C$3</c:f>
              <c:strCache>
                <c:ptCount val="1"/>
                <c:pt idx="0">
                  <c:v>YoY growth (%)</c:v>
                </c:pt>
              </c:strCache>
            </c:strRef>
          </c:tx>
          <c:spPr>
            <a:ln w="28575" cap="rnd">
              <a:solidFill>
                <a:srgbClr val="C00000"/>
              </a:solidFill>
              <a:round/>
            </a:ln>
            <a:effectLst/>
          </c:spPr>
          <c:marker>
            <c:symbol val="circle"/>
            <c:size val="5"/>
            <c:spPr>
              <a:solidFill>
                <a:srgbClr val="FFFF00"/>
              </a:solidFill>
              <a:ln w="9525">
                <a:solidFill>
                  <a:schemeClr val="accent6"/>
                </a:solidFill>
              </a:ln>
              <a:effectLst/>
            </c:spPr>
          </c:marker>
          <c:dLbls>
            <c:dLbl>
              <c:idx val="0"/>
              <c:layout>
                <c:manualLayout>
                  <c:x val="0"/>
                  <c:y val="-1.76704828272773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CC9A-4D4E-AC33-AC6B023331D2}"/>
                </c:ext>
                <c:ext xmlns:c15="http://schemas.microsoft.com/office/drawing/2012/chart" uri="{CE6537A1-D6FC-4f65-9D91-7224C49458BB}"/>
              </c:extLst>
            </c:dLbl>
            <c:dLbl>
              <c:idx val="1"/>
              <c:layout>
                <c:manualLayout>
                  <c:x val="-1.4967145290825001E-2"/>
                  <c:y val="-7.0184171229467407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CC9A-4D4E-AC33-AC6B023331D2}"/>
                </c:ext>
                <c:ext xmlns:c15="http://schemas.microsoft.com/office/drawing/2012/chart" uri="{CE6537A1-D6FC-4f65-9D91-7224C49458BB}"/>
              </c:extLst>
            </c:dLbl>
            <c:dLbl>
              <c:idx val="2"/>
              <c:layout>
                <c:manualLayout>
                  <c:x val="3.2854709174981699E-3"/>
                  <c:y val="-1.9661523145843698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CC9A-4D4E-AC33-AC6B023331D2}"/>
                </c:ext>
                <c:ext xmlns:c15="http://schemas.microsoft.com/office/drawing/2012/chart" uri="{CE6537A1-D6FC-4f65-9D91-7224C49458BB}"/>
              </c:extLst>
            </c:dLbl>
            <c:dLbl>
              <c:idx val="3"/>
              <c:layout>
                <c:manualLayout>
                  <c:x val="-8.5178875638841599E-3"/>
                  <c:y val="-4.8033847685415597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CC9A-4D4E-AC33-AC6B023331D2}"/>
                </c:ext>
                <c:ext xmlns:c15="http://schemas.microsoft.com/office/drawing/2012/chart" uri="{CE6537A1-D6FC-4f65-9D91-7224C49458BB}"/>
              </c:extLst>
            </c:dLbl>
            <c:dLbl>
              <c:idx val="4"/>
              <c:layout>
                <c:manualLayout>
                  <c:x val="2.14164030177659E-2"/>
                  <c:y val="6.4708810353409701E-3"/>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CC9A-4D4E-AC33-AC6B023331D2}"/>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ysClr val="windowText" lastClr="000000"/>
                    </a:solidFill>
                    <a:latin typeface="Times New Roman" charset="0"/>
                    <a:ea typeface="Times New Roman" charset="0"/>
                    <a:cs typeface="Times New Roman" charset="0"/>
                    <a:sym typeface="Times New Roman" charset="0"/>
                  </a:defRPr>
                </a:pPr>
                <a:endParaRPr lang="zh-CN"/>
              </a:p>
            </c:txPr>
            <c:dLblPos val="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[4.xlsx]Sheet4!$C$4:$C$8</c:f>
              <c:numCache>
                <c:formatCode>General</c:formatCode>
                <c:ptCount val="5"/>
                <c:pt idx="0">
                  <c:v>52.1</c:v>
                </c:pt>
                <c:pt idx="1">
                  <c:v>30.9</c:v>
                </c:pt>
                <c:pt idx="2">
                  <c:v>33.6</c:v>
                </c:pt>
                <c:pt idx="3">
                  <c:v>24.5</c:v>
                </c:pt>
                <c:pt idx="4">
                  <c:v>5.9</c:v>
                </c:pt>
              </c:numCache>
            </c:numRef>
          </c:val>
          <c:smooth val="0"/>
          <c:extLst xmlns:c16r2="http://schemas.microsoft.com/office/drawing/2015/06/chart">
            <c:ext xmlns:c16="http://schemas.microsoft.com/office/drawing/2014/chart" uri="{C3380CC4-5D6E-409C-BE32-E72D297353CC}">
              <c16:uniqueId val="{00000006-CC9A-4D4E-AC33-AC6B023331D2}"/>
            </c:ext>
          </c:extLst>
        </c:ser>
        <c:dLbls>
          <c:showLegendKey val="0"/>
          <c:showVal val="1"/>
          <c:showCatName val="0"/>
          <c:showSerName val="0"/>
          <c:showPercent val="0"/>
          <c:showBubbleSize val="0"/>
        </c:dLbls>
        <c:marker val="1"/>
        <c:smooth val="0"/>
        <c:axId val="866440296"/>
        <c:axId val="866440688"/>
      </c:lineChart>
      <c:catAx>
        <c:axId val="866440296"/>
        <c:scaling>
          <c:orientation val="minMax"/>
        </c:scaling>
        <c:delete val="0"/>
        <c:axPos val="b"/>
        <c:numFmt formatCode="General" sourceLinked="0"/>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Times New Roman" charset="0"/>
                <a:ea typeface="Times New Roman" charset="0"/>
                <a:cs typeface="Times New Roman" charset="0"/>
                <a:sym typeface="Times New Roman" charset="0"/>
              </a:defRPr>
            </a:pPr>
            <a:endParaRPr lang="zh-CN"/>
          </a:p>
        </c:txPr>
        <c:crossAx val="866440688"/>
        <c:crosses val="autoZero"/>
        <c:auto val="1"/>
        <c:lblAlgn val="ctr"/>
        <c:lblOffset val="100"/>
        <c:noMultiLvlLbl val="0"/>
      </c:catAx>
      <c:valAx>
        <c:axId val="866440688"/>
        <c:scaling>
          <c:orientation val="minMax"/>
        </c:scaling>
        <c:delete val="0"/>
        <c:axPos val="l"/>
        <c:majorGridlines>
          <c:spPr>
            <a:ln w="9525" cap="flat" cmpd="sng" algn="ctr">
              <a:solidFill>
                <a:schemeClr val="bg1"/>
              </a:solidFill>
              <a:round/>
            </a:ln>
            <a:effectLst/>
          </c:spPr>
        </c:majorGridlines>
        <c:numFmt formatCode="#,##0.00_);[Red]\(#,##0.00\)" sourceLinked="0"/>
        <c:majorTickMark val="in"/>
        <c:minorTickMark val="none"/>
        <c:tickLblPos val="nextTo"/>
        <c:spPr>
          <a:solidFill>
            <a:schemeClr val="bg1"/>
          </a:solidFill>
          <a:ln>
            <a:solidFill>
              <a:schemeClr val="tx1"/>
            </a:solidFill>
          </a:ln>
          <a:effectLst/>
        </c:spPr>
        <c:txPr>
          <a:bodyPr rot="0" spcFirstLastPara="0" vertOverflow="ellipsis" wrap="square" anchor="ctr" anchorCtr="1"/>
          <a:lstStyle/>
          <a:p>
            <a:pPr>
              <a:defRPr lang="zh-CN" sz="900" b="0" i="0" u="none" strike="noStrike" kern="1200" baseline="0">
                <a:solidFill>
                  <a:sysClr val="windowText" lastClr="000000"/>
                </a:solidFill>
                <a:latin typeface="Times New Roman" charset="0"/>
                <a:ea typeface="Times New Roman" charset="0"/>
                <a:cs typeface="Times New Roman" charset="0"/>
                <a:sym typeface="Times New Roman" charset="0"/>
              </a:defRPr>
            </a:pPr>
            <a:endParaRPr lang="zh-CN"/>
          </a:p>
        </c:txPr>
        <c:crossAx val="866440296"/>
        <c:crosses val="autoZero"/>
        <c:crossBetween val="between"/>
      </c:valAx>
      <c:spPr>
        <a:noFill/>
        <a:ln>
          <a:solidFill>
            <a:schemeClr val="tx1"/>
          </a:solidFill>
        </a:ln>
        <a:effectLst/>
      </c:spPr>
    </c:plotArea>
    <c:legend>
      <c:legendPos val="r"/>
      <c:layout>
        <c:manualLayout>
          <c:xMode val="edge"/>
          <c:yMode val="edge"/>
          <c:x val="0.66350643570491796"/>
          <c:y val="0.103166339930382"/>
        </c:manualLayout>
      </c:layout>
      <c:overlay val="1"/>
      <c:spPr>
        <a:noFill/>
        <a:ln>
          <a:noFill/>
        </a:ln>
        <a:effectLst/>
      </c:spPr>
      <c:txPr>
        <a:bodyPr rot="0" spcFirstLastPara="1" vertOverflow="ellipsis" vert="horz" wrap="square" anchor="ctr" anchorCtr="1"/>
        <a:lstStyle/>
        <a:p>
          <a:pPr>
            <a:defRPr lang="zh-CN" sz="900" b="0" i="0" u="none" strike="noStrike" kern="1200" baseline="0">
              <a:solidFill>
                <a:sysClr val="windowText" lastClr="000000"/>
              </a:solidFill>
              <a:latin typeface="Times New Roman" charset="0"/>
              <a:ea typeface="Times New Roman" charset="0"/>
              <a:cs typeface="Times New Roman" charset="0"/>
              <a:sym typeface="Times New Roman" charset="0"/>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rot="0" vert="horz" anchor="t" anchorCtr="0"/>
    <a:lstStyle/>
    <a:p>
      <a:pPr>
        <a:defRPr lang="zh-CN">
          <a:solidFill>
            <a:sysClr val="windowText" lastClr="000000"/>
          </a:solidFill>
          <a:latin typeface="Times New Roman" charset="0"/>
          <a:ea typeface="Times New Roman" charset="0"/>
          <a:cs typeface="Times New Roman" charset="0"/>
          <a:sym typeface="Times New Roman" charset="0"/>
        </a:defRPr>
      </a:pPr>
      <a:endParaRPr lang="zh-CN"/>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900" b="0" i="0" u="none" strike="noStrike" kern="1200" spc="0" baseline="0">
                <a:solidFill>
                  <a:schemeClr val="tx1">
                    <a:lumMod val="65000"/>
                    <a:lumOff val="35000"/>
                  </a:schemeClr>
                </a:solidFill>
                <a:latin typeface="Times New Roman" charset="0"/>
                <a:ea typeface="Times New Roman" charset="0"/>
                <a:cs typeface="Times New Roman" charset="0"/>
                <a:sym typeface="Times New Roman" charset="0"/>
              </a:defRPr>
            </a:pPr>
            <a:r>
              <a:rPr lang="en-US" altLang="zh-CN" sz="900">
                <a:solidFill>
                  <a:schemeClr val="tx1"/>
                </a:solidFill>
                <a:latin typeface="Times New Roman" charset="0"/>
                <a:ea typeface="Times New Roman" charset="0"/>
                <a:cs typeface="Times New Roman" charset="0"/>
                <a:sym typeface="Times New Roman" charset="0"/>
              </a:rPr>
              <a:t>10 000 users</a:t>
            </a:r>
          </a:p>
        </c:rich>
      </c:tx>
      <c:layout>
        <c:manualLayout>
          <c:xMode val="edge"/>
          <c:yMode val="edge"/>
          <c:x val="2.3689170822198301E-2"/>
          <c:y val="7.8843626806833107E-3"/>
        </c:manualLayout>
      </c:layout>
      <c:overlay val="0"/>
      <c:spPr>
        <a:noFill/>
        <a:ln>
          <a:noFill/>
        </a:ln>
        <a:effectLst/>
      </c:spPr>
      <c:txPr>
        <a:bodyPr rot="0" spcFirstLastPara="0" vertOverflow="ellipsis" vert="horz" wrap="square" anchor="ctr" anchorCtr="1"/>
        <a:lstStyle/>
        <a:p>
          <a:pPr defTabSz="914400">
            <a:defRPr lang="zh-CN" sz="900" b="0" i="0" u="none" strike="noStrike" kern="1200" spc="0" baseline="0">
              <a:solidFill>
                <a:schemeClr val="tx1">
                  <a:lumMod val="65000"/>
                  <a:lumOff val="35000"/>
                </a:schemeClr>
              </a:solidFill>
              <a:latin typeface="Times New Roman" charset="0"/>
              <a:ea typeface="Times New Roman" charset="0"/>
              <a:cs typeface="Times New Roman" charset="0"/>
              <a:sym typeface="Times New Roman" charset="0"/>
            </a:defRPr>
          </a:pPr>
          <a:endParaRPr lang="zh-CN"/>
        </a:p>
      </c:txPr>
    </c:title>
    <c:autoTitleDeleted val="0"/>
    <c:plotArea>
      <c:layout>
        <c:manualLayout>
          <c:layoutTarget val="inner"/>
          <c:xMode val="edge"/>
          <c:yMode val="edge"/>
          <c:x val="0.103719315645921"/>
          <c:y val="0.120630749014455"/>
          <c:w val="0.89144557401438096"/>
          <c:h val="0.75148488830486204"/>
        </c:manualLayout>
      </c:layout>
      <c:barChart>
        <c:barDir val="col"/>
        <c:grouping val="clustered"/>
        <c:varyColors val="0"/>
        <c:ser>
          <c:idx val="0"/>
          <c:order val="0"/>
          <c:tx>
            <c:strRef>
              <c:f>[宽带.xlsx]Sheet2!$B$2</c:f>
              <c:strCache>
                <c:ptCount val="1"/>
                <c:pt idx="0">
                  <c:v>互联网宽带 users</c:v>
                </c:pt>
              </c:strCache>
            </c:strRef>
          </c:tx>
          <c:spPr>
            <a:solidFill>
              <a:schemeClr val="accent1"/>
            </a:solidFill>
            <a:ln>
              <a:noFill/>
            </a:ln>
            <a:effectLst>
              <a:innerShdw blurRad="63500" dist="50800" dir="16200000">
                <a:prstClr val="black">
                  <a:alpha val="50000"/>
                </a:prstClr>
              </a:innerShdw>
            </a:effectLst>
          </c:spPr>
          <c:invertIfNegative val="0"/>
          <c:dLbls>
            <c:dLbl>
              <c:idx val="0"/>
              <c:layout>
                <c:manualLayout>
                  <c:x val="0"/>
                  <c:y val="1.17279124315872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A7A7-41F0-8917-4CA0D418513E}"/>
                </c:ext>
                <c:ext xmlns:c15="http://schemas.microsoft.com/office/drawing/2012/chart" uri="{CE6537A1-D6FC-4f65-9D91-7224C49458BB}"/>
              </c:extLst>
            </c:dLbl>
            <c:dLbl>
              <c:idx val="1"/>
              <c:layout>
                <c:manualLayout>
                  <c:x val="1.7361111111111099E-3"/>
                  <c:y val="2.0523846755277599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A7A7-41F0-8917-4CA0D418513E}"/>
                </c:ext>
                <c:ext xmlns:c15="http://schemas.microsoft.com/office/drawing/2012/chart" uri="{CE6537A1-D6FC-4f65-9D91-7224C49458BB}"/>
              </c:extLst>
            </c:dLbl>
            <c:dLbl>
              <c:idx val="2"/>
              <c:layout>
                <c:manualLayout>
                  <c:x val="0"/>
                  <c:y val="1.4659890539483999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A7A7-41F0-8917-4CA0D418513E}"/>
                </c:ext>
                <c:ext xmlns:c15="http://schemas.microsoft.com/office/drawing/2012/chart" uri="{CE6537A1-D6FC-4f65-9D91-7224C49458BB}"/>
              </c:extLst>
            </c:dLbl>
            <c:dLbl>
              <c:idx val="3"/>
              <c:layout>
                <c:manualLayout>
                  <c:x val="0"/>
                  <c:y val="8.7959343236903801E-3"/>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A7A7-41F0-8917-4CA0D418513E}"/>
                </c:ext>
                <c:ext xmlns:c15="http://schemas.microsoft.com/office/drawing/2012/chart" uri="{CE6537A1-D6FC-4f65-9D91-7224C49458BB}"/>
              </c:extLst>
            </c:dLbl>
            <c:dLbl>
              <c:idx val="4"/>
              <c:layout>
                <c:manualLayout>
                  <c:x val="1.2780295108632399E-3"/>
                  <c:y val="2.4104399015843402E-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A7A7-41F0-8917-4CA0D418513E}"/>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Times New Roman" charset="0"/>
                    <a:ea typeface="Times New Roman" charset="0"/>
                    <a:cs typeface="Times New Roman" charset="0"/>
                    <a:sym typeface="Times New Roman" charset="0"/>
                  </a:defRPr>
                </a:pPr>
                <a:endParaRPr lang="zh-CN"/>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[宽带.xlsx]Sheet2!$A$3:$A$7</c:f>
              <c:numCache>
                <c:formatCode>General</c:formatCode>
                <c:ptCount val="5"/>
                <c:pt idx="0">
                  <c:v>2016</c:v>
                </c:pt>
                <c:pt idx="1">
                  <c:v>2017</c:v>
                </c:pt>
                <c:pt idx="2">
                  <c:v>2018</c:v>
                </c:pt>
                <c:pt idx="3">
                  <c:v>2019</c:v>
                </c:pt>
                <c:pt idx="4">
                  <c:v>2020</c:v>
                </c:pt>
              </c:numCache>
            </c:numRef>
          </c:cat>
          <c:val>
            <c:numRef>
              <c:f>[宽带.xlsx]Sheet2!$B$3:$B$7</c:f>
              <c:numCache>
                <c:formatCode>General</c:formatCode>
                <c:ptCount val="5"/>
                <c:pt idx="0">
                  <c:v>1131.8800000000001</c:v>
                </c:pt>
                <c:pt idx="1">
                  <c:v>1242.92</c:v>
                </c:pt>
                <c:pt idx="2">
                  <c:v>1480.73</c:v>
                </c:pt>
                <c:pt idx="3">
                  <c:v>1708.32</c:v>
                </c:pt>
                <c:pt idx="4">
                  <c:v>1870.16</c:v>
                </c:pt>
              </c:numCache>
            </c:numRef>
          </c:val>
          <c:extLst xmlns:c16r2="http://schemas.microsoft.com/office/drawing/2015/06/chart">
            <c:ext xmlns:c16="http://schemas.microsoft.com/office/drawing/2014/chart" uri="{C3380CC4-5D6E-409C-BE32-E72D297353CC}">
              <c16:uniqueId val="{00000005-A7A7-41F0-8917-4CA0D418513E}"/>
            </c:ext>
          </c:extLst>
        </c:ser>
        <c:dLbls>
          <c:showLegendKey val="0"/>
          <c:showVal val="1"/>
          <c:showCatName val="0"/>
          <c:showSerName val="0"/>
          <c:showPercent val="0"/>
          <c:showBubbleSize val="0"/>
        </c:dLbls>
        <c:gapWidth val="219"/>
        <c:overlap val="-27"/>
        <c:axId val="862883032"/>
        <c:axId val="862883424"/>
      </c:barChart>
      <c:catAx>
        <c:axId val="862883032"/>
        <c:scaling>
          <c:orientation val="minMax"/>
        </c:scaling>
        <c:delete val="0"/>
        <c:axPos val="b"/>
        <c:numFmt formatCode="General" sourceLinked="0"/>
        <c:majorTickMark val="in"/>
        <c:minorTickMark val="none"/>
        <c:tickLblPos val="nextTo"/>
        <c:spPr>
          <a:noFill/>
          <a:ln w="9525" cap="flat" cmpd="sng" algn="ctr">
            <a:solidFill>
              <a:schemeClr val="tx1"/>
            </a:solidFill>
            <a:round/>
          </a:ln>
          <a:effectLst/>
        </c:spPr>
        <c:txPr>
          <a:bodyPr rot="-60000000" spcFirstLastPara="0" vertOverflow="ellipsis" vert="horz" wrap="square" anchor="ctr" anchorCtr="1"/>
          <a:lstStyle/>
          <a:p>
            <a:pPr>
              <a:defRPr lang="zh-CN" sz="900" b="0" i="0" u="none" strike="noStrike" kern="1200" baseline="0">
                <a:solidFill>
                  <a:schemeClr val="tx1"/>
                </a:solidFill>
                <a:latin typeface="Times New Roman" charset="0"/>
                <a:ea typeface="Times New Roman" charset="0"/>
                <a:cs typeface="Times New Roman" charset="0"/>
                <a:sym typeface="Times New Roman" charset="0"/>
              </a:defRPr>
            </a:pPr>
            <a:endParaRPr lang="zh-CN"/>
          </a:p>
        </c:txPr>
        <c:crossAx val="862883424"/>
        <c:crosses val="autoZero"/>
        <c:auto val="1"/>
        <c:lblAlgn val="ctr"/>
        <c:lblOffset val="100"/>
        <c:noMultiLvlLbl val="0"/>
      </c:catAx>
      <c:valAx>
        <c:axId val="862883424"/>
        <c:scaling>
          <c:orientation val="minMax"/>
          <c:max val="2400"/>
        </c:scaling>
        <c:delete val="0"/>
        <c:axPos val="l"/>
        <c:numFmt formatCode="#,##0.00_);[Red]\(#,##0.00\)" sourceLinked="0"/>
        <c:majorTickMark val="in"/>
        <c:minorTickMark val="none"/>
        <c:tickLblPos val="nextTo"/>
        <c:spPr>
          <a:noFill/>
          <a:ln>
            <a:solidFill>
              <a:schemeClr val="tx1"/>
            </a:solidFill>
          </a:ln>
          <a:effectLst/>
        </c:spPr>
        <c:txPr>
          <a:bodyPr rot="-60000000" spcFirstLastPara="0" vertOverflow="ellipsis" vert="horz" wrap="square" anchor="ctr" anchorCtr="1"/>
          <a:lstStyle/>
          <a:p>
            <a:pPr>
              <a:defRPr lang="zh-CN" sz="900" b="0" i="0" u="none" strike="noStrike" kern="1200" baseline="0">
                <a:solidFill>
                  <a:schemeClr val="tx1"/>
                </a:solidFill>
                <a:latin typeface="Times New Roman" charset="0"/>
                <a:ea typeface="Times New Roman" charset="0"/>
                <a:cs typeface="Times New Roman" charset="0"/>
                <a:sym typeface="Times New Roman" charset="0"/>
              </a:defRPr>
            </a:pPr>
            <a:endParaRPr lang="zh-CN"/>
          </a:p>
        </c:txPr>
        <c:crossAx val="862883032"/>
        <c:crosses val="autoZero"/>
        <c:crossBetween val="between"/>
        <c:majorUnit val="400"/>
      </c:valAx>
      <c:spPr>
        <a:noFill/>
        <a:ln>
          <a:solidFill>
            <a:schemeClr val="tx1"/>
          </a:solidFill>
        </a:ln>
        <a:effectLst/>
      </c:spPr>
    </c:plotArea>
    <c:plotVisOnly val="1"/>
    <c:dispBlanksAs val="gap"/>
    <c:showDLblsOverMax val="0"/>
  </c:chart>
  <c:spPr>
    <a:solidFill>
      <a:schemeClr val="bg1"/>
    </a:solidFill>
    <a:ln w="9525" cap="flat" cmpd="sng" algn="ctr">
      <a:noFill/>
      <a:round/>
    </a:ln>
    <a:effectLst/>
  </c:spPr>
  <c:txPr>
    <a:bodyPr/>
    <a:lstStyle/>
    <a:p>
      <a:pPr>
        <a:defRPr lang="zh-CN" sz="900">
          <a:latin typeface="Times New Roman" charset="0"/>
          <a:ea typeface="Times New Roman" charset="0"/>
          <a:cs typeface="Times New Roman" charset="0"/>
          <a:sym typeface="Times New Roman" charset="0"/>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5">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5"/>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75000"/>
            <a:lumOff val="25000"/>
          </a:schemeClr>
        </a:solidFill>
      </a:ln>
    </cs:spPr>
  </cs:downBar>
  <cs:dropLine>
    <cs:lnRef idx="0"/>
    <cs:fillRef idx="0"/>
    <cs:effectRef idx="0"/>
    <cs:fontRef idx="minor">
      <a:schemeClr val="dk1"/>
    </cs:fontRef>
    <cs:spPr>
      <a:ln w="9525">
        <a:solidFill>
          <a:schemeClr val="tx1">
            <a:lumMod val="75000"/>
            <a:lumOff val="25000"/>
          </a:schemeClr>
        </a:solidFill>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75000"/>
            <a:lumOff val="2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0.02194</cdr:x>
      <cdr:y>0.06921</cdr:y>
    </cdr:from>
    <cdr:to>
      <cdr:x>0.11194</cdr:x>
      <cdr:y>0.1456</cdr:y>
    </cdr:to>
    <cdr:sp macro="" textlink="">
      <cdr:nvSpPr>
        <cdr:cNvPr id="2" name="矩形 1"/>
        <cdr:cNvSpPr/>
      </cdr:nvSpPr>
      <cdr:spPr>
        <a:xfrm xmlns:a="http://schemas.openxmlformats.org/drawingml/2006/main">
          <a:off x="100330" y="189865"/>
          <a:ext cx="411480" cy="209550"/>
        </a:xfrm>
        <a:prstGeom xmlns:a="http://schemas.openxmlformats.org/drawingml/2006/main" prst="rect">
          <a:avLst/>
        </a:prstGeom>
      </cdr:spPr>
      <cdr:txBody>
        <a:bodyPr xmlns:a="http://schemas.openxmlformats.org/drawingml/2006/main" vertOverflow="clip" horzOverflow="clip" vert="horz" wrap="square" lIns="45720" tIns="45720" rIns="45720" bIns="45720" rtlCol="0" anchor="t" anchorCtr="0">
          <a:normAutofit/>
        </a:bodyPr>
        <a:lstStyle xmlns:a="http://schemas.openxmlformats.org/drawingml/2006/main"/>
        <a:p xmlns:a="http://schemas.openxmlformats.org/drawingml/2006/main">
          <a:endParaRPr lang="zh-CN" altLang="en-US"/>
        </a:p>
      </cdr:txBody>
    </cdr:sp>
  </cdr:relSizeAnchor>
</c:userShap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4114</Words>
  <Characters>23455</Characters>
  <Application>Microsoft Office Word</Application>
  <DocSecurity>0</DocSecurity>
  <Lines>195</Lines>
  <Paragraphs>55</Paragraphs>
  <ScaleCrop>false</ScaleCrop>
  <Company>Microsoft</Company>
  <LinksUpToDate>false</LinksUpToDate>
  <CharactersWithSpaces>27514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孙再明(拟稿)</dc:creator>
  <cp:lastModifiedBy>Lenovo</cp:lastModifiedBy>
  <cp:revision>2</cp:revision>
  <cp:lastPrinted>2019-03-01T17:44:00Z</cp:lastPrinted>
  <dcterms:created xsi:type="dcterms:W3CDTF">2021-11-11T06:05:00Z</dcterms:created>
  <dcterms:modified xsi:type="dcterms:W3CDTF">2021-11-11T06:05:00Z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2052-11.8.2.10290</vt:lpwstr>
  </property>
  <property fmtid="{D5CDD505-2E9C-101B-9397-08002B2CF9AE}" pid="3" name="ICV">
    <vt:lpwstr>B237BB7939A84E80A810A93E999CF120</vt:lpwstr>
  </property>
</Properties>
</file>