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charts/chart8.xml" ContentType="application/vnd.openxmlformats-officedocument.drawingml.chart+xml"/>
  <Override PartName="/word/charts/chart9.xml" ContentType="application/vnd.openxmlformats-officedocument.drawingml.chart+xml"/>
  <Override PartName="/word/charts/colors1.xml" ContentType="application/vnd.ms-office.chartcolorstyle+xml"/>
  <Override PartName="/word/charts/colors2.xml" ContentType="application/vnd.ms-office.chartcolorstyle+xml"/>
  <Override PartName="/word/charts/colors3.xml" ContentType="application/vnd.ms-office.chartcolorstyle+xml"/>
  <Override PartName="/word/charts/colors4.xml" ContentType="application/vnd.ms-office.chartcolorstyle+xml"/>
  <Override PartName="/word/charts/colors5.xml" ContentType="application/vnd.ms-office.chartcolorstyle+xml"/>
  <Override PartName="/word/charts/colors6.xml" ContentType="application/vnd.ms-office.chartcolorstyle+xml"/>
  <Override PartName="/word/charts/colors7.xml" ContentType="application/vnd.ms-office.chartcolorstyle+xml"/>
  <Override PartName="/word/charts/colors8.xml" ContentType="application/vnd.ms-office.chartcolorstyle+xml"/>
  <Override PartName="/word/charts/style1.xml" ContentType="application/vnd.ms-office.chartstyle+xml"/>
  <Override PartName="/word/charts/style2.xml" ContentType="application/vnd.ms-office.chartstyle+xml"/>
  <Override PartName="/word/charts/style3.xml" ContentType="application/vnd.ms-office.chartstyle+xml"/>
  <Override PartName="/word/charts/style4.xml" ContentType="application/vnd.ms-office.chartstyle+xml"/>
  <Override PartName="/word/charts/style5.xml" ContentType="application/vnd.ms-office.chartstyle+xml"/>
  <Override PartName="/word/charts/style6.xml" ContentType="application/vnd.ms-office.chartstyle+xml"/>
  <Override PartName="/word/charts/style7.xml" ContentType="application/vnd.ms-office.chartstyle+xml"/>
  <Override PartName="/word/charts/style8.xml" ContentType="application/vnd.ms-office.chartstyle+xml"/>
  <Override PartName="/word/document.xml" ContentType="application/vnd.openxmlformats-officedocument.wordprocessingml.document.main+xml"/>
  <Override PartName="/word/drawings/drawing1.xml" ContentType="application/vnd.openxmlformats-officedocument.drawingml.chartshap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theme/themeOverride1.xml" ContentType="application/vnd.openxmlformats-officedocument.themeOverride+xml"/>
  <Override PartName="/word/theme/themeOverride2.xml" ContentType="application/vnd.openxmlformats-officedocument.themeOverrid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700" w:lineRule="exact"/>
        <w:ind w:left="0" w:leftChars="0" w:firstLine="0" w:firstLineChars="0"/>
        <w:jc w:val="center"/>
        <w:rPr>
          <w:rFonts w:hint="eastAsia" w:ascii="方正小标宋简体" w:hAnsi="宋体" w:eastAsia="方正小标宋简体" w:cs="宋体"/>
          <w:sz w:val="40"/>
          <w:szCs w:val="40"/>
        </w:rPr>
      </w:pPr>
      <w:r>
        <w:rPr>
          <w:rFonts w:hint="eastAsia" w:ascii="方正小标宋简体" w:hAnsi="宋体" w:eastAsia="方正小标宋简体" w:cs="宋体"/>
          <w:sz w:val="40"/>
          <w:szCs w:val="40"/>
        </w:rPr>
        <w:t>2020年湖北省国民经济和社会发展统计公报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rPr>
          <w:rFonts w:hint="eastAsia" w:ascii="楷体" w:hAnsi="楷体" w:eastAsia="楷体"/>
          <w:sz w:val="21"/>
          <w:szCs w:val="21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 xml:space="preserve">湖 </w:t>
      </w:r>
      <w:r>
        <w:rPr>
          <w:rFonts w:ascii="楷体" w:hAnsi="楷体" w:eastAsia="楷体"/>
          <w:sz w:val="21"/>
          <w:szCs w:val="21"/>
        </w:rPr>
        <w:t xml:space="preserve"> </w:t>
      </w:r>
      <w:r>
        <w:rPr>
          <w:rFonts w:hint="eastAsia" w:ascii="楷体" w:hAnsi="楷体" w:eastAsia="楷体"/>
          <w:sz w:val="21"/>
          <w:szCs w:val="21"/>
        </w:rPr>
        <w:t xml:space="preserve">北 </w:t>
      </w:r>
      <w:r>
        <w:rPr>
          <w:rFonts w:ascii="楷体" w:hAnsi="楷体" w:eastAsia="楷体"/>
          <w:sz w:val="21"/>
          <w:szCs w:val="21"/>
        </w:rPr>
        <w:t xml:space="preserve"> </w:t>
      </w:r>
      <w:r>
        <w:rPr>
          <w:rFonts w:hint="eastAsia" w:ascii="楷体" w:hAnsi="楷体" w:eastAsia="楷体"/>
          <w:sz w:val="21"/>
          <w:szCs w:val="21"/>
        </w:rPr>
        <w:t xml:space="preserve">省 </w:t>
      </w:r>
      <w:r>
        <w:rPr>
          <w:rFonts w:ascii="楷体" w:hAnsi="楷体" w:eastAsia="楷体"/>
          <w:sz w:val="21"/>
          <w:szCs w:val="21"/>
        </w:rPr>
        <w:t xml:space="preserve"> 统</w:t>
      </w:r>
      <w:r>
        <w:rPr>
          <w:rFonts w:hint="eastAsia" w:ascii="楷体" w:hAnsi="楷体" w:eastAsia="楷体"/>
          <w:sz w:val="21"/>
          <w:szCs w:val="21"/>
        </w:rPr>
        <w:t xml:space="preserve"> </w:t>
      </w:r>
      <w:r>
        <w:rPr>
          <w:rFonts w:ascii="楷体" w:hAnsi="楷体" w:eastAsia="楷体"/>
          <w:sz w:val="21"/>
          <w:szCs w:val="21"/>
        </w:rPr>
        <w:t xml:space="preserve"> 计</w:t>
      </w:r>
      <w:r>
        <w:rPr>
          <w:rFonts w:hint="eastAsia" w:ascii="楷体" w:hAnsi="楷体" w:eastAsia="楷体"/>
          <w:sz w:val="21"/>
          <w:szCs w:val="21"/>
        </w:rPr>
        <w:t xml:space="preserve"> </w:t>
      </w:r>
      <w:r>
        <w:rPr>
          <w:rFonts w:ascii="楷体" w:hAnsi="楷体" w:eastAsia="楷体"/>
          <w:sz w:val="21"/>
          <w:szCs w:val="21"/>
        </w:rPr>
        <w:t xml:space="preserve"> 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0" w:leftChars="0" w:firstLine="0" w:firstLineChars="0"/>
        <w:jc w:val="center"/>
        <w:textAlignment w:val="auto"/>
        <w:rPr>
          <w:rFonts w:ascii="楷体" w:hAnsi="楷体" w:eastAsia="楷体"/>
          <w:sz w:val="21"/>
          <w:szCs w:val="21"/>
        </w:rPr>
      </w:pPr>
      <w:r>
        <w:rPr>
          <w:rFonts w:hint="eastAsia" w:ascii="楷体" w:hAnsi="楷体" w:eastAsia="楷体"/>
          <w:sz w:val="21"/>
          <w:szCs w:val="21"/>
        </w:rPr>
        <w:t>国家</w:t>
      </w:r>
      <w:r>
        <w:rPr>
          <w:rFonts w:ascii="楷体" w:hAnsi="楷体" w:eastAsia="楷体"/>
          <w:sz w:val="21"/>
          <w:szCs w:val="21"/>
        </w:rPr>
        <w:t>统计局湖北调查总队</w:t>
      </w:r>
    </w:p>
    <w:p>
      <w:pPr>
        <w:tabs>
          <w:tab w:val="left" w:pos="7560"/>
        </w:tabs>
        <w:spacing w:line="570" w:lineRule="exact"/>
        <w:rPr>
          <w:rFonts w:hint="eastAsia" w:ascii="Times New Roman" w:hAnsi="Times New Roman" w:eastAsia="宋体"/>
          <w:sz w:val="32"/>
          <w:szCs w:val="32"/>
        </w:rPr>
      </w:pPr>
    </w:p>
    <w:p>
      <w:pPr>
        <w:bidi w:val="0"/>
      </w:pPr>
      <w:r>
        <w:rPr>
          <w:rFonts w:hint="eastAsia"/>
        </w:rPr>
        <w:t>2020年是新中国成立以来湖北历史上极不平凡、极不容易、极其难忘的一年。在以习近平同志为核心的党中央坚强领导下，全省上下众志成城、万众一心、攻坚克难，全力打好战疫、战洪、战贫三场硬仗，稳住了经济基本盘，兜住了民生底线，守牢了社会稳定底线，夺取了统筹疫情防控和经济社会发展的“双胜利”，全年经济在巨大的困难挑战面前实现复苏向好发展，交出了一份让全省人民引以为豪的英雄答卷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一、综合</w:t>
      </w:r>
    </w:p>
    <w:p>
      <w:pPr>
        <w:bidi w:val="0"/>
      </w:pPr>
      <w:r>
        <w:rPr>
          <w:rFonts w:hint="eastAsia"/>
        </w:rPr>
        <w:t>2020年，全省完成生产总值43443.46亿元，比</w:t>
      </w:r>
      <w:r>
        <w:t>上年</w:t>
      </w:r>
      <w:r>
        <w:rPr>
          <w:rFonts w:hint="eastAsia"/>
        </w:rPr>
        <w:t>下降5.0%。其中，第一产业完成增加值4131.91亿元，</w:t>
      </w:r>
      <w:r>
        <w:t>按不变价计算与上年持平</w:t>
      </w:r>
      <w:r>
        <w:rPr>
          <w:rFonts w:hint="eastAsia"/>
        </w:rPr>
        <w:t>；第二产业完成增加值17023.90亿元，下降7.4%；第三产业完成增加值22287.65亿元，下降3.8%。三次产业结构由2019年的8.4：41.2：50.4调整为9.5：39.2：51.3。在第三产业中，金融业、其他服务业增加值分别增长6.3%和3.2%。交通运输仓储和邮政业、批发和零售业、住宿和餐饮业、房地产业增加值分别下降16.5%、12.1%、23.7%、8.7%。</w:t>
      </w:r>
    </w:p>
    <w:p>
      <w:pPr>
        <w:spacing w:line="240" w:lineRule="auto"/>
        <w:ind w:left="0" w:leftChars="0" w:firstLine="0" w:firstLineChars="0"/>
        <w:jc w:val="both"/>
        <w:rPr>
          <w:rFonts w:ascii="Times New Roman" w:hAnsi="Times New Roman" w:eastAsia="宋体"/>
          <w:b/>
          <w:sz w:val="30"/>
          <w:szCs w:val="30"/>
        </w:rPr>
      </w:pPr>
      <w:r>
        <w:drawing>
          <wp:inline distT="0" distB="0" distL="114300" distR="114300">
            <wp:extent cx="5522595" cy="2621915"/>
            <wp:effectExtent l="0" t="0" r="1905" b="6985"/>
            <wp:docPr id="3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bidi w:val="0"/>
        <w:jc w:val="center"/>
      </w:pPr>
      <w:r>
        <w:rPr>
          <w:rFonts w:hint="eastAsia"/>
        </w:rPr>
        <w:t xml:space="preserve">图1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2016</w:t>
      </w:r>
      <w:r>
        <w:t>-2020</w:t>
      </w:r>
      <w:r>
        <w:rPr>
          <w:rFonts w:hint="eastAsia"/>
        </w:rPr>
        <w:t>年</w:t>
      </w:r>
      <w:r>
        <w:t>湖北地区生产总值及其增速</w:t>
      </w:r>
    </w:p>
    <w:p>
      <w:pPr>
        <w:bidi w:val="0"/>
        <w:jc w:val="center"/>
        <w:rPr>
          <w:rFonts w:hint="eastAsia"/>
        </w:rPr>
      </w:pPr>
    </w:p>
    <w:p>
      <w:pPr>
        <w:bidi w:val="0"/>
      </w:pPr>
      <w:r>
        <w:rPr>
          <w:rFonts w:hint="eastAsia"/>
        </w:rPr>
        <w:t>价格运行保持平稳。全省居民消费价格上涨2.7%，涨幅比上年回落0.4个百分点。其中，城市上涨2.5%，农村上涨3.5%。分类别看，八大类商品及服务价格“五涨三降”。其中，食品烟酒价格上涨9.3%，衣着价格下降0.3%，居住价格下降0.8%，生活用品及服务价格上涨0.1%，交通和通信价格下降3.5%，教育文化和娱乐价格上涨0.9%，医疗保健价格上涨2.2%，其他用品和服务价格上涨4.8%。全省工业生产者出厂价格下降0.9%，工业生产者购进价格下降1.6%。</w:t>
      </w:r>
    </w:p>
    <w:p>
      <w:pPr>
        <w:bidi w:val="0"/>
      </w:pPr>
      <w:r>
        <w:rPr>
          <w:rFonts w:hint="eastAsia"/>
        </w:rPr>
        <w:t>市场主体不断发展。全省新登记市场主体</w:t>
      </w:r>
      <w:r>
        <w:t>73.10</w:t>
      </w:r>
      <w:r>
        <w:rPr>
          <w:rFonts w:hint="eastAsia"/>
        </w:rPr>
        <w:t>万户，其中，新登记私营企业</w:t>
      </w:r>
      <w:r>
        <w:t>22.62</w:t>
      </w:r>
      <w:r>
        <w:rPr>
          <w:rFonts w:hint="eastAsia"/>
        </w:rPr>
        <w:t>万户，新登记个体工商户</w:t>
      </w:r>
      <w:r>
        <w:t>49.13</w:t>
      </w:r>
      <w:r>
        <w:rPr>
          <w:rFonts w:hint="eastAsia"/>
        </w:rPr>
        <w:t>万户。</w:t>
      </w:r>
    </w:p>
    <w:p>
      <w:pPr>
        <w:bidi w:val="0"/>
      </w:pPr>
      <w:r>
        <w:rPr>
          <w:rFonts w:hint="eastAsia"/>
        </w:rPr>
        <w:t>就业</w:t>
      </w:r>
      <w:r>
        <w:t>形势基本稳定。</w:t>
      </w:r>
      <w:r>
        <w:rPr>
          <w:rFonts w:hint="eastAsia"/>
        </w:rPr>
        <w:t>全省城镇新增就业75.18万人，超额完成全年目标任务。年末全省城镇登记失业率为</w:t>
      </w:r>
      <w:r>
        <w:t>3.35</w:t>
      </w:r>
      <w:r>
        <w:rPr>
          <w:rFonts w:hint="eastAsia"/>
        </w:rPr>
        <w:t>%。</w:t>
      </w:r>
    </w:p>
    <w:p>
      <w:pPr>
        <w:jc w:val="center"/>
      </w:pPr>
      <w:r>
        <w:drawing>
          <wp:inline distT="0" distB="0" distL="114300" distR="114300">
            <wp:extent cx="5486400" cy="2865120"/>
            <wp:effectExtent l="0" t="0" r="0" b="11430"/>
            <wp:docPr id="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>
      <w:pPr>
        <w:bidi w:val="0"/>
        <w:jc w:val="center"/>
      </w:pPr>
      <w:r>
        <w:rPr>
          <w:rFonts w:hint="eastAsia"/>
        </w:rPr>
        <w:t xml:space="preserve">图2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2016</w:t>
      </w:r>
      <w:r>
        <w:t>-2020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城镇</w:t>
      </w:r>
      <w:r>
        <w:t>新增就业人数</w:t>
      </w:r>
    </w:p>
    <w:p>
      <w:pPr>
        <w:bidi w:val="0"/>
        <w:rPr>
          <w:rFonts w:hint="eastAsia"/>
        </w:rPr>
      </w:pPr>
    </w:p>
    <w:p>
      <w:pPr>
        <w:bidi w:val="0"/>
      </w:pPr>
      <w:r>
        <w:rPr>
          <w:rFonts w:hint="eastAsia"/>
        </w:rPr>
        <w:t>劳动生产率保持平稳。全省全员劳动生产率预计为12.</w:t>
      </w:r>
      <w:r>
        <w:t>19</w:t>
      </w:r>
      <w:r>
        <w:rPr>
          <w:rFonts w:hint="eastAsia"/>
        </w:rPr>
        <w:t>万元/人，比上年下降5.2%。</w:t>
      </w:r>
    </w:p>
    <w:p>
      <w:pPr>
        <w:bidi w:val="0"/>
      </w:pPr>
      <w:r>
        <w:rPr>
          <w:rFonts w:hint="eastAsia"/>
        </w:rPr>
        <w:t>脱贫攻坚成效明显。按照每人每年2300元（2010年不变价）的国家贫困线标准，5.8万剩余贫困人口全部脱贫,贫困县</w:t>
      </w:r>
      <w:r>
        <w:t>全部摘帽，绝对贫困历史性消除。</w:t>
      </w:r>
      <w:r>
        <w:rPr>
          <w:rFonts w:hint="eastAsia"/>
        </w:rPr>
        <w:t>全年贫困地区农村居民人均可支配收入13075元，比上年增长1.6%。</w:t>
      </w:r>
    </w:p>
    <w:p>
      <w:pPr>
        <w:jc w:val="center"/>
        <w:rPr>
          <w:rFonts w:ascii="Times New Roman" w:hAnsi="Times New Roman" w:eastAsia="宋体"/>
          <w:sz w:val="32"/>
          <w:szCs w:val="32"/>
        </w:rPr>
      </w:pPr>
      <w:r>
        <w:drawing>
          <wp:inline distT="0" distB="0" distL="114300" distR="114300">
            <wp:extent cx="6057265" cy="2920365"/>
            <wp:effectExtent l="4445" t="4445" r="15240" b="8890"/>
            <wp:docPr id="31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>
      <w:pPr>
        <w:bidi w:val="0"/>
        <w:jc w:val="center"/>
        <w:rPr>
          <w:rFonts w:hint="eastAsia"/>
          <w:b/>
          <w:bCs/>
        </w:rPr>
      </w:pPr>
      <w:r>
        <w:rPr>
          <w:rFonts w:hint="eastAsia"/>
        </w:rPr>
        <w:t>图</w:t>
      </w:r>
      <w:r>
        <w:t>3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2016</w:t>
      </w:r>
      <w:r>
        <w:t>-2020</w:t>
      </w:r>
      <w:r>
        <w:rPr>
          <w:rFonts w:hint="eastAsia"/>
        </w:rPr>
        <w:t>年末</w:t>
      </w:r>
      <w:r>
        <w:t>湖北</w:t>
      </w:r>
      <w:r>
        <w:rPr>
          <w:rFonts w:hint="eastAsia"/>
        </w:rPr>
        <w:t>减</w:t>
      </w:r>
      <w:r>
        <w:t>贫人口</w:t>
      </w:r>
      <w:r>
        <w:rPr>
          <w:rFonts w:hint="eastAsia"/>
        </w:rPr>
        <w:t>数</w:t>
      </w:r>
    </w:p>
    <w:p>
      <w:pPr>
        <w:bidi w:val="0"/>
        <w:rPr>
          <w:rFonts w:hint="eastAsia"/>
          <w:b/>
          <w:bCs/>
        </w:rPr>
      </w:pP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二、农业</w:t>
      </w:r>
      <w:bookmarkStart w:id="0" w:name="_GoBack"/>
      <w:bookmarkEnd w:id="0"/>
    </w:p>
    <w:p>
      <w:pPr>
        <w:bidi w:val="0"/>
      </w:pPr>
      <w:r>
        <w:rPr>
          <w:rFonts w:hint="eastAsia"/>
        </w:rPr>
        <w:t>全年全省农林牧渔业增加值4358.69亿元，按可比价格计算，比上年增长0.3%。</w:t>
      </w:r>
    </w:p>
    <w:p>
      <w:pPr>
        <w:bidi w:val="0"/>
      </w:pPr>
      <w:r>
        <w:rPr>
          <w:rFonts w:hint="eastAsia"/>
        </w:rPr>
        <w:t>粮食产能保持稳定。全省粮食总产量2727.43万吨，增长0.1%，连续8年稳定在500亿斤以上；种植面积</w:t>
      </w:r>
      <w:r>
        <w:t>4645.27</w:t>
      </w:r>
      <w:r>
        <w:rPr>
          <w:rFonts w:hint="eastAsia"/>
        </w:rPr>
        <w:t>千公顷，增长0.8%。</w:t>
      </w:r>
    </w:p>
    <w:p>
      <w:pPr>
        <w:jc w:val="center"/>
      </w:pPr>
      <w:r>
        <w:drawing>
          <wp:inline distT="0" distB="0" distL="114300" distR="114300">
            <wp:extent cx="5821680" cy="2893060"/>
            <wp:effectExtent l="4445" t="4445" r="22225" b="17145"/>
            <wp:docPr id="32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>
      <w:pPr>
        <w:bidi w:val="0"/>
        <w:jc w:val="center"/>
      </w:pPr>
      <w:r>
        <w:rPr>
          <w:rFonts w:hint="eastAsia"/>
        </w:rPr>
        <w:t>图</w:t>
      </w:r>
      <w:r>
        <w:t>4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2016</w:t>
      </w:r>
      <w:r>
        <w:t>-2020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粮食</w:t>
      </w:r>
      <w:r>
        <w:t>产量</w:t>
      </w:r>
    </w:p>
    <w:p>
      <w:pPr>
        <w:bidi w:val="0"/>
        <w:rPr>
          <w:rFonts w:hint="eastAsia"/>
        </w:rPr>
      </w:pPr>
    </w:p>
    <w:p>
      <w:pPr>
        <w:bidi w:val="0"/>
      </w:pPr>
      <w:r>
        <w:rPr>
          <w:rFonts w:hint="eastAsia"/>
        </w:rPr>
        <w:t>特色优势经济作物保持增长。油料产量344.4</w:t>
      </w:r>
      <w:r>
        <w:t>5</w:t>
      </w:r>
      <w:r>
        <w:rPr>
          <w:rFonts w:hint="eastAsia"/>
        </w:rPr>
        <w:t>万吨，增长9.7%；茶叶产量36.0</w:t>
      </w:r>
      <w:r>
        <w:t>8</w:t>
      </w:r>
      <w:r>
        <w:rPr>
          <w:rFonts w:hint="eastAsia"/>
        </w:rPr>
        <w:t>万吨，增长2.</w:t>
      </w:r>
      <w:r>
        <w:t>4</w:t>
      </w:r>
      <w:r>
        <w:rPr>
          <w:rFonts w:hint="eastAsia"/>
        </w:rPr>
        <w:t>%；园林水果产量71</w:t>
      </w:r>
      <w:r>
        <w:t>6</w:t>
      </w:r>
      <w:r>
        <w:rPr>
          <w:rFonts w:hint="eastAsia"/>
        </w:rPr>
        <w:t>.</w:t>
      </w:r>
      <w:r>
        <w:t>3</w:t>
      </w:r>
      <w:r>
        <w:rPr>
          <w:rFonts w:hint="eastAsia"/>
        </w:rPr>
        <w:t>8万吨，增长8.</w:t>
      </w:r>
      <w:r>
        <w:t>4</w:t>
      </w:r>
      <w:r>
        <w:rPr>
          <w:rFonts w:hint="eastAsia"/>
        </w:rPr>
        <w:t>%。</w:t>
      </w:r>
    </w:p>
    <w:p>
      <w:pPr>
        <w:bidi w:val="0"/>
      </w:pPr>
      <w:r>
        <w:rPr>
          <w:rFonts w:hint="eastAsia"/>
        </w:rPr>
        <w:t>畜类生产有所下降,禽类养殖保持稳定。生猪出栏2631.12万头，下降17.5%；牛出栏101.96万头，下降6.9%；羊出栏532.68万只，下降13.5%；家禽出笼59325.84万只，下降0.1%；禽蛋产量193.09万吨，增长8.0%。</w:t>
      </w:r>
    </w:p>
    <w:p>
      <w:pPr>
        <w:bidi w:val="0"/>
      </w:pPr>
      <w:r>
        <w:rPr>
          <w:rFonts w:hint="eastAsia"/>
        </w:rPr>
        <w:t>水产品生产形势趋稳, 渔业生产基本持平。水产品总产量4</w:t>
      </w:r>
      <w:r>
        <w:t>67.88</w:t>
      </w:r>
      <w:r>
        <w:rPr>
          <w:rFonts w:hint="eastAsia"/>
        </w:rPr>
        <w:t>万吨，微降0.4%。</w:t>
      </w:r>
    </w:p>
    <w:p>
      <w:pPr>
        <w:bidi w:val="0"/>
        <w:jc w:val="center"/>
      </w:pPr>
      <w:r>
        <w:rPr>
          <w:rFonts w:hint="eastAsia"/>
        </w:rPr>
        <w:t>表1</w:t>
      </w:r>
      <w:r>
        <w:rPr>
          <w:rFonts w:hint="eastAsia"/>
          <w:lang w:val="en-US" w:eastAsia="zh-CN"/>
        </w:rPr>
        <w:t xml:space="preserve">  </w:t>
      </w:r>
      <w:r>
        <w:t xml:space="preserve"> </w:t>
      </w:r>
      <w:r>
        <w:rPr>
          <w:rFonts w:hint="eastAsia"/>
        </w:rPr>
        <w:t>202</w:t>
      </w:r>
      <w:r>
        <w:t>0</w:t>
      </w:r>
      <w:r>
        <w:rPr>
          <w:rFonts w:hint="eastAsia"/>
        </w:rPr>
        <w:t>年</w:t>
      </w:r>
      <w:r>
        <w:t>全省主要农产品产量</w:t>
      </w:r>
    </w:p>
    <w:p>
      <w:pPr>
        <w:bidi w:val="0"/>
        <w:jc w:val="right"/>
        <w:rPr>
          <w:rFonts w:hint="eastAsia"/>
        </w:rPr>
      </w:pPr>
      <w:r>
        <w:rPr>
          <w:rFonts w:hint="eastAsia"/>
        </w:rPr>
        <w:t>单位：万吨</w:t>
      </w:r>
    </w:p>
    <w:tbl>
      <w:tblPr>
        <w:tblStyle w:val="8"/>
        <w:tblW w:w="9638" w:type="dxa"/>
        <w:jc w:val="center"/>
        <w:tblBorders>
          <w:top w:val="single" w:color="auto" w:sz="4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fixed"/>
        <w:tblCellMar>
          <w:top w:w="113" w:type="dxa"/>
          <w:left w:w="108" w:type="dxa"/>
          <w:bottom w:w="113" w:type="dxa"/>
          <w:right w:w="108" w:type="dxa"/>
        </w:tblCellMar>
      </w:tblPr>
      <w:tblGrid>
        <w:gridCol w:w="4160"/>
        <w:gridCol w:w="2264"/>
        <w:gridCol w:w="3214"/>
      </w:tblGrid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68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产品</w:t>
            </w: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名称</w:t>
            </w:r>
          </w:p>
        </w:tc>
        <w:tc>
          <w:tcPr>
            <w:tcW w:w="200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产量</w:t>
            </w:r>
          </w:p>
        </w:tc>
        <w:tc>
          <w:tcPr>
            <w:tcW w:w="284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auto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比</w:t>
            </w: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上年增长（</w:t>
            </w: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%</w:t>
            </w: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）</w:t>
            </w:r>
          </w:p>
        </w:tc>
      </w:tr>
      <w:tr>
        <w:tblPrEx>
          <w:tblBorders>
            <w:top w:val="single" w:color="auto" w:sz="4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113" w:type="dxa"/>
            <w:left w:w="108" w:type="dxa"/>
            <w:bottom w:w="113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368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粮食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棉花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油料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#</w:t>
            </w: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 xml:space="preserve"> 油菜籽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茶叶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园林水果</w:t>
            </w: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（</w:t>
            </w: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不含果用瓜</w:t>
            </w: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left"/>
              <w:textAlignment w:val="auto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蔬菜及食用菌</w:t>
            </w:r>
          </w:p>
        </w:tc>
        <w:tc>
          <w:tcPr>
            <w:tcW w:w="2006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2727.43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10.79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344.45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241.06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36.08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716.38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4119.37</w:t>
            </w:r>
          </w:p>
        </w:tc>
        <w:tc>
          <w:tcPr>
            <w:tcW w:w="2848" w:type="dxa"/>
            <w:shd w:val="clear" w:color="auto" w:fill="auto"/>
            <w:noWrap w:val="0"/>
            <w:vAlign w:val="top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kern w:val="0"/>
                <w:sz w:val="18"/>
                <w:szCs w:val="18"/>
              </w:rPr>
              <w:t>0.1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-24.9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9.7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14.1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2.4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Times New Roman" w:hAnsi="Times New Roman" w:eastAsia="宋体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8.4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auto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/>
                <w:kern w:val="0"/>
                <w:sz w:val="18"/>
                <w:szCs w:val="18"/>
              </w:rPr>
              <w:t>0.8</w:t>
            </w:r>
          </w:p>
        </w:tc>
      </w:tr>
    </w:tbl>
    <w:p>
      <w:pPr>
        <w:bidi w:val="0"/>
        <w:rPr>
          <w:rFonts w:hint="eastAsia"/>
          <w:b/>
          <w:bCs/>
        </w:rPr>
      </w:pP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三、工业和建筑业</w:t>
      </w:r>
    </w:p>
    <w:p>
      <w:pPr>
        <w:bidi w:val="0"/>
      </w:pPr>
      <w:r>
        <w:rPr>
          <w:rFonts w:hint="eastAsia"/>
        </w:rPr>
        <w:t>年末全省规模以上工业企业达到</w:t>
      </w:r>
      <w:r>
        <w:t>15769</w:t>
      </w:r>
      <w:r>
        <w:rPr>
          <w:rFonts w:hint="eastAsia"/>
        </w:rPr>
        <w:t>家。全年</w:t>
      </w:r>
      <w:r>
        <w:t>全省</w:t>
      </w:r>
      <w:r>
        <w:rPr>
          <w:rFonts w:hint="eastAsia"/>
        </w:rPr>
        <w:t>规模以上工业增加值下降6.1%。分经济</w:t>
      </w:r>
      <w:r>
        <w:t>类型看</w:t>
      </w:r>
      <w:r>
        <w:rPr>
          <w:rFonts w:hint="eastAsia"/>
        </w:rPr>
        <w:t>，国有及国有控股企业下降</w:t>
      </w:r>
      <w:r>
        <w:t>1.6</w:t>
      </w:r>
      <w:r>
        <w:rPr>
          <w:rFonts w:hint="eastAsia"/>
        </w:rPr>
        <w:t>%；集体企业下降</w:t>
      </w:r>
      <w:r>
        <w:t>12.4</w:t>
      </w:r>
      <w:r>
        <w:rPr>
          <w:rFonts w:hint="eastAsia"/>
        </w:rPr>
        <w:t>%；股份合作企业下降</w:t>
      </w:r>
      <w:r>
        <w:t>31.9</w:t>
      </w:r>
      <w:r>
        <w:rPr>
          <w:rFonts w:hint="eastAsia"/>
        </w:rPr>
        <w:t>%；股份制企业下降6.2%；外商及港澳台投资企业下降</w:t>
      </w:r>
      <w:r>
        <w:t>6.7</w:t>
      </w:r>
      <w:r>
        <w:rPr>
          <w:rFonts w:hint="eastAsia"/>
        </w:rPr>
        <w:t>%；其他经济类型企业下降</w:t>
      </w:r>
      <w:r>
        <w:t>9.3%</w:t>
      </w:r>
      <w:r>
        <w:rPr>
          <w:rFonts w:hint="eastAsia"/>
        </w:rPr>
        <w:t>。轻工业下降</w:t>
      </w:r>
      <w:r>
        <w:t>7.2</w:t>
      </w:r>
      <w:r>
        <w:rPr>
          <w:rFonts w:hint="eastAsia"/>
        </w:rPr>
        <w:t>%；重工业下降</w:t>
      </w:r>
      <w:r>
        <w:t>5.6</w:t>
      </w:r>
      <w:r>
        <w:rPr>
          <w:rFonts w:hint="eastAsia"/>
        </w:rPr>
        <w:t>%。分门类看，采矿业下降16.0%，制造业下降6.2%，电力、热力、燃气及水生产和供应业下降2.5%。</w:t>
      </w:r>
    </w:p>
    <w:p>
      <w:pPr>
        <w:bidi w:val="0"/>
      </w:pPr>
      <w:r>
        <w:rPr>
          <w:rFonts w:hint="eastAsia"/>
        </w:rPr>
        <w:t>高技术制造业增加值增长</w:t>
      </w:r>
      <w:r>
        <w:t>4.1</w:t>
      </w:r>
      <w:r>
        <w:rPr>
          <w:rFonts w:hint="eastAsia"/>
        </w:rPr>
        <w:t>%，增速快于规模以上工业</w:t>
      </w:r>
      <w:r>
        <w:t>10.2</w:t>
      </w:r>
      <w:r>
        <w:rPr>
          <w:rFonts w:hint="eastAsia"/>
        </w:rPr>
        <w:t>个百分点，占规模以上工业增加值的比重达</w:t>
      </w:r>
      <w:r>
        <w:t>10.2</w:t>
      </w:r>
      <w:r>
        <w:rPr>
          <w:rFonts w:hint="eastAsia"/>
        </w:rPr>
        <w:t>%。其中</w:t>
      </w:r>
      <w:r>
        <w:t>，</w:t>
      </w:r>
      <w:r>
        <w:rPr>
          <w:rFonts w:hint="eastAsia"/>
        </w:rPr>
        <w:t>计算机、通信和其他电子设备制造业增长</w:t>
      </w:r>
      <w:r>
        <w:t>4.4%</w:t>
      </w:r>
      <w:r>
        <w:rPr>
          <w:rFonts w:hint="eastAsia"/>
        </w:rPr>
        <w:t>。</w:t>
      </w:r>
    </w:p>
    <w:p>
      <w:pPr>
        <w:bidi w:val="0"/>
        <w:rPr>
          <w:rFonts w:hint="eastAsia"/>
        </w:rPr>
      </w:pPr>
      <w:r>
        <w:rPr>
          <w:rFonts w:hint="eastAsia"/>
        </w:rPr>
        <w:t>全年规模以上工业销售产值下降7.7%，产品销售率为97.3%，出口交货值下降</w:t>
      </w:r>
      <w:r>
        <w:t>0.4</w:t>
      </w:r>
      <w:r>
        <w:rPr>
          <w:rFonts w:hint="eastAsia"/>
        </w:rPr>
        <w:t>%。全年规模以上工业企业实现利润</w:t>
      </w:r>
      <w:r>
        <w:t>2519.0</w:t>
      </w:r>
      <w:r>
        <w:rPr>
          <w:rFonts w:hint="eastAsia"/>
        </w:rPr>
        <w:t>亿元，</w:t>
      </w:r>
      <w:r>
        <w:t>下降</w:t>
      </w:r>
      <w:r>
        <w:rPr>
          <w:rFonts w:hint="eastAsia"/>
        </w:rPr>
        <w:t>8.3%。</w:t>
      </w:r>
    </w:p>
    <w:p>
      <w:pPr>
        <w:bidi w:val="0"/>
        <w:rPr>
          <w:rFonts w:hint="eastAsia"/>
        </w:rPr>
      </w:pPr>
    </w:p>
    <w:p>
      <w:pPr>
        <w:bidi w:val="0"/>
        <w:jc w:val="center"/>
      </w:pPr>
      <w:r>
        <w:rPr>
          <w:rFonts w:hint="eastAsia"/>
        </w:rPr>
        <w:t>表2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年全省规上工业</w:t>
      </w:r>
      <w:r>
        <w:t>主要产品产量</w:t>
      </w:r>
      <w:r>
        <w:rPr>
          <w:rFonts w:hint="eastAsia"/>
        </w:rPr>
        <w:t>及其</w:t>
      </w:r>
      <w:r>
        <w:t>增速</w:t>
      </w:r>
    </w:p>
    <w:tbl>
      <w:tblPr>
        <w:tblStyle w:val="8"/>
        <w:tblW w:w="9638" w:type="dxa"/>
        <w:jc w:val="center"/>
        <w:tblBorders>
          <w:top w:val="single" w:color="000000" w:sz="4" w:space="0"/>
          <w:left w:val="none" w:color="auto" w:sz="0" w:space="0"/>
          <w:bottom w:val="single" w:color="000000" w:sz="4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8"/>
        <w:gridCol w:w="2529"/>
        <w:gridCol w:w="1870"/>
        <w:gridCol w:w="1741"/>
      </w:tblGrid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kern w:val="0"/>
                <w:sz w:val="18"/>
                <w:szCs w:val="18"/>
                <w:lang w:bidi="ar"/>
              </w:rPr>
              <w:t>产品名称</w:t>
            </w:r>
          </w:p>
        </w:tc>
        <w:tc>
          <w:tcPr>
            <w:tcW w:w="2529" w:type="dxa"/>
            <w:tcBorders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kern w:val="0"/>
                <w:sz w:val="18"/>
                <w:szCs w:val="18"/>
                <w:lang w:bidi="ar"/>
              </w:rPr>
              <w:t>单位</w:t>
            </w:r>
          </w:p>
        </w:tc>
        <w:tc>
          <w:tcPr>
            <w:tcW w:w="1870" w:type="dxa"/>
            <w:tcBorders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kern w:val="0"/>
                <w:sz w:val="18"/>
                <w:szCs w:val="18"/>
                <w:lang w:bidi="ar"/>
              </w:rPr>
              <w:t>产量</w:t>
            </w:r>
          </w:p>
        </w:tc>
        <w:tc>
          <w:tcPr>
            <w:tcW w:w="1741" w:type="dxa"/>
            <w:tcBorders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ascii="仿宋" w:hAnsi="仿宋" w:eastAsia="仿宋" w:cs="仿宋"/>
                <w:b/>
                <w:bCs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kern w:val="0"/>
                <w:sz w:val="18"/>
                <w:szCs w:val="18"/>
                <w:lang w:bidi="ar"/>
              </w:rPr>
              <w:t>比上年增长（%）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白酒（折65度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，商品</w:t>
            </w: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量）</w:t>
            </w:r>
          </w:p>
        </w:tc>
        <w:tc>
          <w:tcPr>
            <w:tcW w:w="2529" w:type="dxa"/>
            <w:tcBorders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万千升</w:t>
            </w:r>
          </w:p>
        </w:tc>
        <w:tc>
          <w:tcPr>
            <w:tcW w:w="1870" w:type="dxa"/>
            <w:tcBorders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35.9 </w:t>
            </w:r>
          </w:p>
        </w:tc>
        <w:tc>
          <w:tcPr>
            <w:tcW w:w="1741" w:type="dxa"/>
            <w:tcBorders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-42.9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啤酒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万千升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97.5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-11.8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卷烟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亿支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1330.5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4.5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布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亿米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43.1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-1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.7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硫酸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（</w:t>
            </w: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折10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0%）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1330.5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8"/>
                <w:szCs w:val="18"/>
              </w:rPr>
              <w:t>5.7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农用氮、磷、钾化学肥料(折纯)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482.1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-8.9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化学药品原药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18.3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-6.2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中成药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23.1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-22.7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发电量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亿千瓦小时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29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11.35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0.5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#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水电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亿千瓦小时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1574.53</w:t>
            </w: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ascii="Times New Roman" w:hAnsi="Times New Roman" w:eastAsia="宋体"/>
                <w:sz w:val="18"/>
                <w:szCs w:val="18"/>
              </w:rPr>
              <w:t>19.0</w:t>
            </w: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水泥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10108.7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-12.8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平板玻璃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万重量箱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9584.5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-7.5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生铁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2727.4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-4.9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粗钢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3557.2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-1.5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钢材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3653.0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-2.2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十种有色金属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80.6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-6.1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#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精炼铜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万吨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51.2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-4.5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工业机器人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套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9857.0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-5.5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汽车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万辆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209.4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-6.0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#</w:t>
            </w:r>
            <w:r>
              <w:rPr>
                <w:rFonts w:ascii="Times New Roman" w:hAnsi="Times New Roman" w:eastAsia="宋体" w:cs="仿宋"/>
                <w:kern w:val="0"/>
                <w:sz w:val="18"/>
                <w:szCs w:val="18"/>
                <w:lang w:bidi="ar"/>
              </w:rPr>
              <w:t>新能源汽车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万辆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3.2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-48.4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发电机组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万千瓦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114.7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-4.7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锂离子电池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亿只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11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.</w:t>
            </w: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2.9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房间空气调节器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万台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1760.3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-18.0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微型计算机设备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万台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1720.0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35.4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显示器</w:t>
            </w:r>
          </w:p>
        </w:tc>
        <w:tc>
          <w:tcPr>
            <w:tcW w:w="2529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万台</w:t>
            </w:r>
          </w:p>
        </w:tc>
        <w:tc>
          <w:tcPr>
            <w:tcW w:w="1870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1457.3 </w:t>
            </w:r>
          </w:p>
        </w:tc>
        <w:tc>
          <w:tcPr>
            <w:tcW w:w="1741" w:type="dxa"/>
            <w:tcBorders>
              <w:top w:val="nil"/>
              <w:bottom w:val="nil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-4.1 </w:t>
            </w:r>
          </w:p>
        </w:tc>
      </w:tr>
      <w:tr>
        <w:tblPrEx>
          <w:tblBorders>
            <w:top w:val="single" w:color="000000" w:sz="4" w:space="0"/>
            <w:left w:val="none" w:color="auto" w:sz="0" w:space="0"/>
            <w:bottom w:val="single" w:color="000000" w:sz="4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3498" w:type="dxa"/>
            <w:tcBorders>
              <w:top w:val="nil"/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180" w:firstLineChars="100"/>
              <w:jc w:val="left"/>
              <w:textAlignment w:val="center"/>
              <w:rPr>
                <w:rFonts w:hint="eastAsia" w:ascii="仿宋" w:hAnsi="仿宋" w:eastAsia="仿宋" w:cs="仿宋"/>
                <w:kern w:val="0"/>
                <w:sz w:val="18"/>
                <w:szCs w:val="18"/>
                <w:lang w:bidi="ar"/>
              </w:rPr>
            </w:pPr>
            <w:r>
              <w:rPr>
                <w:rFonts w:hint="eastAsia" w:ascii="Times New Roman" w:hAnsi="Times New Roman" w:eastAsia="宋体" w:cs="仿宋"/>
                <w:kern w:val="0"/>
                <w:sz w:val="18"/>
                <w:szCs w:val="18"/>
                <w:lang w:bidi="ar"/>
              </w:rPr>
              <w:t>移动通信手持机</w:t>
            </w:r>
          </w:p>
        </w:tc>
        <w:tc>
          <w:tcPr>
            <w:tcW w:w="2529" w:type="dxa"/>
            <w:tcBorders>
              <w:top w:val="nil"/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center"/>
              <w:rPr>
                <w:rFonts w:ascii="仿宋" w:hAnsi="仿宋" w:eastAsia="仿宋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万台</w:t>
            </w:r>
          </w:p>
        </w:tc>
        <w:tc>
          <w:tcPr>
            <w:tcW w:w="1870" w:type="dxa"/>
            <w:tcBorders>
              <w:top w:val="nil"/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2667.0 </w:t>
            </w:r>
          </w:p>
        </w:tc>
        <w:tc>
          <w:tcPr>
            <w:tcW w:w="1741" w:type="dxa"/>
            <w:tcBorders>
              <w:top w:val="nil"/>
              <w:bottom w:val="single" w:color="000000" w:sz="4" w:space="0"/>
            </w:tcBorders>
            <w:shd w:val="clear" w:color="auto" w:fill="auto"/>
            <w:noWrap w:val="0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firstLine="0" w:firstLineChars="0"/>
              <w:jc w:val="right"/>
              <w:rPr>
                <w:rFonts w:hint="eastAsia" w:ascii="仿宋" w:hAnsi="仿宋" w:eastAsia="仿宋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 xml:space="preserve">-32.0 </w:t>
            </w:r>
          </w:p>
        </w:tc>
      </w:tr>
    </w:tbl>
    <w:p>
      <w:pPr>
        <w:bidi w:val="0"/>
        <w:rPr>
          <w:rFonts w:hint="eastAsia"/>
        </w:rPr>
      </w:pPr>
    </w:p>
    <w:p>
      <w:pPr>
        <w:bidi w:val="0"/>
      </w:pPr>
      <w:r>
        <w:rPr>
          <w:rFonts w:hint="eastAsia"/>
        </w:rPr>
        <w:t>建筑业稳步发展。全年全省具有总承包和专业承包资质建筑企业完成总产值</w:t>
      </w:r>
      <w:r>
        <w:t>16136.10</w:t>
      </w:r>
      <w:r>
        <w:rPr>
          <w:rFonts w:hint="eastAsia"/>
        </w:rPr>
        <w:t>亿元，下降5</w:t>
      </w:r>
      <w:r>
        <w:t>.0</w:t>
      </w:r>
      <w:r>
        <w:rPr>
          <w:rFonts w:hint="eastAsia"/>
        </w:rPr>
        <w:t>%；全年新</w:t>
      </w:r>
      <w:r>
        <w:t>签合同额22055.89</w:t>
      </w:r>
      <w:r>
        <w:rPr>
          <w:rFonts w:hint="eastAsia"/>
        </w:rPr>
        <w:t>亿元</w:t>
      </w:r>
      <w:r>
        <w:t>，</w:t>
      </w:r>
      <w:r>
        <w:rPr>
          <w:rFonts w:hint="eastAsia"/>
        </w:rPr>
        <w:t>增长9.1</w:t>
      </w:r>
      <w:r>
        <w:t>%。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四、固定资产投资</w:t>
      </w:r>
    </w:p>
    <w:p>
      <w:pPr>
        <w:bidi w:val="0"/>
      </w:pPr>
      <w:r>
        <w:rPr>
          <w:rFonts w:hint="eastAsia"/>
        </w:rPr>
        <w:t>全省完成固定资产投资(不含农户) 下降18.8%。按产业划分，一、二、三次产业投资分别下降</w:t>
      </w:r>
      <w:r>
        <w:t>28.2</w:t>
      </w:r>
      <w:r>
        <w:rPr>
          <w:rFonts w:hint="eastAsia"/>
        </w:rPr>
        <w:t>%、</w:t>
      </w:r>
      <w:r>
        <w:t>23.8</w:t>
      </w:r>
      <w:r>
        <w:rPr>
          <w:rFonts w:hint="eastAsia"/>
        </w:rPr>
        <w:t>%、</w:t>
      </w:r>
      <w:r>
        <w:t>15.4</w:t>
      </w:r>
      <w:r>
        <w:rPr>
          <w:rFonts w:hint="eastAsia"/>
        </w:rPr>
        <w:t>%。分领域看，基础设施投资、工业投资和房地产开发投资分别下降22.8%、23.9%和4.4%。高技术制造业投资下降9.4%，其中医药制造业、计算机及办公设备制造业投资分别增长20.4%、14.7%。补短板强功能建设加快推进，电信、广播电视和卫星传输服务业投资增长16.8%，卫生投资增长65.8%，航空运输业投资增长1.29倍。</w:t>
      </w:r>
    </w:p>
    <w:p>
      <w:pPr>
        <w:bidi w:val="0"/>
      </w:pPr>
      <w:r>
        <w:rPr>
          <w:rFonts w:hint="eastAsia"/>
        </w:rPr>
        <w:t>商品房销售面积</w:t>
      </w:r>
      <w:r>
        <w:t>6587.83</w:t>
      </w:r>
      <w:r>
        <w:rPr>
          <w:rFonts w:hint="eastAsia"/>
        </w:rPr>
        <w:t>万平方米，下降</w:t>
      </w:r>
      <w:r>
        <w:t>23.4</w:t>
      </w:r>
      <w:r>
        <w:rPr>
          <w:rFonts w:hint="eastAsia"/>
        </w:rPr>
        <w:t>%；实现商品房销售额</w:t>
      </w:r>
      <w:r>
        <w:t>6087.90</w:t>
      </w:r>
      <w:r>
        <w:rPr>
          <w:rFonts w:hint="eastAsia"/>
        </w:rPr>
        <w:t>亿元，下降21.5%。</w:t>
      </w:r>
    </w:p>
    <w:p>
      <w:pPr>
        <w:spacing w:before="156" w:beforeLines="50"/>
        <w:jc w:val="center"/>
        <w:rPr>
          <w:rFonts w:hint="eastAsia" w:ascii="Times New Roman" w:hAnsi="Times New Roman" w:eastAsia="宋体"/>
          <w:sz w:val="32"/>
          <w:szCs w:val="32"/>
        </w:rPr>
      </w:pPr>
      <w:r>
        <w:drawing>
          <wp:inline distT="0" distB="0" distL="114300" distR="114300">
            <wp:extent cx="4293870" cy="2225675"/>
            <wp:effectExtent l="0" t="0" r="11430" b="3175"/>
            <wp:docPr id="5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>
      <w:pPr>
        <w:bidi w:val="0"/>
        <w:jc w:val="center"/>
        <w:rPr>
          <w:rFonts w:hint="eastAsia"/>
        </w:rPr>
      </w:pPr>
      <w:r>
        <w:rPr>
          <w:rFonts w:hint="eastAsia"/>
        </w:rPr>
        <w:t>图</w:t>
      </w:r>
      <w:r>
        <w:t>5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20</w:t>
      </w:r>
      <w:r>
        <w:t>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三次</w:t>
      </w:r>
      <w:r>
        <w:t>产业投资占固定资产投资（</w:t>
      </w:r>
      <w:r>
        <w:rPr>
          <w:rFonts w:hint="eastAsia"/>
        </w:rPr>
        <w:t>不含</w:t>
      </w:r>
      <w:r>
        <w:t>农户）</w:t>
      </w:r>
      <w:r>
        <w:rPr>
          <w:rFonts w:hint="eastAsia"/>
        </w:rPr>
        <w:t>比重</w:t>
      </w:r>
    </w:p>
    <w:p>
      <w:pPr>
        <w:bidi w:val="0"/>
        <w:rPr>
          <w:rFonts w:hint="eastAsia"/>
        </w:rPr>
      </w:pPr>
    </w:p>
    <w:p>
      <w:pPr>
        <w:bidi w:val="0"/>
      </w:pPr>
      <w:r>
        <w:rPr>
          <w:rFonts w:hint="eastAsia"/>
        </w:rPr>
        <w:t>全省亿元以上新开工项目</w:t>
      </w:r>
      <w:r>
        <w:t>3649</w:t>
      </w:r>
      <w:r>
        <w:rPr>
          <w:rFonts w:hint="eastAsia"/>
        </w:rPr>
        <w:t>个，下降7.7</w:t>
      </w:r>
      <w:r>
        <w:t>%，</w:t>
      </w:r>
      <w:r>
        <w:rPr>
          <w:rFonts w:hint="eastAsia"/>
        </w:rPr>
        <w:t>亿元以上项目完成投资额下降</w:t>
      </w:r>
      <w:r>
        <w:t>21.2</w:t>
      </w:r>
      <w:r>
        <w:rPr>
          <w:rFonts w:hint="eastAsia"/>
        </w:rPr>
        <w:t>%。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五、国内贸易</w:t>
      </w:r>
    </w:p>
    <w:p>
      <w:pPr>
        <w:bidi w:val="0"/>
      </w:pPr>
      <w:r>
        <w:rPr>
          <w:rFonts w:hint="eastAsia"/>
        </w:rPr>
        <w:t>全年全省实现社会消费品零售总额17984.87亿元，下降20.8%。分城乡看，城镇实现零售额</w:t>
      </w:r>
      <w:r>
        <w:t>15284.69</w:t>
      </w:r>
      <w:r>
        <w:rPr>
          <w:rFonts w:hint="eastAsia"/>
        </w:rPr>
        <w:t>亿元，下降</w:t>
      </w:r>
      <w:r>
        <w:t>20.9</w:t>
      </w:r>
      <w:r>
        <w:rPr>
          <w:rFonts w:hint="eastAsia"/>
        </w:rPr>
        <w:t>%；乡村实现零售额</w:t>
      </w:r>
      <w:r>
        <w:t>2700.18</w:t>
      </w:r>
      <w:r>
        <w:rPr>
          <w:rFonts w:hint="eastAsia"/>
        </w:rPr>
        <w:t>亿元，下降</w:t>
      </w:r>
      <w:r>
        <w:t>20.8</w:t>
      </w:r>
      <w:r>
        <w:rPr>
          <w:rFonts w:hint="eastAsia"/>
        </w:rPr>
        <w:t>%。其中，限额以上企业（单位）实现消费品零售额</w:t>
      </w:r>
      <w:r>
        <w:t>6592.93</w:t>
      </w:r>
      <w:r>
        <w:rPr>
          <w:rFonts w:hint="eastAsia"/>
        </w:rPr>
        <w:t>亿元，下降</w:t>
      </w:r>
      <w:r>
        <w:t>14.2</w:t>
      </w:r>
      <w:r>
        <w:rPr>
          <w:rFonts w:hint="eastAsia"/>
        </w:rPr>
        <w:t>%。</w:t>
      </w:r>
    </w:p>
    <w:p>
      <w:pPr>
        <w:jc w:val="center"/>
      </w:pPr>
      <w:r>
        <w:rPr>
          <w:rFonts w:ascii="Arial" w:hAnsi="Arial" w:eastAsia="宋体"/>
        </w:rPr>
        <w:drawing>
          <wp:inline distT="0" distB="0" distL="0" distR="0">
            <wp:extent cx="5427980" cy="2659380"/>
            <wp:effectExtent l="0" t="0" r="1270" b="7620"/>
            <wp:docPr id="19" name="图表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>
      <w:pPr>
        <w:bidi w:val="0"/>
        <w:jc w:val="center"/>
        <w:rPr>
          <w:rFonts w:hint="eastAsia"/>
        </w:rPr>
      </w:pPr>
      <w:r>
        <w:rPr>
          <w:rFonts w:hint="eastAsia"/>
        </w:rPr>
        <w:t>图</w:t>
      </w:r>
      <w:r>
        <w:t>6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 xml:space="preserve"> 2016</w:t>
      </w:r>
      <w:r>
        <w:t>-2020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社会</w:t>
      </w:r>
      <w:r>
        <w:t>消费品零售总额</w:t>
      </w:r>
    </w:p>
    <w:p>
      <w:pPr>
        <w:bidi w:val="0"/>
        <w:rPr>
          <w:rFonts w:hint="eastAsia"/>
        </w:rPr>
      </w:pPr>
    </w:p>
    <w:p>
      <w:pPr>
        <w:bidi w:val="0"/>
      </w:pPr>
      <w:r>
        <w:rPr>
          <w:rFonts w:hint="eastAsia"/>
        </w:rPr>
        <w:t>2020年，全省网上零售额达到2866.6亿元，增长1.6%，其中实物商品网上零售额2448.9亿元，增长4.6%，占社会消费品零售总额的比重为13.6%，</w:t>
      </w:r>
      <w:r>
        <w:t>比上年提高</w:t>
      </w:r>
      <w:r>
        <w:rPr>
          <w:rFonts w:hint="eastAsia"/>
        </w:rPr>
        <w:t>1.8个</w:t>
      </w:r>
      <w:r>
        <w:t>百分点</w:t>
      </w:r>
      <w:r>
        <w:rPr>
          <w:rFonts w:hint="eastAsia"/>
        </w:rPr>
        <w:t xml:space="preserve">。 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六、对外经济</w:t>
      </w:r>
    </w:p>
    <w:p>
      <w:pPr>
        <w:bidi w:val="0"/>
      </w:pPr>
      <w:r>
        <w:rPr>
          <w:rFonts w:hint="eastAsia"/>
        </w:rPr>
        <w:t>全年全省实现货物进出口总额4294.1亿元，增长8.8%，其中，进口1592.1亿元，增长9.1%；出口2702.0亿元,增长8.7%。2020年欧盟替代东盟跃升为湖北省第一大贸易伙伴，双边贸易值595.2亿元，增长17.1%。</w:t>
      </w:r>
    </w:p>
    <w:p>
      <w:pPr>
        <w:jc w:val="center"/>
        <w:rPr>
          <w:rFonts w:ascii="Times New Roman" w:hAnsi="Times New Roman" w:eastAsia="宋体" w:cs="宋体"/>
          <w:kern w:val="0"/>
          <w:sz w:val="32"/>
          <w:szCs w:val="32"/>
        </w:rPr>
      </w:pPr>
      <w:r>
        <w:drawing>
          <wp:inline distT="0" distB="0" distL="114300" distR="114300">
            <wp:extent cx="5393055" cy="2655570"/>
            <wp:effectExtent l="0" t="0" r="17145" b="11430"/>
            <wp:docPr id="12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>
      <w:pPr>
        <w:bidi w:val="0"/>
        <w:jc w:val="center"/>
        <w:rPr>
          <w:rFonts w:hint="eastAsia"/>
        </w:rPr>
      </w:pPr>
      <w:r>
        <w:rPr>
          <w:rFonts w:hint="eastAsia"/>
        </w:rPr>
        <w:t>图</w:t>
      </w:r>
      <w:r>
        <w:t>7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>2016</w:t>
      </w:r>
      <w:r>
        <w:t>-2020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货物</w:t>
      </w:r>
      <w:r>
        <w:t>进出口总额</w:t>
      </w:r>
    </w:p>
    <w:p>
      <w:pPr>
        <w:bidi w:val="0"/>
        <w:rPr>
          <w:rFonts w:hint="eastAsia"/>
        </w:rPr>
      </w:pPr>
    </w:p>
    <w:p>
      <w:pPr>
        <w:bidi w:val="0"/>
      </w:pPr>
      <w:r>
        <w:rPr>
          <w:rFonts w:hint="eastAsia"/>
        </w:rPr>
        <w:t>新批外商直接投资项目</w:t>
      </w:r>
      <w:r>
        <w:t>296</w:t>
      </w:r>
      <w:r>
        <w:rPr>
          <w:rFonts w:hint="eastAsia"/>
        </w:rPr>
        <w:t>个。全年实际使用</w:t>
      </w:r>
      <w:r>
        <w:t>外资</w:t>
      </w:r>
      <w:r>
        <w:rPr>
          <w:rFonts w:hint="eastAsia"/>
        </w:rPr>
        <w:t>103.52亿美元，下降19.8%。欧亚</w:t>
      </w:r>
      <w:r>
        <w:t>部分国家在</w:t>
      </w:r>
      <w:r>
        <w:rPr>
          <w:rFonts w:hint="eastAsia"/>
        </w:rPr>
        <w:t>湖北</w:t>
      </w:r>
      <w:r>
        <w:t>投资逆势增</w:t>
      </w:r>
      <w:r>
        <w:rPr>
          <w:rFonts w:hint="eastAsia"/>
        </w:rPr>
        <w:t>长</w:t>
      </w:r>
      <w:r>
        <w:t>，德国、</w:t>
      </w:r>
      <w:r>
        <w:rPr>
          <w:rFonts w:hint="eastAsia"/>
        </w:rPr>
        <w:t>荷兰</w:t>
      </w:r>
      <w:r>
        <w:t>、</w:t>
      </w:r>
      <w:r>
        <w:rPr>
          <w:rFonts w:hint="eastAsia"/>
        </w:rPr>
        <w:t>新加坡投资分别</w:t>
      </w:r>
      <w:r>
        <w:t>增长</w:t>
      </w:r>
      <w:r>
        <w:rPr>
          <w:rFonts w:hint="eastAsia"/>
        </w:rPr>
        <w:t>92.5</w:t>
      </w:r>
      <w:r>
        <w:t>%、</w:t>
      </w:r>
      <w:r>
        <w:rPr>
          <w:rFonts w:hint="eastAsia"/>
        </w:rPr>
        <w:t>27.3</w:t>
      </w:r>
      <w:r>
        <w:t>%、</w:t>
      </w:r>
      <w:r>
        <w:rPr>
          <w:rFonts w:hint="eastAsia"/>
        </w:rPr>
        <w:t>16.0</w:t>
      </w:r>
      <w:r>
        <w:t>%。</w:t>
      </w:r>
      <w:r>
        <w:rPr>
          <w:rFonts w:hint="eastAsia"/>
        </w:rPr>
        <w:t>全年高技术产业（制造业）实际使用外资</w:t>
      </w:r>
      <w:r>
        <w:t>1.07</w:t>
      </w:r>
      <w:r>
        <w:rPr>
          <w:rFonts w:hint="eastAsia"/>
        </w:rPr>
        <w:t>亿美元（商务部</w:t>
      </w:r>
      <w:r>
        <w:t>口径）</w:t>
      </w:r>
      <w:r>
        <w:rPr>
          <w:rFonts w:hint="eastAsia"/>
        </w:rPr>
        <w:t>，下降</w:t>
      </w:r>
      <w:r>
        <w:t>16.9</w:t>
      </w:r>
      <w:r>
        <w:rPr>
          <w:rFonts w:hint="eastAsia"/>
        </w:rPr>
        <w:t>%。</w:t>
      </w:r>
    </w:p>
    <w:p>
      <w:pPr>
        <w:bidi w:val="0"/>
        <w:rPr>
          <w:rFonts w:hint="eastAsia"/>
        </w:rPr>
      </w:pPr>
      <w:r>
        <w:rPr>
          <w:rFonts w:hint="eastAsia"/>
        </w:rPr>
        <w:t>全年对外非金融类直接投资额</w:t>
      </w:r>
      <w:r>
        <w:t>20.0</w:t>
      </w:r>
      <w:r>
        <w:rPr>
          <w:rFonts w:hint="eastAsia"/>
        </w:rPr>
        <w:t>亿美元，增长2.0</w:t>
      </w:r>
      <w:r>
        <w:t>%</w:t>
      </w:r>
      <w:r>
        <w:rPr>
          <w:rFonts w:hint="eastAsia"/>
        </w:rPr>
        <w:t>。对外承包工程完成营业额</w:t>
      </w:r>
      <w:r>
        <w:t>64.15</w:t>
      </w:r>
      <w:r>
        <w:rPr>
          <w:rFonts w:hint="eastAsia"/>
        </w:rPr>
        <w:t>亿美元，下降3.0</w:t>
      </w:r>
      <w:r>
        <w:t>%</w:t>
      </w:r>
      <w:r>
        <w:rPr>
          <w:rFonts w:hint="eastAsia"/>
        </w:rPr>
        <w:t>。对外劳务合作派出各类劳务人员</w:t>
      </w:r>
      <w:r>
        <w:t>12484</w:t>
      </w:r>
      <w:r>
        <w:rPr>
          <w:rFonts w:hint="eastAsia"/>
        </w:rPr>
        <w:t>人次，</w:t>
      </w:r>
      <w:r>
        <w:t>增长</w:t>
      </w:r>
      <w:r>
        <w:rPr>
          <w:rFonts w:hint="eastAsia"/>
        </w:rPr>
        <w:t>8.4</w:t>
      </w:r>
      <w:r>
        <w:t>%</w:t>
      </w:r>
      <w:r>
        <w:rPr>
          <w:rFonts w:hint="eastAsia"/>
        </w:rPr>
        <w:t>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七、交通运输和邮电通信</w:t>
      </w:r>
    </w:p>
    <w:p>
      <w:pPr>
        <w:bidi w:val="0"/>
        <w:rPr>
          <w:rFonts w:hint="eastAsia"/>
        </w:rPr>
      </w:pPr>
      <w:r>
        <w:rPr>
          <w:rFonts w:hint="eastAsia"/>
        </w:rPr>
        <w:t>年末全省公路总里程达289960.44公里，增长0.3%；高速公路里程达7229.81公里，增长5.4%。全年全省完成货物周转量5295.68亿吨公里，下降13.9%；旅客周转量612.42亿人公里，下降55.8%；港口完成货物吞吐量3.80亿吨，增长23.9%。港口集装箱吞吐量229万标准箱，增长9.8%。</w:t>
      </w:r>
    </w:p>
    <w:p>
      <w:pPr>
        <w:bidi w:val="0"/>
      </w:pPr>
      <w:r>
        <w:rPr>
          <w:rFonts w:hint="eastAsia"/>
        </w:rPr>
        <w:t>全省邮政业务总量471.77亿元，增长2.9%。其中，快递业务量17.85亿件，快递业务收入178.69亿元。全省电信业务总量4204.91亿元，增长24.9%。长途光缆线路长度达到3.21万公里；移动电话交换机容量达9043.50万户；固定电话用户481.61万户；移动电话用户达到5681.07万户；全省电话普及率为104.0部／百人，移动电话普及率为95.9部/百人；固定互联网宽带接入用户1870.16万户，比上年增加161.84万户;移动互联网用户接入流量50.67亿GB，比上年增长32.4%。</w:t>
      </w:r>
    </w:p>
    <w:p>
      <w:pPr>
        <w:jc w:val="center"/>
      </w:pPr>
      <w:r>
        <w:drawing>
          <wp:inline distT="0" distB="0" distL="114300" distR="114300">
            <wp:extent cx="5187315" cy="2458720"/>
            <wp:effectExtent l="0" t="0" r="13335" b="17780"/>
            <wp:docPr id="10" name="图表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>
      <w:pPr>
        <w:jc w:val="center"/>
      </w:pPr>
      <w:r>
        <w:rPr>
          <w:rFonts w:hint="eastAsia"/>
        </w:rPr>
        <w:t>图</w:t>
      </w:r>
      <w:r>
        <w:t>8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</w:rPr>
        <w:t xml:space="preserve"> 2016</w:t>
      </w:r>
      <w:r>
        <w:t>-2020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快递</w:t>
      </w:r>
      <w:r>
        <w:t>业务量及其增长速度</w:t>
      </w:r>
    </w:p>
    <w:p>
      <w:pPr>
        <w:ind w:left="0" w:leftChars="0" w:firstLine="0" w:firstLineChars="0"/>
        <w:jc w:val="center"/>
      </w:pPr>
      <w:r>
        <w:drawing>
          <wp:inline distT="0" distB="0" distL="114300" distR="114300">
            <wp:extent cx="5121910" cy="2416175"/>
            <wp:effectExtent l="0" t="0" r="2540" b="3175"/>
            <wp:docPr id="9" name="图表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>
      <w:pPr>
        <w:ind w:left="0" w:leftChars="0" w:firstLine="0" w:firstLineChars="0"/>
        <w:jc w:val="center"/>
      </w:pPr>
      <w:r>
        <w:rPr>
          <w:rFonts w:hint="eastAsia"/>
        </w:rPr>
        <w:t>图</w:t>
      </w:r>
      <w:r>
        <w:t>9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2016</w:t>
      </w:r>
      <w:r>
        <w:t>-2020</w:t>
      </w:r>
      <w:r>
        <w:rPr>
          <w:rFonts w:hint="eastAsia"/>
        </w:rPr>
        <w:t>年</w:t>
      </w:r>
      <w:r>
        <w:t>湖北</w:t>
      </w:r>
      <w:r>
        <w:rPr>
          <w:rFonts w:hint="eastAsia"/>
        </w:rPr>
        <w:t>年末</w:t>
      </w:r>
      <w:r>
        <w:t>固定互联网宽带接入用户数</w:t>
      </w:r>
    </w:p>
    <w:p>
      <w:pPr>
        <w:ind w:left="0" w:leftChars="0" w:firstLine="0" w:firstLineChars="0"/>
        <w:jc w:val="center"/>
      </w:pPr>
    </w:p>
    <w:p>
      <w:pPr>
        <w:bidi w:val="0"/>
        <w:rPr>
          <w:rFonts w:hint="eastAsia"/>
          <w:b/>
          <w:bCs/>
        </w:rPr>
      </w:pPr>
      <w:r>
        <w:rPr>
          <w:rFonts w:hint="eastAsia"/>
          <w:b/>
          <w:bCs/>
        </w:rPr>
        <w:t>八、财政和金融</w:t>
      </w:r>
    </w:p>
    <w:p>
      <w:pPr>
        <w:bidi w:val="0"/>
      </w:pPr>
      <w:r>
        <w:rPr>
          <w:rFonts w:hint="eastAsia"/>
        </w:rPr>
        <w:t>全年全省完成财政总收入</w:t>
      </w:r>
      <w:r>
        <w:t>4580.89</w:t>
      </w:r>
      <w:r>
        <w:rPr>
          <w:rFonts w:hint="eastAsia"/>
        </w:rPr>
        <w:t>亿元，下降20.8%。其中，地方一般公共预算收入2511.52亿元，下降25.9%。在地方一般公共预算收入中，税收收入1923.</w:t>
      </w:r>
      <w:r>
        <w:t>4</w:t>
      </w:r>
      <w:r>
        <w:rPr>
          <w:rFonts w:hint="eastAsia"/>
        </w:rPr>
        <w:t>亿元，下降24</w:t>
      </w:r>
      <w:r>
        <w:t>.0</w:t>
      </w:r>
      <w:r>
        <w:rPr>
          <w:rFonts w:hint="eastAsia"/>
        </w:rPr>
        <w:t>%。地方一般公共预算支出8439.04亿元，增长5.9%。</w:t>
      </w:r>
    </w:p>
    <w:p>
      <w:pPr>
        <w:bidi w:val="0"/>
        <w:rPr>
          <w:rFonts w:hint="eastAsia"/>
        </w:rPr>
      </w:pPr>
      <w:r>
        <w:rPr>
          <w:rFonts w:hint="eastAsia"/>
        </w:rPr>
        <w:t>年末全省金融机构本外币各项存款余额67159.32亿元，增长10.9%，比年初增加6621.87亿元。其中，住户存款34144.37亿元，增加4170.57亿元。金融机构人民币各项贷款余额59872.13亿元，增长14.6%，比年初增加7629.53亿元。其中，住户贷款18706.43亿元，增加2121.43亿元；非金融企业及机关团体贷款40165.08亿元，增加5613.34亿元。</w:t>
      </w:r>
    </w:p>
    <w:p>
      <w:pPr>
        <w:bidi w:val="0"/>
      </w:pPr>
      <w:r>
        <w:rPr>
          <w:rFonts w:hint="eastAsia"/>
        </w:rPr>
        <w:t>全年实现保费收入1854.38亿元，增长7.3%。其中，财产险保费收入370.25亿元，下降6.9%；人身险保费收入1484.14亿元，增长11.5%。支付各类赔款及给付518.15亿元，增长1.2%，其中，财产险赔付支出218.15亿元，增长3.7%；人身险赔付支出300.01亿元，下降0.6%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九、教育和科学技术</w:t>
      </w:r>
    </w:p>
    <w:p>
      <w:pPr>
        <w:bidi w:val="0"/>
      </w:pPr>
      <w:r>
        <w:rPr>
          <w:rFonts w:hint="eastAsia"/>
        </w:rPr>
        <w:t>2020年，全省普通高等教育本专科招生51.40万人，在校生161.69万人，毕业生40.18万人；研究生招生6.66万人，在校研究生17.88万人，毕业生4.53万人；各类中等职业教育招生15.23万人，在校生42.03万人，毕业生11.78万人;普通高中招生31.32万人，在校生89.19万人，毕业生27.4</w:t>
      </w:r>
      <w:r>
        <w:t>1</w:t>
      </w:r>
      <w:r>
        <w:rPr>
          <w:rFonts w:hint="eastAsia"/>
        </w:rPr>
        <w:t>万人；普通初中在校生170.83万人，小学在校生380.85万人，幼儿园在园幼儿178.43万人。</w:t>
      </w:r>
    </w:p>
    <w:p>
      <w:pPr>
        <w:bidi w:val="0"/>
      </w:pPr>
      <w:r>
        <w:rPr>
          <w:rFonts w:hint="eastAsia"/>
        </w:rPr>
        <w:t>科学研究和技术开发取得新的成果。全年共登记重大科技成果1553项。其中,基础理论成果54项，应用技术成果1447项，软科学成果52项。全年共签订技术合同39749项，技术合同成交金额1686.95亿元，合同金额增长16.4%。</w:t>
      </w:r>
    </w:p>
    <w:p>
      <w:pPr>
        <w:bidi w:val="0"/>
        <w:rPr>
          <w:rFonts w:hint="eastAsia"/>
        </w:rPr>
      </w:pPr>
      <w:r>
        <w:rPr>
          <w:rFonts w:hint="eastAsia"/>
        </w:rPr>
        <w:t>2020年末，全省共建有246家省级工程研究中心（工程实验室）、589家省级企业技术中心。</w:t>
      </w:r>
    </w:p>
    <w:p>
      <w:pPr>
        <w:bidi w:val="0"/>
        <w:rPr>
          <w:rFonts w:hint="eastAsia"/>
        </w:rPr>
      </w:pPr>
      <w:r>
        <w:rPr>
          <w:rFonts w:hint="eastAsia"/>
        </w:rPr>
        <w:t>全省共有国家级检验检测中心33个；累计有15376家企业通过ISO9000体系认证；企业获得强制性认证证书10288张。法定计量技术机构有107个，强制检定计量器具151.54万台件。</w:t>
      </w:r>
    </w:p>
    <w:p>
      <w:pPr>
        <w:bidi w:val="0"/>
      </w:pPr>
      <w:r>
        <w:rPr>
          <w:rFonts w:hint="eastAsia"/>
        </w:rPr>
        <w:t>全省天气雷达观测站点16个，卫星云图接</w:t>
      </w:r>
      <w:r>
        <w:rPr>
          <w:rFonts w:hint="eastAsia"/>
          <w:lang w:eastAsia="zh-CN"/>
        </w:rPr>
        <w:t>收</w:t>
      </w:r>
      <w:r>
        <w:rPr>
          <w:rFonts w:hint="eastAsia"/>
        </w:rPr>
        <w:t>站点18个。地震遥测台网3个，地震台站52个。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十、文化旅游、卫生和体育</w:t>
      </w:r>
    </w:p>
    <w:p>
      <w:pPr>
        <w:bidi w:val="0"/>
      </w:pPr>
      <w:r>
        <w:rPr>
          <w:rFonts w:hint="eastAsia"/>
        </w:rPr>
        <w:t>2020年末，全省共有国有艺术表演团体87个，群艺馆、文化馆125个，公共图书馆115个，博物馆230个。电影放映管理机构</w:t>
      </w:r>
      <w:r>
        <w:t>103</w:t>
      </w:r>
      <w:r>
        <w:rPr>
          <w:rFonts w:hint="eastAsia"/>
        </w:rPr>
        <w:t>个，放映单位</w:t>
      </w:r>
      <w:r>
        <w:t>1797</w:t>
      </w:r>
      <w:r>
        <w:rPr>
          <w:rFonts w:hint="eastAsia"/>
        </w:rPr>
        <w:t>个。广播电台</w:t>
      </w:r>
      <w:r>
        <w:t>1</w:t>
      </w:r>
      <w:r>
        <w:rPr>
          <w:rFonts w:hint="eastAsia"/>
        </w:rPr>
        <w:t>座，电视台</w:t>
      </w:r>
      <w:r>
        <w:t>1</w:t>
      </w:r>
      <w:r>
        <w:rPr>
          <w:rFonts w:hint="eastAsia"/>
        </w:rPr>
        <w:t>座，广播电视台</w:t>
      </w:r>
      <w:r>
        <w:t>82</w:t>
      </w:r>
      <w:r>
        <w:rPr>
          <w:rFonts w:hint="eastAsia"/>
        </w:rPr>
        <w:t>座，有线电视用户</w:t>
      </w:r>
      <w:r>
        <w:t>1203</w:t>
      </w:r>
      <w:r>
        <w:rPr>
          <w:rFonts w:hint="eastAsia"/>
        </w:rPr>
        <w:t>万户。广播节目综合人口覆盖率为</w:t>
      </w:r>
      <w:r>
        <w:t>99.86</w:t>
      </w:r>
      <w:r>
        <w:rPr>
          <w:rFonts w:hint="eastAsia"/>
        </w:rPr>
        <w:t>%，电视节目综合人口覆盖率为</w:t>
      </w:r>
      <w:r>
        <w:t>99.82</w:t>
      </w:r>
      <w:r>
        <w:rPr>
          <w:rFonts w:hint="eastAsia"/>
        </w:rPr>
        <w:t>%。全年出版全国性和省级报纸5.7亿份，各类期刊0.7亿册，图书2.8亿册。全年规模以上文化及相关产业企业营业收入3930.7亿元，下降1.2%。</w:t>
      </w:r>
    </w:p>
    <w:p>
      <w:pPr>
        <w:bidi w:val="0"/>
        <w:rPr>
          <w:rFonts w:hint="eastAsia"/>
        </w:rPr>
      </w:pPr>
      <w:r>
        <w:rPr>
          <w:rFonts w:hint="eastAsia"/>
        </w:rPr>
        <w:t>全年共接待游客43729.64万人次，下降27.8</w:t>
      </w:r>
      <w:r>
        <w:t>%</w:t>
      </w:r>
      <w:r>
        <w:rPr>
          <w:rFonts w:hint="eastAsia"/>
        </w:rPr>
        <w:t>，旅游总收入4379.49亿元，下降</w:t>
      </w:r>
      <w:r>
        <w:t>36.</w:t>
      </w:r>
      <w:r>
        <w:rPr>
          <w:rFonts w:hint="eastAsia"/>
        </w:rPr>
        <w:t>8</w:t>
      </w:r>
      <w:r>
        <w:t>%</w:t>
      </w:r>
      <w:r>
        <w:rPr>
          <w:rFonts w:hint="eastAsia"/>
        </w:rPr>
        <w:t>。</w:t>
      </w:r>
    </w:p>
    <w:p>
      <w:pPr>
        <w:bidi w:val="0"/>
      </w:pPr>
      <w:r>
        <w:rPr>
          <w:rFonts w:hint="eastAsia"/>
        </w:rPr>
        <w:t>全省共有医疗卫生机构35447家，其中医院1048家，基层医疗卫生机构33853家，专业公共卫生机构479家；全省共有卫生计生人员53.81万人，其中执业（助理）医师15.97万人，注册</w:t>
      </w:r>
      <w:r>
        <w:t>护士20.01</w:t>
      </w:r>
      <w:r>
        <w:rPr>
          <w:rFonts w:hint="eastAsia"/>
        </w:rPr>
        <w:t>万人</w:t>
      </w:r>
      <w:r>
        <w:t>；全</w:t>
      </w:r>
      <w:r>
        <w:rPr>
          <w:rFonts w:hint="eastAsia"/>
        </w:rPr>
        <w:t>省</w:t>
      </w:r>
      <w:r>
        <w:t>共有医疗卫生机构床位41.18</w:t>
      </w:r>
      <w:r>
        <w:rPr>
          <w:rFonts w:hint="eastAsia"/>
        </w:rPr>
        <w:t>万张</w:t>
      </w:r>
      <w:r>
        <w:t>，</w:t>
      </w:r>
      <w:r>
        <w:rPr>
          <w:rFonts w:hint="eastAsia"/>
        </w:rPr>
        <w:t>其中医院床位29.65万张，社区卫生服务机构床位1.63万张，卫生院床位8.16万张。全年总诊疗人次</w:t>
      </w:r>
      <w:r>
        <w:t>29457.34</w:t>
      </w:r>
      <w:r>
        <w:rPr>
          <w:rFonts w:hint="eastAsia"/>
        </w:rPr>
        <w:t>万人次，出院人数1</w:t>
      </w:r>
      <w:r>
        <w:t>027.45</w:t>
      </w:r>
      <w:r>
        <w:rPr>
          <w:rFonts w:hint="eastAsia"/>
        </w:rPr>
        <w:t>万人。</w:t>
      </w:r>
    </w:p>
    <w:p>
      <w:pPr>
        <w:bidi w:val="0"/>
      </w:pPr>
      <w:r>
        <w:rPr>
          <w:rFonts w:hint="eastAsia"/>
        </w:rPr>
        <w:t>全年全省运动健儿在国际比赛中共获得冠军18项次、亚军7项次、季军7项次；奥运会项目最高水平比赛冠军19项次、亚军18项次、季军17项次；在各类全国比赛中，获冠军124项次、亚军92项次、第三名88项次；全运会项目全国最高水平比赛中冠军19项次、亚军18项次、第三名17项次。全年销售体育彩票82.8亿元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十一、居民生活和社会保障</w:t>
      </w:r>
    </w:p>
    <w:p>
      <w:pPr>
        <w:bidi w:val="0"/>
      </w:pPr>
      <w:r>
        <w:rPr>
          <w:rFonts w:hint="eastAsia"/>
        </w:rPr>
        <w:t>全省城镇居民人均可支配收入36706元，下降2.4%；农村居民人均可支配收入16306元，下降0.5%。城镇居民人均消费支出22885元，下降13.4%；农村居民人均消费支出14473元,下降5.6%。</w:t>
      </w:r>
    </w:p>
    <w:p>
      <w:pPr>
        <w:bidi w:val="0"/>
      </w:pPr>
      <w:r>
        <w:rPr>
          <w:rFonts w:hint="eastAsia"/>
        </w:rPr>
        <w:t>社会保障进一步加强。年末全省参加城镇职工基本养老保险  1746.09万人，其中，在职职工1149.62万人，离退休人员596.47万人；参加城乡居民基本养老保险</w:t>
      </w:r>
      <w:r>
        <w:t>2368.86</w:t>
      </w:r>
      <w:r>
        <w:rPr>
          <w:rFonts w:hint="eastAsia"/>
        </w:rPr>
        <w:t>万人；参加职工基本医疗保险1136.93万人；参加城乡居民基本医疗保险44</w:t>
      </w:r>
      <w:r>
        <w:t>4</w:t>
      </w:r>
      <w:r>
        <w:rPr>
          <w:rFonts w:hint="eastAsia"/>
        </w:rPr>
        <w:t>6.05万人；参加工伤保险752.43万人；参加生育保险645.88万人;参加失业保险人数651.31万人，年末领取失业保险金人数14.05万人。</w:t>
      </w:r>
    </w:p>
    <w:p>
      <w:pPr>
        <w:bidi w:val="0"/>
      </w:pPr>
      <w:r>
        <w:rPr>
          <w:rFonts w:hint="eastAsia"/>
        </w:rPr>
        <w:t>全年全省城镇居民最低生活保障对象30.7万人，农村居民最低生活保障人数144.6万人，国家抚恤、补助各类优抚对象37.27万人。社会福利事业不断发展。年末全省养老机构1831家，城乡社区养老服务设施覆盖率分别达到97%和67%。全年销售社会福利彩票52.5亿元。</w:t>
      </w:r>
    </w:p>
    <w:p>
      <w:pPr>
        <w:bidi w:val="0"/>
        <w:rPr>
          <w:b/>
          <w:bCs/>
        </w:rPr>
      </w:pPr>
      <w:r>
        <w:rPr>
          <w:rFonts w:hint="eastAsia"/>
          <w:b/>
          <w:bCs/>
        </w:rPr>
        <w:t>十二、节能降耗、资源环境</w:t>
      </w:r>
    </w:p>
    <w:p>
      <w:pPr>
        <w:bidi w:val="0"/>
      </w:pPr>
      <w:r>
        <w:t>全省继续大力推进节能降耗工作，单位GDP能耗继续保持下降态势，年初确定的1%的下降目标顺利完成。</w:t>
      </w:r>
    </w:p>
    <w:p>
      <w:pPr>
        <w:bidi w:val="0"/>
      </w:pPr>
      <w:r>
        <w:rPr>
          <w:rFonts w:hint="eastAsia"/>
        </w:rPr>
        <w:t>全省国有建设用地供应总量2.72万公顷，比上年下降13.79</w:t>
      </w:r>
      <w:r>
        <w:t>%</w:t>
      </w:r>
      <w:r>
        <w:rPr>
          <w:rFonts w:hint="eastAsia"/>
        </w:rPr>
        <w:t>。水资源总量1903.3亿立方米，增长210</w:t>
      </w:r>
      <w:r>
        <w:t>%</w:t>
      </w:r>
      <w:r>
        <w:rPr>
          <w:rFonts w:hint="eastAsia"/>
        </w:rPr>
        <w:t>。万元地区生产总值用水量76立方米，上升2.7</w:t>
      </w:r>
      <w:r>
        <w:t xml:space="preserve"> </w:t>
      </w:r>
      <w:r>
        <w:rPr>
          <w:rFonts w:hint="eastAsia"/>
        </w:rPr>
        <w:t>%。万元工业增加值用水量56立方米，下降3.4%。</w:t>
      </w:r>
    </w:p>
    <w:p>
      <w:pPr>
        <w:bidi w:val="0"/>
      </w:pPr>
      <w:r>
        <w:rPr>
          <w:rFonts w:hint="eastAsia"/>
        </w:rPr>
        <w:t>全</w:t>
      </w:r>
      <w:r>
        <w:t>省</w:t>
      </w:r>
      <w:r>
        <w:rPr>
          <w:rFonts w:hint="eastAsia"/>
        </w:rPr>
        <w:t>完成造林面积24.86万公顷，其中人工造林面积11.05</w:t>
      </w:r>
      <w:r>
        <w:t xml:space="preserve"> </w:t>
      </w:r>
      <w:r>
        <w:rPr>
          <w:rFonts w:hint="eastAsia"/>
        </w:rPr>
        <w:t>万公顷，占全部造林面积的44.45</w:t>
      </w:r>
      <w:r>
        <w:t>%</w:t>
      </w:r>
      <w:r>
        <w:rPr>
          <w:rFonts w:hint="eastAsia"/>
        </w:rPr>
        <w:t>。森林抚育面积38.47万公顷。</w:t>
      </w:r>
      <w:r>
        <w:t>截至年底，全省国家级自然保护区</w:t>
      </w:r>
      <w:r>
        <w:rPr>
          <w:rFonts w:hint="eastAsia"/>
        </w:rPr>
        <w:t>22</w:t>
      </w:r>
      <w:r>
        <w:t>个。</w:t>
      </w:r>
    </w:p>
    <w:p>
      <w:pPr>
        <w:bidi w:val="0"/>
      </w:pPr>
      <w:r>
        <w:t>全省主要河流的</w:t>
      </w:r>
      <w:r>
        <w:rPr>
          <w:rFonts w:hint="eastAsia"/>
        </w:rPr>
        <w:t>179</w:t>
      </w:r>
      <w:r>
        <w:t>个地表水水质监测断面中，水质优良为</w:t>
      </w:r>
      <w:r>
        <w:rPr>
          <w:rFonts w:hint="eastAsia"/>
        </w:rPr>
        <w:t>Ⅰ</w:t>
      </w:r>
      <w:r>
        <w:t>～</w:t>
      </w:r>
      <w:r>
        <w:rPr>
          <w:rFonts w:hint="eastAsia"/>
        </w:rPr>
        <w:t>Ⅲ</w:t>
      </w:r>
      <w:r>
        <w:t>类的占</w:t>
      </w:r>
      <w:r>
        <w:rPr>
          <w:rFonts w:hint="eastAsia"/>
        </w:rPr>
        <w:t>93.9</w:t>
      </w:r>
      <w:r>
        <w:t>%，水质较差为</w:t>
      </w:r>
      <w:r>
        <w:rPr>
          <w:rFonts w:hint="eastAsia"/>
        </w:rPr>
        <w:t>Ⅳ</w:t>
      </w:r>
      <w:r>
        <w:t>类、</w:t>
      </w:r>
      <w:r>
        <w:rPr>
          <w:rFonts w:hint="eastAsia"/>
        </w:rPr>
        <w:t>Ⅴ</w:t>
      </w:r>
      <w:r>
        <w:t>类的占</w:t>
      </w:r>
      <w:r>
        <w:rPr>
          <w:rFonts w:hint="eastAsia"/>
        </w:rPr>
        <w:t>6.1</w:t>
      </w:r>
      <w:r>
        <w:t>%，无水质污染严重为劣</w:t>
      </w:r>
      <w:r>
        <w:rPr>
          <w:rFonts w:hint="eastAsia"/>
        </w:rPr>
        <w:t>Ⅴ</w:t>
      </w:r>
      <w:r>
        <w:t>类</w:t>
      </w:r>
      <w:r>
        <w:rPr>
          <w:rFonts w:hint="eastAsia"/>
        </w:rPr>
        <w:t>的</w:t>
      </w:r>
      <w:r>
        <w:t xml:space="preserve">水质监测断面。全省主要湖泊、水库的 </w:t>
      </w:r>
      <w:r>
        <w:rPr>
          <w:rFonts w:hint="eastAsia"/>
        </w:rPr>
        <w:t>32</w:t>
      </w:r>
      <w:r>
        <w:t>个水域中，水质优良为</w:t>
      </w:r>
      <w:r>
        <w:rPr>
          <w:rFonts w:hint="eastAsia"/>
        </w:rPr>
        <w:t>Ⅰ</w:t>
      </w:r>
      <w:r>
        <w:t>～</w:t>
      </w:r>
      <w:r>
        <w:rPr>
          <w:rFonts w:hint="eastAsia"/>
        </w:rPr>
        <w:t>Ⅲ</w:t>
      </w:r>
      <w:r>
        <w:t>类水域占</w:t>
      </w:r>
      <w:r>
        <w:rPr>
          <w:rFonts w:hint="eastAsia"/>
        </w:rPr>
        <w:t>62.5</w:t>
      </w:r>
      <w:r>
        <w:t>%，水质较差为IV类、V类的占</w:t>
      </w:r>
      <w:r>
        <w:rPr>
          <w:rFonts w:hint="eastAsia"/>
        </w:rPr>
        <w:t>37.5</w:t>
      </w:r>
      <w:r>
        <w:t>%，无劣</w:t>
      </w:r>
      <w:r>
        <w:rPr>
          <w:rFonts w:hint="eastAsia"/>
        </w:rPr>
        <w:t>Ⅴ</w:t>
      </w:r>
      <w:r>
        <w:t>类水域。</w:t>
      </w:r>
    </w:p>
    <w:p>
      <w:pPr>
        <w:bidi w:val="0"/>
      </w:pPr>
      <w:r>
        <w:rPr>
          <w:rFonts w:hint="eastAsia"/>
        </w:rPr>
        <w:t>在省内监测的13个地级及以上城市中，空气质量达标的城市占38.5%，未达标的城市占61.5%。细颗粒物（PM2.5）未达标城市年平均浓度40微克/立方米，比上年下降11.1</w:t>
      </w:r>
      <w:r>
        <w:t xml:space="preserve"> </w:t>
      </w:r>
      <w:r>
        <w:rPr>
          <w:rFonts w:hint="eastAsia"/>
        </w:rPr>
        <w:t>%。</w:t>
      </w:r>
    </w:p>
    <w:p>
      <w:pPr>
        <w:bidi w:val="0"/>
      </w:pPr>
      <w:r>
        <w:t>全省</w:t>
      </w:r>
      <w:r>
        <w:rPr>
          <w:rFonts w:hint="eastAsia"/>
        </w:rPr>
        <w:t>平均气温为16.8</w:t>
      </w:r>
      <w:r>
        <w:t xml:space="preserve"> </w:t>
      </w:r>
      <w:r>
        <w:rPr>
          <w:rFonts w:hint="eastAsia"/>
        </w:rPr>
        <w:t>℃，比常年上升</w:t>
      </w:r>
      <w:r>
        <w:t xml:space="preserve"> </w:t>
      </w:r>
      <w:r>
        <w:rPr>
          <w:rFonts w:hint="eastAsia"/>
        </w:rPr>
        <w:t>0.4℃。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1" w:firstLineChars="200"/>
        <w:textAlignment w:val="auto"/>
        <w:rPr>
          <w:rFonts w:hint="eastAsia" w:ascii="楷体" w:hAnsi="楷体" w:eastAsia="楷体"/>
          <w:b/>
          <w:sz w:val="18"/>
          <w:szCs w:val="18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1" w:firstLineChars="200"/>
        <w:textAlignment w:val="auto"/>
        <w:rPr>
          <w:rFonts w:ascii="楷体" w:hAnsi="楷体" w:eastAsia="楷体"/>
          <w:sz w:val="18"/>
          <w:szCs w:val="18"/>
        </w:rPr>
      </w:pPr>
      <w:r>
        <w:rPr>
          <w:rFonts w:hint="eastAsia" w:ascii="楷体" w:hAnsi="楷体" w:eastAsia="楷体"/>
          <w:b/>
          <w:sz w:val="18"/>
          <w:szCs w:val="18"/>
        </w:rPr>
        <w:t>注</w:t>
      </w:r>
      <w:r>
        <w:rPr>
          <w:rFonts w:hint="eastAsia" w:ascii="楷体" w:hAnsi="楷体" w:eastAsia="楷体"/>
          <w:sz w:val="18"/>
          <w:szCs w:val="18"/>
        </w:rPr>
        <w:t>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textAlignment w:val="auto"/>
        <w:rPr>
          <w:rFonts w:ascii="楷体" w:hAnsi="楷体" w:eastAsia="楷体"/>
          <w:sz w:val="18"/>
          <w:szCs w:val="18"/>
        </w:rPr>
      </w:pPr>
      <w:r>
        <w:rPr>
          <w:rFonts w:hint="eastAsia" w:ascii="楷体" w:hAnsi="楷体" w:eastAsia="楷体"/>
          <w:sz w:val="18"/>
          <w:szCs w:val="18"/>
        </w:rPr>
        <w:t>1.本公报所列数据为统计快报数。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360" w:firstLineChars="200"/>
        <w:textAlignment w:val="auto"/>
        <w:rPr>
          <w:rFonts w:ascii="楷体" w:hAnsi="楷体" w:eastAsia="楷体"/>
          <w:sz w:val="18"/>
          <w:szCs w:val="18"/>
        </w:rPr>
      </w:pPr>
      <w:r>
        <w:rPr>
          <w:rFonts w:hint="eastAsia" w:ascii="楷体" w:hAnsi="楷体" w:eastAsia="楷体"/>
          <w:sz w:val="18"/>
          <w:szCs w:val="18"/>
        </w:rPr>
        <w:t>2.2020年开展第七次全国人口普查，相关数据预计将于2021年</w:t>
      </w:r>
      <w:r>
        <w:rPr>
          <w:rFonts w:ascii="楷体" w:hAnsi="楷体" w:eastAsia="楷体"/>
          <w:sz w:val="18"/>
          <w:szCs w:val="18"/>
        </w:rPr>
        <w:t>5</w:t>
      </w:r>
      <w:r>
        <w:rPr>
          <w:rFonts w:hint="eastAsia" w:ascii="楷体" w:hAnsi="楷体" w:eastAsia="楷体"/>
          <w:sz w:val="18"/>
          <w:szCs w:val="18"/>
        </w:rPr>
        <w:t>月发布，公报中不再单独发布人口相关数据。</w:t>
      </w:r>
    </w:p>
    <w:p>
      <w:pPr>
        <w:pStyle w:val="6"/>
        <w:keepNext w:val="0"/>
        <w:keepLines w:val="0"/>
        <w:pageBreakBefore w:val="0"/>
        <w:shd w:val="clear" w:color="auto" w:fill="FFFFFF"/>
        <w:tabs>
          <w:tab w:val="left" w:pos="420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361" w:firstLineChars="200"/>
        <w:jc w:val="both"/>
        <w:textAlignment w:val="auto"/>
        <w:rPr>
          <w:rFonts w:ascii="楷体" w:hAnsi="楷体" w:eastAsia="楷体" w:cs="Times New Roman"/>
          <w:b/>
          <w:kern w:val="2"/>
          <w:sz w:val="18"/>
          <w:szCs w:val="18"/>
        </w:rPr>
      </w:pPr>
      <w:r>
        <w:rPr>
          <w:rFonts w:ascii="楷体" w:hAnsi="楷体" w:eastAsia="楷体" w:cs="Times New Roman"/>
          <w:b/>
          <w:kern w:val="2"/>
          <w:sz w:val="18"/>
          <w:szCs w:val="18"/>
        </w:rPr>
        <w:t>资料来源：</w:t>
      </w:r>
      <w:r>
        <w:rPr>
          <w:rFonts w:ascii="楷体" w:hAnsi="楷体" w:eastAsia="楷体" w:cs="Times New Roman"/>
          <w:b/>
          <w:kern w:val="2"/>
          <w:sz w:val="18"/>
          <w:szCs w:val="18"/>
        </w:rPr>
        <w:tab/>
      </w:r>
    </w:p>
    <w:p>
      <w:pPr>
        <w:pStyle w:val="6"/>
        <w:keepNext w:val="0"/>
        <w:keepLines w:val="0"/>
        <w:pageBreakBefore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firstLine="360" w:firstLineChars="200"/>
        <w:jc w:val="both"/>
        <w:textAlignment w:val="auto"/>
        <w:rPr>
          <w:rFonts w:hint="eastAsia" w:ascii="楷体" w:hAnsi="楷体" w:eastAsia="楷体" w:cs="Times New Roman"/>
          <w:kern w:val="2"/>
          <w:sz w:val="18"/>
          <w:szCs w:val="18"/>
        </w:rPr>
      </w:pPr>
      <w:r>
        <w:rPr>
          <w:rFonts w:ascii="楷体" w:hAnsi="楷体" w:eastAsia="楷体" w:cs="Times New Roman"/>
          <w:kern w:val="2"/>
          <w:sz w:val="18"/>
          <w:szCs w:val="18"/>
        </w:rPr>
        <w:t>本公报中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城镇</w:t>
      </w:r>
      <w:r>
        <w:rPr>
          <w:rFonts w:ascii="楷体" w:hAnsi="楷体" w:eastAsia="楷体" w:cs="Times New Roman"/>
          <w:kern w:val="2"/>
          <w:sz w:val="18"/>
          <w:szCs w:val="18"/>
        </w:rPr>
        <w:t>新增就业、城镇登记失业率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、养老保险、工伤保险、失业保险</w:t>
      </w:r>
      <w:r>
        <w:rPr>
          <w:rFonts w:ascii="楷体" w:hAnsi="楷体" w:eastAsia="楷体" w:cs="Times New Roman"/>
          <w:kern w:val="2"/>
          <w:sz w:val="18"/>
          <w:szCs w:val="18"/>
        </w:rPr>
        <w:t>等数据来自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省人力社保厅</w:t>
      </w:r>
      <w:r>
        <w:rPr>
          <w:rFonts w:ascii="楷体" w:hAnsi="楷体" w:eastAsia="楷体" w:cs="Times New Roman"/>
          <w:kern w:val="2"/>
          <w:sz w:val="18"/>
          <w:szCs w:val="18"/>
        </w:rPr>
        <w:t>；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减贫人口数据来自省扶贫办；渔业数据来自省水产局；货物进出口数据来自武汉海关；实际使用外资、对外直接投资、对外承包工程、对外劳务合作等数据来自省商务厅；旅游总收入、旅游总人数、公共图书馆、文化馆、博物馆、艺术表演团体等数据来自省文化和旅游厅；货物周转量、旅客周转量、公路总里程、高速</w:t>
      </w:r>
      <w:r>
        <w:rPr>
          <w:rFonts w:ascii="楷体" w:hAnsi="楷体" w:eastAsia="楷体" w:cs="Times New Roman"/>
          <w:kern w:val="2"/>
          <w:sz w:val="18"/>
          <w:szCs w:val="18"/>
        </w:rPr>
        <w:t>公路里程、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港口货物吞吐量、集装箱吞吐量等数据来自中国铁路总公司、省交通运输厅、南航湖北分公司、东航武汉公司、国航湖北分公司；邮政业务量、快递业务量、快递业务收入等数据来自省邮政管理局；电信业务总量、长途光缆线路、电话用户、互联网用户、电话普及率等数据来自省通信管理局；</w:t>
      </w:r>
      <w:r>
        <w:rPr>
          <w:rFonts w:ascii="楷体" w:hAnsi="楷体" w:eastAsia="楷体" w:cs="Times New Roman"/>
          <w:kern w:val="2"/>
          <w:sz w:val="18"/>
          <w:szCs w:val="18"/>
        </w:rPr>
        <w:t>财政数据来自省财政厅；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金融数据来自人民银行武汉分行；保费数据来自省银保监局；教育数据来自省教育厅；卫生机构、床位、</w:t>
      </w:r>
      <w:r>
        <w:rPr>
          <w:rFonts w:ascii="楷体" w:hAnsi="楷体" w:eastAsia="楷体" w:cs="Times New Roman"/>
          <w:kern w:val="2"/>
          <w:sz w:val="18"/>
          <w:szCs w:val="18"/>
        </w:rPr>
        <w:t>人员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等数据来自省卫健委；广播电视数据来自省广电局；电影、出版数据来自省委宣传部；体育、体育彩票等数据来自省体育局；低保、社会服务、福利彩票等数据来自省民政厅；国家抚恤、补助优抚对象数据来自省退役军人事务厅；医疗保险、生育保险数据来自省医保局；省级工程研究中心和省级企业技术中心数据来自省发改委；重大科技成果、技术合同等数据来自省科技厅；市场</w:t>
      </w:r>
      <w:r>
        <w:rPr>
          <w:rFonts w:ascii="楷体" w:hAnsi="楷体" w:eastAsia="楷体" w:cs="Times New Roman"/>
          <w:kern w:val="2"/>
          <w:sz w:val="18"/>
          <w:szCs w:val="18"/>
        </w:rPr>
        <w:t>主体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、国家级检验检测中心、通过ISO9000体系认证企业数、法定计量技术机构数等数据来自省市场监管局；地震数据来自省地震局；建设用地数据来自省自然资源厅；水资源、水土流失治理面积等数据来自省水利厅；森林资源、自然保护区等数据来自省林业局；生态环境、环境监测等数据来自省生态环境厅；气象数据来自省气象局。</w:t>
      </w:r>
      <w:r>
        <w:rPr>
          <w:rFonts w:ascii="楷体" w:hAnsi="楷体" w:eastAsia="楷体" w:cs="Times New Roman"/>
          <w:kern w:val="2"/>
          <w:sz w:val="18"/>
          <w:szCs w:val="18"/>
        </w:rPr>
        <w:t>价格、粮食、畜禽、城乡居民收支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、贫困地区农村居民人均可支配收入</w:t>
      </w:r>
      <w:r>
        <w:rPr>
          <w:rFonts w:ascii="楷体" w:hAnsi="楷体" w:eastAsia="楷体" w:cs="Times New Roman"/>
          <w:kern w:val="2"/>
          <w:sz w:val="18"/>
          <w:szCs w:val="18"/>
        </w:rPr>
        <w:t>等数据来自国家统计局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湖北</w:t>
      </w:r>
      <w:r>
        <w:rPr>
          <w:rFonts w:ascii="楷体" w:hAnsi="楷体" w:eastAsia="楷体" w:cs="Times New Roman"/>
          <w:kern w:val="2"/>
          <w:sz w:val="18"/>
          <w:szCs w:val="18"/>
        </w:rPr>
        <w:t>调查总队；</w:t>
      </w:r>
      <w:r>
        <w:rPr>
          <w:rFonts w:hint="eastAsia" w:ascii="楷体" w:hAnsi="楷体" w:eastAsia="楷体" w:cs="Times New Roman"/>
          <w:kern w:val="2"/>
          <w:sz w:val="18"/>
          <w:szCs w:val="18"/>
        </w:rPr>
        <w:t>其它数据均来自省统计局。</w:t>
      </w:r>
    </w:p>
    <w:sectPr>
      <w:footerReference r:id="rId5" w:type="default"/>
      <w:pgSz w:w="11906" w:h="16838"/>
      <w:pgMar w:top="1361" w:right="1134" w:bottom="1304" w:left="1134" w:header="567" w:footer="964" w:gutter="0"/>
      <w:cols w:space="0" w:num="1"/>
      <w:rtlGutter w:val="0"/>
      <w:docGrid w:type="lines" w:linePitch="314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360"/>
      </w:pPr>
      <w:r>
        <w:separator/>
      </w:r>
    </w:p>
  </w:endnote>
  <w:endnote w:type="continuationSeparator" w:id="1">
    <w:p>
      <w:pPr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00000001" w:usb1="080E0000" w:usb2="00000000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A00002EF" w:usb1="4000207B" w:usb2="00000000" w:usb3="00000000" w:csb0="200000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altName w:val="Arial Unicode MS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Verdana">
    <w:panose1 w:val="020B0604030504040204"/>
    <w:charset w:val="00"/>
    <w:family w:val="swiss"/>
    <w:pitch w:val="default"/>
    <w:sig w:usb0="00000287" w:usb1="00000000" w:usb2="00000000" w:usb3="00000000" w:csb0="2000019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framePr w:wrap="around" w:vAnchor="text" w:hAnchor="margin" w:xAlign="outside" w:y="1"/>
      <w:ind w:right="230" w:rightChars="128" w:firstLine="235" w:firstLineChars="112"/>
      <w:rPr>
        <w:rStyle w:val="11"/>
        <w:rFonts w:ascii="宋体" w:hAnsi="宋体"/>
        <w:sz w:val="21"/>
        <w:szCs w:val="21"/>
      </w:rPr>
    </w:pPr>
    <w:r>
      <w:rPr>
        <w:rStyle w:val="11"/>
        <w:rFonts w:hint="eastAsia" w:ascii="宋体" w:hAnsi="宋体"/>
        <w:sz w:val="21"/>
        <w:szCs w:val="21"/>
      </w:rPr>
      <w:t xml:space="preserve">— </w:t>
    </w:r>
    <w:r>
      <w:rPr>
        <w:rStyle w:val="11"/>
        <w:rFonts w:ascii="宋体" w:hAnsi="宋体"/>
        <w:sz w:val="21"/>
        <w:szCs w:val="21"/>
      </w:rPr>
      <w:fldChar w:fldCharType="begin"/>
    </w:r>
    <w:r>
      <w:rPr>
        <w:rStyle w:val="11"/>
        <w:rFonts w:ascii="宋体" w:hAnsi="宋体"/>
        <w:sz w:val="21"/>
        <w:szCs w:val="21"/>
      </w:rPr>
      <w:instrText xml:space="preserve">PAGE  </w:instrText>
    </w:r>
    <w:r>
      <w:rPr>
        <w:rStyle w:val="11"/>
        <w:rFonts w:ascii="宋体" w:hAnsi="宋体"/>
        <w:sz w:val="21"/>
        <w:szCs w:val="21"/>
      </w:rPr>
      <w:fldChar w:fldCharType="separate"/>
    </w:r>
    <w:r>
      <w:rPr>
        <w:rStyle w:val="11"/>
        <w:rFonts w:ascii="宋体" w:hAnsi="宋体"/>
        <w:sz w:val="21"/>
        <w:szCs w:val="21"/>
      </w:rPr>
      <w:t>1</w:t>
    </w:r>
    <w:r>
      <w:rPr>
        <w:rStyle w:val="11"/>
        <w:rFonts w:ascii="宋体" w:hAnsi="宋体"/>
        <w:sz w:val="21"/>
        <w:szCs w:val="21"/>
      </w:rPr>
      <w:fldChar w:fldCharType="end"/>
    </w:r>
    <w:r>
      <w:rPr>
        <w:rStyle w:val="11"/>
        <w:rFonts w:hint="eastAsia" w:ascii="宋体" w:hAnsi="宋体"/>
        <w:sz w:val="21"/>
        <w:szCs w:val="21"/>
      </w:rPr>
      <w:t xml:space="preserve"> —</w:t>
    </w:r>
  </w:p>
  <w:p>
    <w:pPr>
      <w:pStyle w:val="4"/>
      <w:ind w:right="360" w:firstLine="360"/>
      <w:rPr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360"/>
      </w:pPr>
      <w:r>
        <w:separator/>
      </w:r>
    </w:p>
  </w:footnote>
  <w:footnote w:type="continuationSeparator" w:id="1">
    <w:p>
      <w:pPr>
        <w:ind w:firstLine="3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7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20DA"/>
    <w:rsid w:val="00005817"/>
    <w:rsid w:val="00014850"/>
    <w:rsid w:val="000179FA"/>
    <w:rsid w:val="0002367A"/>
    <w:rsid w:val="00040D5D"/>
    <w:rsid w:val="00040E54"/>
    <w:rsid w:val="000463DC"/>
    <w:rsid w:val="0005279D"/>
    <w:rsid w:val="00052DD1"/>
    <w:rsid w:val="000739CE"/>
    <w:rsid w:val="00077FA4"/>
    <w:rsid w:val="00082E64"/>
    <w:rsid w:val="00090566"/>
    <w:rsid w:val="00095C13"/>
    <w:rsid w:val="000A7995"/>
    <w:rsid w:val="000B16B4"/>
    <w:rsid w:val="000B5F7F"/>
    <w:rsid w:val="000D62F8"/>
    <w:rsid w:val="000D7680"/>
    <w:rsid w:val="000D7A94"/>
    <w:rsid w:val="000E6950"/>
    <w:rsid w:val="000E6B46"/>
    <w:rsid w:val="000F0D97"/>
    <w:rsid w:val="000F5F1E"/>
    <w:rsid w:val="00104612"/>
    <w:rsid w:val="001066D4"/>
    <w:rsid w:val="0010677D"/>
    <w:rsid w:val="00126904"/>
    <w:rsid w:val="00142D2D"/>
    <w:rsid w:val="001445AD"/>
    <w:rsid w:val="00151CC5"/>
    <w:rsid w:val="001642C3"/>
    <w:rsid w:val="0017036D"/>
    <w:rsid w:val="0017735F"/>
    <w:rsid w:val="00190E36"/>
    <w:rsid w:val="0019430A"/>
    <w:rsid w:val="001B1C59"/>
    <w:rsid w:val="001D005A"/>
    <w:rsid w:val="001D252E"/>
    <w:rsid w:val="001D48B3"/>
    <w:rsid w:val="001D5546"/>
    <w:rsid w:val="001D788D"/>
    <w:rsid w:val="001E1B9F"/>
    <w:rsid w:val="001F1272"/>
    <w:rsid w:val="001F4013"/>
    <w:rsid w:val="00200ABC"/>
    <w:rsid w:val="00217E01"/>
    <w:rsid w:val="00220262"/>
    <w:rsid w:val="00220D7E"/>
    <w:rsid w:val="002259C7"/>
    <w:rsid w:val="002515F8"/>
    <w:rsid w:val="00251CCA"/>
    <w:rsid w:val="00254A44"/>
    <w:rsid w:val="00260237"/>
    <w:rsid w:val="00265013"/>
    <w:rsid w:val="00266D96"/>
    <w:rsid w:val="00267081"/>
    <w:rsid w:val="002753BD"/>
    <w:rsid w:val="00281E6D"/>
    <w:rsid w:val="0028463E"/>
    <w:rsid w:val="00286C5A"/>
    <w:rsid w:val="00287F90"/>
    <w:rsid w:val="0029063F"/>
    <w:rsid w:val="00293516"/>
    <w:rsid w:val="002A1DAF"/>
    <w:rsid w:val="002B02B8"/>
    <w:rsid w:val="002B5187"/>
    <w:rsid w:val="002E5973"/>
    <w:rsid w:val="002E644E"/>
    <w:rsid w:val="002F6C4B"/>
    <w:rsid w:val="0030072D"/>
    <w:rsid w:val="00300B85"/>
    <w:rsid w:val="0030390C"/>
    <w:rsid w:val="00304814"/>
    <w:rsid w:val="0031633F"/>
    <w:rsid w:val="00326CDC"/>
    <w:rsid w:val="00327685"/>
    <w:rsid w:val="00334396"/>
    <w:rsid w:val="00335C33"/>
    <w:rsid w:val="003529DD"/>
    <w:rsid w:val="00357FE7"/>
    <w:rsid w:val="00372FEE"/>
    <w:rsid w:val="00373631"/>
    <w:rsid w:val="003741A9"/>
    <w:rsid w:val="00382302"/>
    <w:rsid w:val="003A05DB"/>
    <w:rsid w:val="003B0F2B"/>
    <w:rsid w:val="003B4E91"/>
    <w:rsid w:val="003C335E"/>
    <w:rsid w:val="003D0AE9"/>
    <w:rsid w:val="003D1E69"/>
    <w:rsid w:val="003D7012"/>
    <w:rsid w:val="003D7C79"/>
    <w:rsid w:val="003E3A19"/>
    <w:rsid w:val="003E3E0D"/>
    <w:rsid w:val="003E569D"/>
    <w:rsid w:val="003F12EF"/>
    <w:rsid w:val="00402603"/>
    <w:rsid w:val="004070EE"/>
    <w:rsid w:val="004167B0"/>
    <w:rsid w:val="00420503"/>
    <w:rsid w:val="00433CDB"/>
    <w:rsid w:val="004429EE"/>
    <w:rsid w:val="00444642"/>
    <w:rsid w:val="00463FA7"/>
    <w:rsid w:val="004759F5"/>
    <w:rsid w:val="00477B52"/>
    <w:rsid w:val="00497E76"/>
    <w:rsid w:val="004A0099"/>
    <w:rsid w:val="004A35CE"/>
    <w:rsid w:val="004B1F59"/>
    <w:rsid w:val="004B64E6"/>
    <w:rsid w:val="004B6BA8"/>
    <w:rsid w:val="004B7A95"/>
    <w:rsid w:val="004B7B00"/>
    <w:rsid w:val="004C0F1A"/>
    <w:rsid w:val="004C5B27"/>
    <w:rsid w:val="004D14CB"/>
    <w:rsid w:val="004D2466"/>
    <w:rsid w:val="004E5012"/>
    <w:rsid w:val="004E5352"/>
    <w:rsid w:val="004E60B4"/>
    <w:rsid w:val="004E6FFC"/>
    <w:rsid w:val="004F69E8"/>
    <w:rsid w:val="005026DF"/>
    <w:rsid w:val="0050707F"/>
    <w:rsid w:val="00516220"/>
    <w:rsid w:val="0052032B"/>
    <w:rsid w:val="005213BD"/>
    <w:rsid w:val="00523A75"/>
    <w:rsid w:val="00524249"/>
    <w:rsid w:val="00525081"/>
    <w:rsid w:val="0052650A"/>
    <w:rsid w:val="005340BF"/>
    <w:rsid w:val="0053621C"/>
    <w:rsid w:val="00545A59"/>
    <w:rsid w:val="0054601C"/>
    <w:rsid w:val="005635B5"/>
    <w:rsid w:val="005825E0"/>
    <w:rsid w:val="0058761A"/>
    <w:rsid w:val="00587762"/>
    <w:rsid w:val="00597B14"/>
    <w:rsid w:val="005A100D"/>
    <w:rsid w:val="005A3AEC"/>
    <w:rsid w:val="005A3F3B"/>
    <w:rsid w:val="005A4D34"/>
    <w:rsid w:val="005A4EC8"/>
    <w:rsid w:val="005B0F58"/>
    <w:rsid w:val="005B4038"/>
    <w:rsid w:val="005B4271"/>
    <w:rsid w:val="005B559F"/>
    <w:rsid w:val="005B5A50"/>
    <w:rsid w:val="005C3C5B"/>
    <w:rsid w:val="005C7770"/>
    <w:rsid w:val="005D7524"/>
    <w:rsid w:val="005E6096"/>
    <w:rsid w:val="005E6C37"/>
    <w:rsid w:val="005F0D4A"/>
    <w:rsid w:val="005F1E4C"/>
    <w:rsid w:val="005F4530"/>
    <w:rsid w:val="00604AAF"/>
    <w:rsid w:val="00610931"/>
    <w:rsid w:val="006154A8"/>
    <w:rsid w:val="0063523B"/>
    <w:rsid w:val="006472B8"/>
    <w:rsid w:val="0064740E"/>
    <w:rsid w:val="00650080"/>
    <w:rsid w:val="0066390F"/>
    <w:rsid w:val="00676836"/>
    <w:rsid w:val="0068390C"/>
    <w:rsid w:val="006872BB"/>
    <w:rsid w:val="00691E3A"/>
    <w:rsid w:val="006C0816"/>
    <w:rsid w:val="006C0FBC"/>
    <w:rsid w:val="006C2D57"/>
    <w:rsid w:val="006C3703"/>
    <w:rsid w:val="006D3F1A"/>
    <w:rsid w:val="006D61DB"/>
    <w:rsid w:val="006D6BE8"/>
    <w:rsid w:val="006D7402"/>
    <w:rsid w:val="006E3010"/>
    <w:rsid w:val="006E7FA9"/>
    <w:rsid w:val="006F25C0"/>
    <w:rsid w:val="006F4D1E"/>
    <w:rsid w:val="006F5E73"/>
    <w:rsid w:val="006F6CA1"/>
    <w:rsid w:val="006F79DE"/>
    <w:rsid w:val="00700945"/>
    <w:rsid w:val="00720CF8"/>
    <w:rsid w:val="007239A1"/>
    <w:rsid w:val="00723FB6"/>
    <w:rsid w:val="007342A4"/>
    <w:rsid w:val="0073530F"/>
    <w:rsid w:val="00735CF8"/>
    <w:rsid w:val="00736059"/>
    <w:rsid w:val="00736688"/>
    <w:rsid w:val="00753940"/>
    <w:rsid w:val="0077162A"/>
    <w:rsid w:val="00794E28"/>
    <w:rsid w:val="007951A5"/>
    <w:rsid w:val="00795975"/>
    <w:rsid w:val="007A307A"/>
    <w:rsid w:val="007A5FF1"/>
    <w:rsid w:val="007A6490"/>
    <w:rsid w:val="007B43CA"/>
    <w:rsid w:val="007C00C7"/>
    <w:rsid w:val="007C385F"/>
    <w:rsid w:val="007D7C23"/>
    <w:rsid w:val="007E784D"/>
    <w:rsid w:val="00800D7F"/>
    <w:rsid w:val="008013D2"/>
    <w:rsid w:val="00801827"/>
    <w:rsid w:val="00813F34"/>
    <w:rsid w:val="008179E1"/>
    <w:rsid w:val="00823C2F"/>
    <w:rsid w:val="00823E60"/>
    <w:rsid w:val="00832AFA"/>
    <w:rsid w:val="00844304"/>
    <w:rsid w:val="008463AA"/>
    <w:rsid w:val="008467B6"/>
    <w:rsid w:val="00851954"/>
    <w:rsid w:val="008530E4"/>
    <w:rsid w:val="00856A9A"/>
    <w:rsid w:val="008617FF"/>
    <w:rsid w:val="00865113"/>
    <w:rsid w:val="0088323D"/>
    <w:rsid w:val="00883DA7"/>
    <w:rsid w:val="00884E60"/>
    <w:rsid w:val="00885104"/>
    <w:rsid w:val="00893F65"/>
    <w:rsid w:val="008A0698"/>
    <w:rsid w:val="008A166B"/>
    <w:rsid w:val="008A6375"/>
    <w:rsid w:val="008B25E1"/>
    <w:rsid w:val="008B2E08"/>
    <w:rsid w:val="008C0BF2"/>
    <w:rsid w:val="008C1A1F"/>
    <w:rsid w:val="008D1E7C"/>
    <w:rsid w:val="008D394E"/>
    <w:rsid w:val="008D771B"/>
    <w:rsid w:val="008E499C"/>
    <w:rsid w:val="008E5981"/>
    <w:rsid w:val="008F3E13"/>
    <w:rsid w:val="009055B6"/>
    <w:rsid w:val="00927F83"/>
    <w:rsid w:val="009357D5"/>
    <w:rsid w:val="00936F67"/>
    <w:rsid w:val="00941E7B"/>
    <w:rsid w:val="00946030"/>
    <w:rsid w:val="00947672"/>
    <w:rsid w:val="009572EE"/>
    <w:rsid w:val="00961468"/>
    <w:rsid w:val="009638E0"/>
    <w:rsid w:val="00974BED"/>
    <w:rsid w:val="00997933"/>
    <w:rsid w:val="009A359D"/>
    <w:rsid w:val="009A7FCB"/>
    <w:rsid w:val="009B2A17"/>
    <w:rsid w:val="009B6965"/>
    <w:rsid w:val="00A069C8"/>
    <w:rsid w:val="00A077C0"/>
    <w:rsid w:val="00A24630"/>
    <w:rsid w:val="00A3771C"/>
    <w:rsid w:val="00A6052D"/>
    <w:rsid w:val="00A7732A"/>
    <w:rsid w:val="00A84A5A"/>
    <w:rsid w:val="00A91E8A"/>
    <w:rsid w:val="00A92113"/>
    <w:rsid w:val="00AA4E63"/>
    <w:rsid w:val="00AA634A"/>
    <w:rsid w:val="00AA71E7"/>
    <w:rsid w:val="00AB0B44"/>
    <w:rsid w:val="00AB1053"/>
    <w:rsid w:val="00AB1D47"/>
    <w:rsid w:val="00AC2702"/>
    <w:rsid w:val="00AC2AE7"/>
    <w:rsid w:val="00AD7E75"/>
    <w:rsid w:val="00AE0412"/>
    <w:rsid w:val="00AE1E53"/>
    <w:rsid w:val="00AE3D48"/>
    <w:rsid w:val="00AE5C68"/>
    <w:rsid w:val="00AE7BF5"/>
    <w:rsid w:val="00B034A5"/>
    <w:rsid w:val="00B035A5"/>
    <w:rsid w:val="00B12D96"/>
    <w:rsid w:val="00B14CE7"/>
    <w:rsid w:val="00B155D3"/>
    <w:rsid w:val="00B3296E"/>
    <w:rsid w:val="00B34BD6"/>
    <w:rsid w:val="00B45F11"/>
    <w:rsid w:val="00B77328"/>
    <w:rsid w:val="00B7760C"/>
    <w:rsid w:val="00B815C5"/>
    <w:rsid w:val="00B90FCD"/>
    <w:rsid w:val="00B97012"/>
    <w:rsid w:val="00BA2750"/>
    <w:rsid w:val="00BA2A70"/>
    <w:rsid w:val="00BA4B86"/>
    <w:rsid w:val="00BA5741"/>
    <w:rsid w:val="00BA6F78"/>
    <w:rsid w:val="00BC58EA"/>
    <w:rsid w:val="00BD2F56"/>
    <w:rsid w:val="00BE050B"/>
    <w:rsid w:val="00BE14D4"/>
    <w:rsid w:val="00BE4B74"/>
    <w:rsid w:val="00BE5AD8"/>
    <w:rsid w:val="00BE745E"/>
    <w:rsid w:val="00BF4973"/>
    <w:rsid w:val="00BF6767"/>
    <w:rsid w:val="00C155B1"/>
    <w:rsid w:val="00C156B2"/>
    <w:rsid w:val="00C21CB2"/>
    <w:rsid w:val="00C31B23"/>
    <w:rsid w:val="00C337A1"/>
    <w:rsid w:val="00C4525C"/>
    <w:rsid w:val="00C45FE0"/>
    <w:rsid w:val="00C508CB"/>
    <w:rsid w:val="00C7066E"/>
    <w:rsid w:val="00C80391"/>
    <w:rsid w:val="00C80649"/>
    <w:rsid w:val="00C824FC"/>
    <w:rsid w:val="00C84C18"/>
    <w:rsid w:val="00C84CFB"/>
    <w:rsid w:val="00C94880"/>
    <w:rsid w:val="00C94C27"/>
    <w:rsid w:val="00C97B83"/>
    <w:rsid w:val="00CA440A"/>
    <w:rsid w:val="00CB52C1"/>
    <w:rsid w:val="00CB596E"/>
    <w:rsid w:val="00CB71A8"/>
    <w:rsid w:val="00CD0DCD"/>
    <w:rsid w:val="00CD20DA"/>
    <w:rsid w:val="00CD302E"/>
    <w:rsid w:val="00CD363F"/>
    <w:rsid w:val="00CE1A99"/>
    <w:rsid w:val="00CF0C6E"/>
    <w:rsid w:val="00CF16AC"/>
    <w:rsid w:val="00D005F1"/>
    <w:rsid w:val="00D00B78"/>
    <w:rsid w:val="00D02AAB"/>
    <w:rsid w:val="00D03D39"/>
    <w:rsid w:val="00D208FF"/>
    <w:rsid w:val="00D300E0"/>
    <w:rsid w:val="00D30996"/>
    <w:rsid w:val="00D42B16"/>
    <w:rsid w:val="00D43C9F"/>
    <w:rsid w:val="00D50318"/>
    <w:rsid w:val="00D50F52"/>
    <w:rsid w:val="00D51D55"/>
    <w:rsid w:val="00D75E2D"/>
    <w:rsid w:val="00D82DC9"/>
    <w:rsid w:val="00D83951"/>
    <w:rsid w:val="00D84BB4"/>
    <w:rsid w:val="00D84DDD"/>
    <w:rsid w:val="00D86CBA"/>
    <w:rsid w:val="00D926A9"/>
    <w:rsid w:val="00D97AF5"/>
    <w:rsid w:val="00DA1505"/>
    <w:rsid w:val="00DA5C40"/>
    <w:rsid w:val="00DB3597"/>
    <w:rsid w:val="00DC2B64"/>
    <w:rsid w:val="00DE2671"/>
    <w:rsid w:val="00DF2CCD"/>
    <w:rsid w:val="00E104C3"/>
    <w:rsid w:val="00E16774"/>
    <w:rsid w:val="00E170E3"/>
    <w:rsid w:val="00E24853"/>
    <w:rsid w:val="00E25809"/>
    <w:rsid w:val="00E52427"/>
    <w:rsid w:val="00E56D77"/>
    <w:rsid w:val="00E63426"/>
    <w:rsid w:val="00E66E94"/>
    <w:rsid w:val="00E66F69"/>
    <w:rsid w:val="00E67BD2"/>
    <w:rsid w:val="00E86E0D"/>
    <w:rsid w:val="00EA0DB2"/>
    <w:rsid w:val="00EA2A40"/>
    <w:rsid w:val="00EA64CD"/>
    <w:rsid w:val="00EA7D93"/>
    <w:rsid w:val="00EB04EB"/>
    <w:rsid w:val="00EB1010"/>
    <w:rsid w:val="00EB4054"/>
    <w:rsid w:val="00EB6402"/>
    <w:rsid w:val="00EB785B"/>
    <w:rsid w:val="00EC2FCA"/>
    <w:rsid w:val="00EC74B4"/>
    <w:rsid w:val="00ED02C0"/>
    <w:rsid w:val="00ED4AC1"/>
    <w:rsid w:val="00ED59D9"/>
    <w:rsid w:val="00ED5CF9"/>
    <w:rsid w:val="00EE0DD9"/>
    <w:rsid w:val="00EE3166"/>
    <w:rsid w:val="00EE6285"/>
    <w:rsid w:val="00EF36E2"/>
    <w:rsid w:val="00EF5915"/>
    <w:rsid w:val="00F074D6"/>
    <w:rsid w:val="00F1596D"/>
    <w:rsid w:val="00F23A63"/>
    <w:rsid w:val="00F312D3"/>
    <w:rsid w:val="00F31350"/>
    <w:rsid w:val="00F329AF"/>
    <w:rsid w:val="00F34FD4"/>
    <w:rsid w:val="00F436CD"/>
    <w:rsid w:val="00F47409"/>
    <w:rsid w:val="00F474B9"/>
    <w:rsid w:val="00F47874"/>
    <w:rsid w:val="00F57835"/>
    <w:rsid w:val="00F62F01"/>
    <w:rsid w:val="00F63F40"/>
    <w:rsid w:val="00F65FB6"/>
    <w:rsid w:val="00F77E02"/>
    <w:rsid w:val="00F90DCE"/>
    <w:rsid w:val="00FA5812"/>
    <w:rsid w:val="00FA7E78"/>
    <w:rsid w:val="00FB50D4"/>
    <w:rsid w:val="00FC25FD"/>
    <w:rsid w:val="00FC3FFE"/>
    <w:rsid w:val="00FD51F5"/>
    <w:rsid w:val="00FE4C3A"/>
    <w:rsid w:val="00FE55F7"/>
    <w:rsid w:val="00FE7818"/>
    <w:rsid w:val="00FF1B50"/>
    <w:rsid w:val="00FF319F"/>
    <w:rsid w:val="00FF4A5F"/>
    <w:rsid w:val="00FF5081"/>
    <w:rsid w:val="00FF618F"/>
    <w:rsid w:val="00FF7463"/>
    <w:rsid w:val="00FF7830"/>
    <w:rsid w:val="12681850"/>
    <w:rsid w:val="1AFC6A24"/>
    <w:rsid w:val="27EA7E78"/>
    <w:rsid w:val="40862239"/>
    <w:rsid w:val="439715AB"/>
    <w:rsid w:val="4B08477A"/>
    <w:rsid w:val="71F147F7"/>
    <w:rsid w:val="7724234C"/>
    <w:rsid w:val="7FFD224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00" w:firstLineChars="200"/>
      <w:jc w:val="both"/>
    </w:pPr>
    <w:rPr>
      <w:rFonts w:ascii="Times New Roman" w:hAnsi="Times New Roman" w:eastAsia="宋体" w:cs="Times New Roman"/>
      <w:kern w:val="2"/>
      <w:sz w:val="18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100" w:beforeLines="100" w:beforeAutospacing="0" w:afterLines="0" w:afterAutospacing="0" w:line="240" w:lineRule="auto"/>
      <w:ind w:firstLine="0" w:firstLineChars="0"/>
      <w:jc w:val="center"/>
      <w:outlineLvl w:val="1"/>
    </w:pPr>
    <w:rPr>
      <w:rFonts w:ascii="Arial" w:hAnsi="Arial" w:eastAsia="黑体"/>
      <w:b/>
      <w:sz w:val="21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7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character" w:styleId="10">
    <w:name w:val="Strong"/>
    <w:qFormat/>
    <w:uiPriority w:val="0"/>
    <w:rPr>
      <w:b/>
      <w:bCs/>
    </w:rPr>
  </w:style>
  <w:style w:type="character" w:styleId="11">
    <w:name w:val="page number"/>
    <w:basedOn w:val="9"/>
    <w:qFormat/>
    <w:uiPriority w:val="0"/>
  </w:style>
  <w:style w:type="paragraph" w:customStyle="1" w:styleId="12">
    <w:name w:val="Char"/>
    <w:basedOn w:val="1"/>
    <w:qFormat/>
    <w:uiPriority w:val="0"/>
    <w:rPr>
      <w:rFonts w:eastAsia="仿宋_GB2312"/>
      <w:sz w:val="32"/>
      <w:szCs w:val="32"/>
    </w:rPr>
  </w:style>
  <w:style w:type="paragraph" w:customStyle="1" w:styleId="13">
    <w:name w:val="样式6"/>
    <w:basedOn w:val="7"/>
    <w:link w:val="18"/>
    <w:qFormat/>
    <w:uiPriority w:val="0"/>
    <w:pPr>
      <w:jc w:val="left"/>
    </w:pPr>
    <w:rPr>
      <w:rFonts w:ascii="Calibri" w:hAnsi="Calibri" w:eastAsia="仿宋" w:cs="Times New Roman"/>
      <w:b w:val="0"/>
      <w:bCs w:val="0"/>
      <w:sz w:val="30"/>
      <w:szCs w:val="24"/>
    </w:rPr>
  </w:style>
  <w:style w:type="paragraph" w:styleId="14">
    <w:name w:val="List Paragraph"/>
    <w:basedOn w:val="1"/>
    <w:qFormat/>
    <w:uiPriority w:val="0"/>
    <w:pPr>
      <w:ind w:firstLine="420" w:firstLineChars="200"/>
    </w:pPr>
    <w:rPr>
      <w:rFonts w:ascii="Calibri" w:hAnsi="Calibri"/>
      <w:szCs w:val="22"/>
    </w:rPr>
  </w:style>
  <w:style w:type="paragraph" w:customStyle="1" w:styleId="15">
    <w:name w:val=" Char Char3 Char Char Char Char"/>
    <w:basedOn w:val="1"/>
    <w:qFormat/>
    <w:uiPriority w:val="0"/>
    <w:pPr>
      <w:widowControl/>
      <w:spacing w:after="160" w:line="240" w:lineRule="exact"/>
      <w:jc w:val="left"/>
    </w:pPr>
    <w:rPr>
      <w:rFonts w:ascii="Arial" w:hAnsi="Arial" w:eastAsia="Times New Roman" w:cs="Verdana"/>
      <w:b/>
      <w:kern w:val="0"/>
      <w:sz w:val="24"/>
      <w:szCs w:val="20"/>
      <w:lang w:eastAsia="en-US"/>
    </w:rPr>
  </w:style>
  <w:style w:type="character" w:customStyle="1" w:styleId="16">
    <w:name w:val="页眉 Char"/>
    <w:link w:val="5"/>
    <w:qFormat/>
    <w:uiPriority w:val="0"/>
    <w:rPr>
      <w:kern w:val="2"/>
      <w:sz w:val="18"/>
      <w:szCs w:val="18"/>
    </w:rPr>
  </w:style>
  <w:style w:type="character" w:customStyle="1" w:styleId="17">
    <w:name w:val="页脚 Char"/>
    <w:link w:val="4"/>
    <w:qFormat/>
    <w:uiPriority w:val="0"/>
    <w:rPr>
      <w:kern w:val="2"/>
      <w:sz w:val="18"/>
      <w:szCs w:val="18"/>
    </w:rPr>
  </w:style>
  <w:style w:type="character" w:customStyle="1" w:styleId="18">
    <w:name w:val="样式6 Char"/>
    <w:link w:val="13"/>
    <w:qFormat/>
    <w:locked/>
    <w:uiPriority w:val="0"/>
    <w:rPr>
      <w:rFonts w:ascii="Calibri" w:hAnsi="Calibri" w:eastAsia="仿宋"/>
      <w:kern w:val="2"/>
      <w:sz w:val="30"/>
      <w:szCs w:val="24"/>
      <w:lang w:bidi="ar-SA"/>
    </w:rPr>
  </w:style>
  <w:style w:type="character" w:customStyle="1" w:styleId="19">
    <w:name w:val="bjh-p"/>
    <w:qFormat/>
    <w:uiPriority w:val="0"/>
  </w:style>
  <w:style w:type="character" w:customStyle="1" w:styleId="20">
    <w:name w:val="bjh-strong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hart" Target="charts/chart3.xml"/><Relationship Id="rId8" Type="http://schemas.openxmlformats.org/officeDocument/2006/relationships/chart" Target="charts/chart2.xml"/><Relationship Id="rId7" Type="http://schemas.openxmlformats.org/officeDocument/2006/relationships/chart" Target="charts/chart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1.xml"/><Relationship Id="rId15" Type="http://schemas.openxmlformats.org/officeDocument/2006/relationships/chart" Target="charts/chart9.xml"/><Relationship Id="rId14" Type="http://schemas.openxmlformats.org/officeDocument/2006/relationships/chart" Target="charts/chart8.xml"/><Relationship Id="rId13" Type="http://schemas.openxmlformats.org/officeDocument/2006/relationships/chart" Target="charts/chart7.xml"/><Relationship Id="rId12" Type="http://schemas.openxmlformats.org/officeDocument/2006/relationships/chart" Target="charts/chart6.xml"/><Relationship Id="rId11" Type="http://schemas.openxmlformats.org/officeDocument/2006/relationships/chart" Target="charts/chart5.xml"/><Relationship Id="rId10" Type="http://schemas.openxmlformats.org/officeDocument/2006/relationships/chart" Target="charts/chart4.xml"/><Relationship Id="rId1" Type="http://schemas.openxmlformats.org/officeDocument/2006/relationships/styles" Target="styles.xml"/></Relationships>
</file>

<file path=word/charts/_rels/chart1.xml.rels><?xml version="1.0" encoding="UTF-8" standalone="yes"?>
<Relationships xmlns="http://schemas.openxmlformats.org/package/2006/relationships"><Relationship Id="rId3" Type="http://schemas.microsoft.com/office/2011/relationships/chartColorStyle" Target="colors8.xml"/><Relationship Id="rId2" Type="http://schemas.microsoft.com/office/2011/relationships/chartStyle" Target="style8.xml"/><Relationship Id="rId1" Type="http://schemas.openxmlformats.org/officeDocument/2006/relationships/oleObject" Target="file:///C:\Users\PC\Desktop\0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microsoft.com/office/2011/relationships/chartColorStyle" Target="colors6.xml"/><Relationship Id="rId2" Type="http://schemas.microsoft.com/office/2011/relationships/chartStyle" Target="style6.xml"/><Relationship Id="rId1" Type="http://schemas.openxmlformats.org/officeDocument/2006/relationships/oleObject" Target="file:///C:\Users\PC\Desktop\1.xlsx" TargetMode="External"/></Relationships>
</file>

<file path=word/charts/_rels/chart3.xml.rels><?xml version="1.0" encoding="UTF-8" standalone="yes"?>
<Relationships xmlns="http://schemas.openxmlformats.org/package/2006/relationships"><Relationship Id="rId3" Type="http://schemas.microsoft.com/office/2011/relationships/chartColorStyle" Target="colors3.xml"/><Relationship Id="rId2" Type="http://schemas.microsoft.com/office/2011/relationships/chartStyle" Target="style3.xml"/><Relationship Id="rId1" Type="http://schemas.openxmlformats.org/officeDocument/2006/relationships/oleObject" Target="&#24037;&#20316;&#31807;1" TargetMode="External"/></Relationships>
</file>

<file path=word/charts/_rels/chart4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PC\Desktop\1.xlsx" TargetMode="External"/></Relationships>
</file>

<file path=word/charts/_rels/chart5.xml.rels><?xml version="1.0" encoding="UTF-8" standalone="yes"?>
<Relationships xmlns="http://schemas.openxmlformats.org/package/2006/relationships"><Relationship Id="rId4" Type="http://schemas.microsoft.com/office/2011/relationships/chartColorStyle" Target="colors5.xml"/><Relationship Id="rId3" Type="http://schemas.microsoft.com/office/2011/relationships/chartStyle" Target="style5.xml"/><Relationship Id="rId2" Type="http://schemas.openxmlformats.org/officeDocument/2006/relationships/themeOverride" Target="../theme/themeOverride1.xml"/><Relationship Id="rId1" Type="http://schemas.openxmlformats.org/officeDocument/2006/relationships/oleObject" Target="file:///C:\Users\Lenovo\Desktop\&#19987;&#19994;&#36820;&#25968;-&#20844;&#25253;\&#25237;&#36164;\2020&#24180;&#28246;&#21271;&#30465;&#22269;&#27665;&#32463;&#27982;&#21644;&#31038;&#20250;&#21457;&#23637;&#32479;&#35745;&#20844;&#25253;-&#25237;&#36164;&#22270;&#34920;.xlsx" TargetMode="Externa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chartUserShapes" Target="../drawings/drawing1.xml"/><Relationship Id="rId2" Type="http://schemas.openxmlformats.org/officeDocument/2006/relationships/themeOverride" Target="../theme/themeOverride2.xml"/><Relationship Id="rId1" Type="http://schemas.openxmlformats.org/officeDocument/2006/relationships/oleObject" Target="file:///C:\Users\Lenovo\Desktop\&#19987;&#19994;&#36820;&#25968;-&#20844;&#25253;\&#20844;&#25253;2020&#65288;&#36152;&#32463;&#65289;0225&#26356;&#26032;\&#36152;&#32463;&#22270;&#34920;.xlsx" TargetMode="External"/></Relationships>
</file>

<file path=word/charts/_rels/chart7.xml.rels><?xml version="1.0" encoding="UTF-8" standalone="yes"?>
<Relationships xmlns="http://schemas.openxmlformats.org/package/2006/relationships"><Relationship Id="rId3" Type="http://schemas.microsoft.com/office/2011/relationships/chartColorStyle" Target="colors7.xml"/><Relationship Id="rId2" Type="http://schemas.microsoft.com/office/2011/relationships/chartStyle" Target="style7.xml"/><Relationship Id="rId1" Type="http://schemas.openxmlformats.org/officeDocument/2006/relationships/oleObject" Target="file:///C:\Users\PC\Desktop\3.xlsx" TargetMode="External"/></Relationships>
</file>

<file path=word/charts/_rels/chart8.xml.rels><?xml version="1.0" encoding="UTF-8" standalone="yes"?>
<Relationships xmlns="http://schemas.openxmlformats.org/package/2006/relationships"><Relationship Id="rId3" Type="http://schemas.microsoft.com/office/2011/relationships/chartColorStyle" Target="colors1.xml"/><Relationship Id="rId2" Type="http://schemas.microsoft.com/office/2011/relationships/chartStyle" Target="style1.xml"/><Relationship Id="rId1" Type="http://schemas.openxmlformats.org/officeDocument/2006/relationships/oleObject" Target="file:///C:\Users\PC\Desktop\&#23485;&#24102;.xlsx" TargetMode="External"/></Relationships>
</file>

<file path=word/charts/_rels/chart9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PC\Desktop\&#23485;&#24102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'[0.xlsx]1地区生产总值（1-9）'!$C$3</c:f>
              <c:strCache>
                <c:ptCount val="1"/>
                <c:pt idx="0">
                  <c:v>总量（亿元）</c:v>
                </c:pt>
              </c:strCache>
            </c:strRef>
          </c:tx>
          <c:spPr>
            <a:solidFill>
              <a:schemeClr val="accent1"/>
            </a:solidFill>
            <a:ln w="9525" cap="flat" cmpd="sng" algn="ctr">
              <a:noFill/>
              <a:round/>
            </a:ln>
            <a:effectLst>
              <a:innerShdw blurRad="63500" dist="50800" dir="16200000">
                <a:prstClr val="black">
                  <a:alpha val="50000"/>
                </a:prstClr>
              </a:innerShdw>
            </a:effectLst>
          </c:spPr>
          <c:invertIfNegative val="0"/>
          <c:dLbls>
            <c:dLbl>
              <c:idx val="0"/>
              <c:layout>
                <c:manualLayout>
                  <c:x val="0"/>
                  <c:y val="0.013289811144789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"/>
                  <c:y val="0.0135229657262765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"/>
                  <c:y val="0.0118908836558638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"/>
                  <c:y val="0.014921893215201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'[0.xlsx]1地区生产总值（1-9）'!$A$4:$A$8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'[0.xlsx]1地区生产总值（1-9）'!$C$4:$C$8</c:f>
              <c:numCache>
                <c:formatCode>0.00_ </c:formatCode>
                <c:ptCount val="5"/>
                <c:pt idx="0">
                  <c:v>33353</c:v>
                </c:pt>
                <c:pt idx="1">
                  <c:v>37235</c:v>
                </c:pt>
                <c:pt idx="2">
                  <c:v>42021.95</c:v>
                </c:pt>
                <c:pt idx="3">
                  <c:v>45428.96</c:v>
                </c:pt>
                <c:pt idx="4">
                  <c:v>43443.4605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0"/>
        <c:axId val="400450334"/>
        <c:axId val="720126029"/>
      </c:barChart>
      <c:lineChart>
        <c:grouping val="stacked"/>
        <c:varyColors val="0"/>
        <c:ser>
          <c:idx val="1"/>
          <c:order val="1"/>
          <c:tx>
            <c:strRef>
              <c:f>'[0.xlsx]1地区生产总值（1-9）'!$B$3</c:f>
              <c:strCache>
                <c:ptCount val="1"/>
                <c:pt idx="0">
                  <c:v> 增速（%）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>
              <a:outerShdw blurRad="40000" dist="20000" dir="5400000" rotWithShape="0">
                <a:srgbClr val="000000">
                  <a:alpha val="38000"/>
                </a:srgbClr>
              </a:outerShdw>
            </a:effectLst>
          </c:spPr>
          <c:marker>
            <c:symbol val="circle"/>
            <c:size val="5"/>
            <c:spPr>
              <a:gradFill rotWithShape="1">
                <a:gsLst>
                  <a:gs pos="0">
                    <a:schemeClr val="accent2">
                      <a:tint val="50000"/>
                      <a:satMod val="300000"/>
                      <a:alpha val="100000"/>
                    </a:schemeClr>
                  </a:gs>
                  <a:gs pos="35000">
                    <a:schemeClr val="accent2">
                      <a:tint val="37000"/>
                      <a:satMod val="300000"/>
                    </a:schemeClr>
                  </a:gs>
                  <a:gs pos="100000">
                    <a:schemeClr val="accent2">
                      <a:tint val="15000"/>
                      <a:satMod val="350000"/>
                    </a:schemeClr>
                  </a:gs>
                </a:gsLst>
                <a:lin ang="16200000" scaled="1"/>
              </a:gradFill>
              <a:ln w="9525" cap="flat" cmpd="sng" algn="ctr">
                <a:solidFill>
                  <a:schemeClr val="accent2">
                    <a:shade val="95000"/>
                  </a:schemeClr>
                </a:solidFill>
                <a:round/>
              </a:ln>
              <a:effectLst>
                <a:outerShdw blurRad="40000" dist="20000" dir="5400000" rotWithShape="0">
                  <a:srgbClr val="000000">
                    <a:alpha val="38000"/>
                  </a:srgbClr>
                </a:outerShdw>
              </a:effectLst>
            </c:spPr>
          </c:marker>
          <c:dLbls>
            <c:dLbl>
              <c:idx val="0"/>
              <c:layout>
                <c:manualLayout>
                  <c:x val="-0.0183664950605259"/>
                  <c:y val="-0.0333333333333333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-0.020871017114234"/>
                  <c:y val="-0.0378571428571429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0216848362795455"/>
                  <c:y val="0.0414736248624697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.015722832892723"/>
                  <c:y val="0.00214285714285714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181325662030941"/>
                  <c:y val="0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0"/>
                <c15:leaderLines>
                  <c:spPr>
                    <a:ln w="9525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numRef>
              <c:f>'[0.xlsx]1地区生产总值（1-9）'!$A$4:$A$8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'[0.xlsx]1地区生产总值（1-9）'!$B$4:$B$8</c:f>
              <c:numCache>
                <c:formatCode>0.0_ </c:formatCode>
                <c:ptCount val="5"/>
                <c:pt idx="0">
                  <c:v>8.09999999999999</c:v>
                </c:pt>
                <c:pt idx="1">
                  <c:v>7.8</c:v>
                </c:pt>
                <c:pt idx="2">
                  <c:v>7.8</c:v>
                </c:pt>
                <c:pt idx="3">
                  <c:v>7.25000537107303</c:v>
                </c:pt>
                <c:pt idx="4">
                  <c:v>-5</c:v>
                </c:pt>
              </c:numCache>
            </c:numRef>
          </c:val>
          <c:smooth val="0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977506735"/>
        <c:axId val="246805118"/>
        <c:extLst>
          <c:ext xmlns:c15="http://schemas.microsoft.com/office/drawing/2012/chart" uri="{02D57815-91ED-43cb-92C2-25804820EDAC}">
            <c15:filteredLineSeries>
              <c15:ser>
                <c:idx val="2"/>
                <c:order val="2"/>
                <c:tx>
                  <c:strRef>
                    <c:extLst>
                      <c:ext uri="{02D57815-91ED-43cb-92C2-25804820EDAC}">
                        <c15:formulaRef>
                          <c15:sqref>"年份"</c15:sqref>
                        </c15:formulaRef>
                      </c:ext>
                    </c:extLst>
                    <c:strCache>
                      <c:ptCount val="1"/>
                      <c:pt idx="0">
                        <c:v>年份</c:v>
                      </c:pt>
                    </c:strCache>
                  </c:strRef>
                </c:tx>
                <c:spPr>
                  <a:ln w="15875" cap="rnd">
                    <a:solidFill>
                      <a:schemeClr val="accent3"/>
                    </a:solidFill>
                    <a:round/>
                  </a:ln>
                  <a:effectLst>
                    <a:outerShdw blurRad="40000" dist="20000" dir="5400000" rotWithShape="0">
                      <a:srgbClr val="000000">
                        <a:alpha val="38000"/>
                      </a:srgbClr>
                    </a:outerShdw>
                  </a:effectLst>
                </c:spPr>
                <c:marker>
                  <c:symbol val="circle"/>
                  <c:size val="5"/>
                  <c:spPr>
                    <a:gradFill rotWithShape="1">
                      <a:gsLst>
                        <a:gs pos="0">
                          <a:schemeClr val="accent3">
                            <a:tint val="50000"/>
                            <a:satMod val="300000"/>
                          </a:schemeClr>
                        </a:gs>
                        <a:gs pos="35000">
                          <a:schemeClr val="accent3">
                            <a:tint val="37000"/>
                            <a:satMod val="300000"/>
                          </a:schemeClr>
                        </a:gs>
                        <a:gs pos="100000">
                          <a:schemeClr val="accent3">
                            <a:tint val="15000"/>
                            <a:satMod val="350000"/>
                          </a:schemeClr>
                        </a:gs>
                      </a:gsLst>
                      <a:lin ang="16200000" scaled="1"/>
                    </a:gradFill>
                    <a:ln w="9525" cap="flat" cmpd="sng" algn="ctr">
                      <a:solidFill>
                        <a:schemeClr val="accent3">
                          <a:shade val="95000"/>
                        </a:schemeClr>
                      </a:solidFill>
                      <a:round/>
                    </a:ln>
                    <a:effectLst>
                      <a:outerShdw blurRad="40000" dist="20000" dir="5400000" rotWithShape="0">
                        <a:srgbClr val="000000">
                          <a:alpha val="38000"/>
                        </a:srgbClr>
                      </a:outerShdw>
                    </a:effectLst>
                  </c:spPr>
                </c:marker>
                <c:dLbls>
                  <c:delete val="1"/>
                </c:dLbls>
                <c:cat>
                  <c:num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'[0.xlsx]1地区生产总值（1-9）'!$A$4:$A$8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2016</c:v>
                      </c:pt>
                      <c:pt idx="1">
                        <c:v>2017</c:v>
                      </c:pt>
                      <c:pt idx="2">
                        <c:v>2018</c:v>
                      </c:pt>
                      <c:pt idx="3">
                        <c:v>2019</c:v>
                      </c:pt>
                      <c:pt idx="4">
                        <c:v>2020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{1}</c15:sqref>
                        </c15:formulaRef>
                      </c:ext>
                    </c:extLst>
                    <c:numCache>
                      <c:formatCode>General</c:formatCode>
                      <c:ptCount val="1"/>
                      <c:pt idx="0">
                        <c:v>1</c:v>
                      </c:pt>
                    </c:numCache>
                  </c:numRef>
                </c:val>
                <c:smooth val="0"/>
              </c15:ser>
            </c15:filteredLineSeries>
          </c:ext>
        </c:extLst>
      </c:lineChart>
      <c:catAx>
        <c:axId val="400450334"/>
        <c:scaling>
          <c:orientation val="minMax"/>
        </c:scaling>
        <c:delete val="0"/>
        <c:axPos val="b"/>
        <c:majorTickMark val="none"/>
        <c:minorTickMark val="none"/>
        <c:tickLblPos val="nextTo"/>
        <c:spPr>
          <a:noFill/>
          <a:ln w="9525" cap="flat" cmpd="sng" algn="ctr">
            <a:noFill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20126029"/>
        <c:crosses val="autoZero"/>
        <c:auto val="1"/>
        <c:lblAlgn val="ctr"/>
        <c:lblOffset val="100"/>
        <c:noMultiLvlLbl val="0"/>
      </c:catAx>
      <c:valAx>
        <c:axId val="720126029"/>
        <c:scaling>
          <c:orientation val="minMax"/>
        </c:scaling>
        <c:delete val="0"/>
        <c:axPos val="l"/>
        <c:numFmt formatCode="0.00_ " sourceLinked="1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400450334"/>
        <c:crosses val="autoZero"/>
        <c:crossBetween val="between"/>
      </c:valAx>
      <c:catAx>
        <c:axId val="977506735"/>
        <c:scaling>
          <c:orientation val="minMax"/>
        </c:scaling>
        <c:delete val="1"/>
        <c:axPos val="t"/>
        <c:majorTickMark val="out"/>
        <c:minorTickMark val="none"/>
        <c:tickLblPos val="nextTo"/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50000"/>
                    <a:lumOff val="50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246805118"/>
        <c:crosses val="max"/>
        <c:auto val="1"/>
        <c:lblAlgn val="ctr"/>
        <c:lblOffset val="100"/>
        <c:noMultiLvlLbl val="0"/>
      </c:catAx>
      <c:valAx>
        <c:axId val="246805118"/>
        <c:scaling>
          <c:orientation val="minMax"/>
        </c:scaling>
        <c:delete val="0"/>
        <c:axPos val="r"/>
        <c:numFmt formatCode="General" sourceLinked="0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77506735"/>
        <c:crosses val="max"/>
        <c:crossBetween val="between"/>
      </c:valAx>
      <c:spPr>
        <a:noFill/>
        <a:ln>
          <a:solidFill>
            <a:schemeClr val="accent1"/>
          </a:solidFill>
        </a:ln>
        <a:effectLst/>
      </c:spPr>
    </c:plotArea>
    <c:legend>
      <c:legendPos val="b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/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28575" cap="flat" cmpd="sng" algn="ctr">
      <a:noFill/>
      <a:prstDash val="solid"/>
      <a:round/>
    </a:ln>
    <a:effectLst/>
  </c:spPr>
  <c:txPr>
    <a:bodyPr/>
    <a:lstStyle/>
    <a:p>
      <a:pPr>
        <a:defRPr lang="zh-CN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9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万人</a:t>
            </a:r>
            <a:endParaRPr sz="900">
              <a:solidFill>
                <a:schemeClr val="tx1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>
        <c:manualLayout>
          <c:xMode val="edge"/>
          <c:yMode val="edge"/>
          <c:x val="0.0202546296296296"/>
          <c:y val="0.033970555993971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[1.xlsx]Sheet2!$B$2</c:f>
              <c:strCache>
                <c:ptCount val="1"/>
                <c:pt idx="0">
                  <c:v>减贫人数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>
              <a:innerShdw blurRad="63500" dist="50800" dir="16200000">
                <a:prstClr val="black">
                  <a:alpha val="50000"/>
                </a:prstClr>
              </a:innerShdw>
            </a:effectLst>
          </c:spPr>
          <c:invertIfNegative val="0"/>
          <c:dLbls>
            <c:dLbl>
              <c:idx val="0"/>
              <c:layout>
                <c:manualLayout>
                  <c:x val="0"/>
                  <c:y val="0.011727912431587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[1.xlsx]Sheet2!$A$3:$A$7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[1.xlsx]Sheet2!$B$3:$B$7</c:f>
              <c:numCache>
                <c:formatCode>General</c:formatCode>
                <c:ptCount val="5"/>
                <c:pt idx="0">
                  <c:v>90.64</c:v>
                </c:pt>
                <c:pt idx="1">
                  <c:v>91.86</c:v>
                </c:pt>
                <c:pt idx="2">
                  <c:v>91.96</c:v>
                </c:pt>
                <c:pt idx="3">
                  <c:v>92.15</c:v>
                </c:pt>
                <c:pt idx="4">
                  <c:v>75.18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9583119"/>
        <c:axId val="784214392"/>
      </c:barChart>
      <c:catAx>
        <c:axId val="559583119"/>
        <c:scaling>
          <c:orientation val="minMax"/>
        </c:scaling>
        <c:delete val="0"/>
        <c:axPos val="b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84214392"/>
        <c:crosses val="autoZero"/>
        <c:auto val="1"/>
        <c:lblAlgn val="ctr"/>
        <c:lblOffset val="100"/>
        <c:noMultiLvlLbl val="0"/>
      </c:catAx>
      <c:valAx>
        <c:axId val="784214392"/>
        <c:scaling>
          <c:orientation val="minMax"/>
          <c:max val="110"/>
          <c:min val="0"/>
        </c:scaling>
        <c:delete val="0"/>
        <c:axPos val="l"/>
        <c:numFmt formatCode="#,##0.00_);[Red]\(#,##0.00\)" sourceLinked="0"/>
        <c:majorTickMark val="out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59583119"/>
        <c:crosses val="autoZero"/>
        <c:crossBetween val="between"/>
        <c:majorUnit val="10"/>
      </c:valAx>
      <c:spPr>
        <a:noFill/>
        <a:ln>
          <a:solidFill>
            <a:schemeClr val="accent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万人</a:t>
            </a:r>
            <a:endParaRPr sz="900">
              <a:solidFill>
                <a:schemeClr val="tx1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>
        <c:manualLayout>
          <c:xMode val="edge"/>
          <c:yMode val="edge"/>
          <c:x val="0.00509259259259259"/>
          <c:y val="0.038818201423334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[工作簿1]Sheet2!$B$2</c:f>
              <c:strCache>
                <c:ptCount val="1"/>
                <c:pt idx="0">
                  <c:v>减贫人数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>
              <a:innerShdw blurRad="63500" dist="50800" dir="16200000">
                <a:prstClr val="black">
                  <a:alpha val="50000"/>
                </a:prstClr>
              </a:innerShdw>
            </a:effectLst>
          </c:spPr>
          <c:invertIfNegative val="0"/>
          <c:dLbls>
            <c:dLbl>
              <c:idx val="0"/>
              <c:layout>
                <c:manualLayout>
                  <c:x val="-0.00230632141733934"/>
                  <c:y val="0.0226310187883039"/>
                </c:manualLayout>
              </c:layout>
              <c:tx>
                <c:rich>
                  <a:bodyPr rot="0" spcFirstLastPara="0" vertOverflow="ellipsis" vert="horz" wrap="square" lIns="38100" tIns="19050" rIns="38100" bIns="19050" anchor="ctr" anchorCtr="1"/>
                  <a:lstStyle/>
                  <a:p>
                    <a:pPr defTabSz="914400">
                      <a:defRPr lang="zh-CN" sz="900" b="0" i="0" u="none" strike="noStrike" kern="1200" baseline="0">
                        <a:solidFill>
                          <a:schemeClr val="tx1">
                            <a:lumMod val="75000"/>
                            <a:lumOff val="25000"/>
                          </a:schemeClr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t>147</a:t>
                    </a:r>
                    <a:r>
                      <a:rPr lang="en-US" altLang="zh-CN"/>
                      <a:t>.0</a:t>
                    </a:r>
                    <a:endParaRPr lang="en-US" altLang="zh-CN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[工作簿1]Sheet2!$A$3:$A$7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[工作簿1]Sheet2!$B$3:$B$7</c:f>
              <c:numCache>
                <c:formatCode>General</c:formatCode>
                <c:ptCount val="5"/>
                <c:pt idx="0">
                  <c:v>147</c:v>
                </c:pt>
                <c:pt idx="1">
                  <c:v>91.7</c:v>
                </c:pt>
                <c:pt idx="2">
                  <c:v>105.5</c:v>
                </c:pt>
                <c:pt idx="3">
                  <c:v>92.5</c:v>
                </c:pt>
                <c:pt idx="4">
                  <c:v>5.8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9583119"/>
        <c:axId val="784214392"/>
      </c:barChart>
      <c:catAx>
        <c:axId val="559583119"/>
        <c:scaling>
          <c:orientation val="minMax"/>
        </c:scaling>
        <c:delete val="0"/>
        <c:axPos val="b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84214392"/>
        <c:crosses val="autoZero"/>
        <c:auto val="1"/>
        <c:lblAlgn val="ctr"/>
        <c:lblOffset val="100"/>
        <c:noMultiLvlLbl val="0"/>
      </c:catAx>
      <c:valAx>
        <c:axId val="784214392"/>
        <c:scaling>
          <c:orientation val="minMax"/>
        </c:scaling>
        <c:delete val="0"/>
        <c:axPos val="l"/>
        <c:numFmt formatCode="#,##0.00_);[Red]\(#,##0.00\)" sourceLinked="0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59583119"/>
        <c:crosses val="autoZero"/>
        <c:crossBetween val="between"/>
      </c:valAx>
      <c:spPr>
        <a:noFill/>
        <a:ln>
          <a:solidFill>
            <a:schemeClr val="accent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 lang="zh-CN" sz="90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万吨</a:t>
            </a:r>
            <a:endParaRPr sz="900">
              <a:solidFill>
                <a:schemeClr val="tx1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>
        <c:manualLayout>
          <c:xMode val="edge"/>
          <c:yMode val="edge"/>
          <c:x val="0.00509259259259259"/>
          <c:y val="0.038818201423334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[1.xlsx]Sheet2!$B$2</c:f>
              <c:strCache>
                <c:ptCount val="1"/>
                <c:pt idx="0">
                  <c:v>减贫人数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>
              <a:innerShdw blurRad="63500" dist="50800" dir="16200000">
                <a:prstClr val="black">
                  <a:alpha val="50000"/>
                </a:prstClr>
              </a:innerShdw>
            </a:effectLst>
          </c:spPr>
          <c:invertIfNegative val="0"/>
          <c:dLbls>
            <c:dLbl>
              <c:idx val="0"/>
              <c:layout>
                <c:manualLayout>
                  <c:x val="0"/>
                  <c:y val="0.011727912431587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0173611111111111"/>
                  <c:y val="0.020523846755277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"/>
                  <c:y val="0.01465989053948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"/>
                  <c:y val="0.00879593432369038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0127802951086325"/>
                  <c:y val="0.0109544900536747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[1.xlsx]Sheet2!$A$3:$A$7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[1.xlsx]Sheet2!$B$3:$B$7</c:f>
              <c:numCache>
                <c:formatCode>General</c:formatCode>
                <c:ptCount val="5"/>
                <c:pt idx="0">
                  <c:v>2796.35</c:v>
                </c:pt>
                <c:pt idx="1">
                  <c:v>2846.12</c:v>
                </c:pt>
                <c:pt idx="2">
                  <c:v>2839.47</c:v>
                </c:pt>
                <c:pt idx="3">
                  <c:v>2724.98</c:v>
                </c:pt>
                <c:pt idx="4">
                  <c:v>2727.43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9583119"/>
        <c:axId val="784214392"/>
      </c:barChart>
      <c:catAx>
        <c:axId val="559583119"/>
        <c:scaling>
          <c:orientation val="minMax"/>
        </c:scaling>
        <c:delete val="0"/>
        <c:axPos val="b"/>
        <c:majorTickMark val="in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84214392"/>
        <c:crosses val="autoZero"/>
        <c:auto val="1"/>
        <c:lblAlgn val="ctr"/>
        <c:lblOffset val="100"/>
        <c:noMultiLvlLbl val="0"/>
      </c:catAx>
      <c:valAx>
        <c:axId val="784214392"/>
        <c:scaling>
          <c:orientation val="minMax"/>
          <c:max val="3500"/>
        </c:scaling>
        <c:delete val="0"/>
        <c:axPos val="l"/>
        <c:numFmt formatCode="#,##0.00_);[Red]\(#,##0.00\)" sourceLinked="0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59583119"/>
        <c:crosses val="autoZero"/>
        <c:crossBetween val="between"/>
      </c:valAx>
      <c:spPr>
        <a:noFill/>
        <a:ln>
          <a:solidFill>
            <a:schemeClr val="accent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bg1"/>
      </a:solidFill>
      <a:round/>
    </a:ln>
    <a:effectLst/>
  </c:spPr>
  <c:txPr>
    <a:bodyPr/>
    <a:lstStyle/>
    <a:p>
      <a:pPr>
        <a:defRPr lang="zh-CN" sz="90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51332825590251"/>
          <c:y val="0.101549053356282"/>
          <c:w val="0.519421172886519"/>
          <c:h val="0.880378657487091"/>
        </c:manualLayout>
      </c:layout>
      <c:pieChart>
        <c:varyColors val="1"/>
        <c:ser>
          <c:idx val="0"/>
          <c:order val="0"/>
          <c:tx>
            <c:strRef>
              <c:f>Sheet1!$C$2</c:f>
              <c:strCache>
                <c:ptCount val="1"/>
                <c:pt idx="0">
                  <c:v>比重</c:v>
                </c:pt>
              </c:strCache>
            </c:strRef>
          </c:tx>
          <c:spPr/>
          <c:explosion val="0"/>
          <c:dPt>
            <c:idx val="0"/>
            <c:bubble3D val="0"/>
            <c:spPr>
              <a:solidFill>
                <a:schemeClr val="accent6">
                  <a:lumMod val="75000"/>
                </a:schemeClr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1"/>
            <c:bubble3D val="0"/>
            <c:spPr>
              <a:solidFill>
                <a:srgbClr val="FFC000"/>
              </a:solidFill>
              <a:ln w="19050">
                <a:solidFill>
                  <a:schemeClr val="lt1"/>
                </a:solidFill>
              </a:ln>
              <a:effectLst/>
            </c:spPr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</c:dPt>
          <c:dLbls>
            <c:dLbl>
              <c:idx val="0"/>
              <c:layout>
                <c:manualLayout>
                  <c:x val="-0.0227151561309977"/>
                  <c:y val="0"/>
                </c:manualLayout>
              </c:layout>
              <c:tx>
                <c:rich>
                  <a:bodyPr rot="0" spcFirstLastPara="1" vertOverflow="ellipsis" vert="horz" wrap="square" lIns="38100" tIns="19050" rIns="38100" bIns="19050" anchor="ctr" anchorCtr="1">
                    <a:spAutoFit/>
                  </a:bodyPr>
                  <a:lstStyle/>
                  <a:p>
                    <a:pPr defTabSz="914400">
                      <a:defRPr lang="zh-CN" sz="900" b="0" i="0" u="none" strike="noStrike" kern="1200" baseline="0">
                        <a:solidFill>
                          <a:schemeClr val="tx1"/>
                        </a:solidFill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defRPr>
                    </a:pPr>
                    <a:r>
                      <a:rPr sz="900">
                        <a:latin typeface="Times New Roman" panose="02020603050405020304" charset="0"/>
                        <a:ea typeface="Times New Roman" panose="02020603050405020304" charset="0"/>
                        <a:cs typeface="Times New Roman" panose="02020603050405020304" charset="0"/>
                        <a:sym typeface="Times New Roman" panose="02020603050405020304" charset="0"/>
                      </a:rPr>
                      <a:t>第一产业2.0%</a:t>
                    </a:r>
                    <a:endParaRPr sz="900"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endParaRPr>
                  </a:p>
                </c:rich>
              </c:tx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defRPr>
                  </a:pPr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528560548362529"/>
                      <c:h val="0.0895008605851979"/>
                    </c:manualLayout>
                  </c15:layout>
                </c:ext>
              </c:extLst>
            </c:dLbl>
            <c:dLbl>
              <c:idx val="1"/>
              <c:layout>
                <c:manualLayout>
                  <c:x val="-0.172222222222222"/>
                  <c:y val="0.0972222222222222"/>
                </c:manualLayout>
              </c:layout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sp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defRPr>
                  </a:pPr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.161111111111111"/>
                  <c:y val="-0.148148148148148"/>
                </c:manualLayout>
              </c:layout>
              <c:numFmt formatCode="0.0%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lang="zh-CN" sz="900" b="0" i="0" u="none" strike="noStrike" kern="1200" baseline="0">
                      <a:solidFill>
                        <a:schemeClr val="tx1"/>
                      </a:solidFill>
                      <a:latin typeface="Times New Roman" panose="02020603050405020304" charset="0"/>
                      <a:ea typeface="Times New Roman" panose="02020603050405020304" charset="0"/>
                      <a:cs typeface="Times New Roman" panose="02020603050405020304" charset="0"/>
                      <a:sym typeface="Times New Roman" panose="02020603050405020304" charset="0"/>
                    </a:defRPr>
                  </a:pPr>
                </a:p>
              </c:txPr>
              <c:dLblPos val="bestFit"/>
              <c:showLegendKey val="0"/>
              <c:showVal val="0"/>
              <c:showCatName val="1"/>
              <c:showSerName val="0"/>
              <c:showPercent val="1"/>
              <c:showBubbleSize val="0"/>
              <c:separator>
</c:separator>
              <c:extLst>
                <c:ext xmlns:c15="http://schemas.microsoft.com/office/drawing/2012/chart" uri="{CE6537A1-D6FC-4f65-9D91-7224C49458BB}">
                  <c15:layout>
                    <c:manualLayout>
                      <c:w val="0.15"/>
                      <c:h val="0.265069626713328"/>
                    </c:manualLayout>
                  </c15:layout>
                </c:ext>
              </c:extLst>
            </c:dLbl>
            <c:numFmt formatCode="0.0%" sourceLinked="0"/>
            <c:spPr>
              <a:solidFill>
                <a:sysClr val="window" lastClr="FFFFFF"/>
              </a:solidFill>
              <a:ln>
                <a:solidFill>
                  <a:sysClr val="windowText" lastClr="000000">
                    <a:lumMod val="25000"/>
                    <a:lumOff val="75000"/>
                  </a:sysClr>
                </a:solidFill>
              </a:ln>
              <a:effectLst/>
            </c:spPr>
            <c:txPr>
              <a:bodyPr rot="0" spcFirstLastPara="1" vertOverflow="clip" horzOverflow="clip" vert="horz" wrap="square" lIns="38100" tIns="19050" rIns="38100" bIns="19050" anchor="ctr" anchorCtr="1">
                <a:spAutoFit/>
              </a:bodyPr>
              <a:lstStyle/>
              <a:p>
                <a:pPr>
                  <a:defRPr lang="zh-CN" sz="900" b="0" i="0" u="none" strike="noStrike" kern="1200" baseline="0">
                    <a:solidFill>
                      <a:schemeClr val="tx1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0"/>
            <c:showCatName val="1"/>
            <c:showSerName val="0"/>
            <c:showPercent val="1"/>
            <c:showBubbleSize val="0"/>
            <c:showLeaderLines val="0"/>
            <c:extLst>
              <c:ext xmlns:c15="http://schemas.microsoft.com/office/drawing/2012/chart" uri="{CE6537A1-D6FC-4f65-9D91-7224C49458BB}">
                <c15:spPr xmlns:c15="http://schemas.microsoft.com/office/drawing/2012/chart">
                  <a:prstGeom prst="wedgeRectCallout">
                    <a:avLst/>
                  </a:prstGeom>
                  <a:noFill/>
                  <a:ln>
                    <a:noFill/>
                  </a:ln>
                </c15:spPr>
                <c15:layout/>
                <c15:showLeaderLines val="0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Sheet1!$B$3:$B$5</c:f>
              <c:strCache>
                <c:ptCount val="3"/>
                <c:pt idx="0">
                  <c:v>第一产业</c:v>
                </c:pt>
                <c:pt idx="1">
                  <c:v>第二产业</c:v>
                </c:pt>
                <c:pt idx="2">
                  <c:v>第三产业</c:v>
                </c:pt>
              </c:strCache>
            </c:strRef>
          </c:cat>
          <c:val>
            <c:numRef>
              <c:f>Sheet1!$C$3:$C$5</c:f>
              <c:numCache>
                <c:formatCode>0.0_ </c:formatCode>
                <c:ptCount val="3"/>
                <c:pt idx="0">
                  <c:v>2</c:v>
                </c:pt>
                <c:pt idx="1" c:formatCode="General">
                  <c:v>35.1</c:v>
                </c:pt>
                <c:pt idx="2" c:formatCode="General">
                  <c:v>62.9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0"/>
        </c:dLbls>
        <c:firstSliceAng val="0"/>
      </c:pieChart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/>
      </a:pPr>
    </a:p>
  </c:txPr>
  <c:externalData r:id="rId1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11043656103101"/>
          <c:y val="0.110877156748849"/>
          <c:w val="0.869361039977418"/>
          <c:h val="0.805001505959296"/>
        </c:manualLayout>
      </c:layout>
      <c:barChart>
        <c:barDir val="col"/>
        <c:grouping val="clustered"/>
        <c:varyColors val="0"/>
        <c:ser>
          <c:idx val="1"/>
          <c:order val="1"/>
          <c:spPr>
            <a:solidFill>
              <a:srgbClr val="4F81BD"/>
            </a:solidFill>
            <a:ln>
              <a:noFill/>
            </a:ln>
            <a:effectLst>
              <a:innerShdw blurRad="63500" dist="50800" dir="16200000">
                <a:prstClr val="black">
                  <a:alpha val="50000"/>
                </a:prstClr>
              </a:innerShdw>
            </a:effectLst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Times New Roman" panose="02020603050405020304" charset="0"/>
                    <a:ea typeface="仿宋_GB2312" panose="02010609030101010101" pitchFamily="3" charset="-122"/>
                    <a:cs typeface="+mn-cs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prstDash val="solid"/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图6!$C$2:$G$2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图6!$C$3:$G$3</c:f>
              <c:numCache>
                <c:formatCode>0.00_ </c:formatCode>
                <c:ptCount val="5"/>
                <c:pt idx="0">
                  <c:v>16601.8822845582</c:v>
                </c:pt>
                <c:pt idx="1">
                  <c:v>18519.6504665214</c:v>
                </c:pt>
                <c:pt idx="2">
                  <c:v>20598.1573007083</c:v>
                </c:pt>
                <c:pt idx="3">
                  <c:v>22722.3101</c:v>
                </c:pt>
                <c:pt idx="4">
                  <c:v>17984.87</c:v>
                </c:pt>
              </c:numCache>
            </c:numRef>
          </c:val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37"/>
        <c:overlap val="95"/>
        <c:axId val="348668672"/>
        <c:axId val="348670208"/>
        <c:extLst>
          <c:ext xmlns:c15="http://schemas.microsoft.com/office/drawing/2012/chart" uri="{02D57815-91ED-43cb-92C2-25804820EDAC}">
            <c15:filteredBarSeries>
              <c15:ser>
                <c:idx val="0"/>
                <c:order val="0"/>
                <c:spPr>
                  <a:solidFill>
                    <a:schemeClr val="accent1"/>
                  </a:solidFill>
                  <a:ln>
                    <a:noFill/>
                  </a:ln>
                  <a:effectLst/>
                </c:spPr>
                <c:invertIfNegative val="0"/>
                <c:dLbls>
                  <c:delete val="1"/>
                </c:dLbls>
                <c:cat>
                  <c:numRef>
                    <c:extLst>
                      <c:ext uri="{02D57815-91ED-43cb-92C2-25804820EDAC}">
                        <c15:fullRef>
                          <c15:sqref/>
                        </c15:fullRef>
                        <c15:formulaRef>
                          <c15:sqref>图6!$C$2:$G$2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2016</c:v>
                      </c:pt>
                      <c:pt idx="1">
                        <c:v>2017</c:v>
                      </c:pt>
                      <c:pt idx="2">
                        <c:v>2018</c:v>
                      </c:pt>
                      <c:pt idx="3">
                        <c:v>2019</c:v>
                      </c:pt>
                      <c:pt idx="4">
                        <c:v>2020</c:v>
                      </c:pt>
                    </c:numCache>
                  </c:numRef>
                </c:cat>
                <c:val>
                  <c:numRef>
                    <c:extLst>
                      <c:ext uri="{02D57815-91ED-43cb-92C2-25804820EDAC}">
                        <c15:formulaRef>
                          <c15:sqref>图6!$C$2:$G$2</c15:sqref>
                        </c15:formulaRef>
                      </c:ext>
                    </c:extLst>
                    <c:numCache>
                      <c:formatCode>General</c:formatCode>
                      <c:ptCount val="5"/>
                      <c:pt idx="0">
                        <c:v>2016</c:v>
                      </c:pt>
                      <c:pt idx="1">
                        <c:v>2017</c:v>
                      </c:pt>
                      <c:pt idx="2">
                        <c:v>2018</c:v>
                      </c:pt>
                      <c:pt idx="3">
                        <c:v>2019</c:v>
                      </c:pt>
                      <c:pt idx="4">
                        <c:v>2020</c:v>
                      </c:pt>
                    </c:numCache>
                  </c:numRef>
                </c:val>
              </c15:ser>
            </c15:filteredBarSeries>
          </c:ext>
        </c:extLst>
      </c:barChart>
      <c:catAx>
        <c:axId val="348668672"/>
        <c:scaling>
          <c:orientation val="minMax"/>
        </c:scaling>
        <c:delete val="0"/>
        <c:axPos val="b"/>
        <c:numFmt formatCode="General" sourceLinked="1"/>
        <c:majorTickMark val="in"/>
        <c:minorTickMark val="none"/>
        <c:tickLblPos val="nextTo"/>
        <c:spPr>
          <a:noFill/>
          <a:ln w="9525" cap="flat" cmpd="sng" algn="ctr">
            <a:solidFill>
              <a:srgbClr val="000000"/>
            </a:solidFill>
            <a:prstDash val="solid"/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Times New Roman" panose="02020603050405020304" charset="0"/>
                <a:ea typeface="+mn-ea"/>
                <a:cs typeface="+mn-cs"/>
              </a:defRPr>
            </a:pPr>
          </a:p>
        </c:txPr>
        <c:crossAx val="348670208"/>
        <c:crosses val="autoZero"/>
        <c:auto val="1"/>
        <c:lblAlgn val="ctr"/>
        <c:lblOffset val="100"/>
        <c:noMultiLvlLbl val="0"/>
      </c:catAx>
      <c:valAx>
        <c:axId val="348670208"/>
        <c:scaling>
          <c:orientation val="minMax"/>
          <c:max val="30000"/>
        </c:scaling>
        <c:delete val="0"/>
        <c:axPos val="l"/>
        <c:majorGridlines>
          <c:spPr>
            <a:ln w="9525" cap="flat" cmpd="sng" algn="ctr">
              <a:solidFill>
                <a:schemeClr val="bg1"/>
              </a:solidFill>
              <a:prstDash val="solid"/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lang="zh-CN" sz="900" b="0" i="0" u="none" strike="noStrike" kern="1200" cap="none" spc="0" normalizeH="0" baseline="0">
                    <a:solidFill>
                      <a:schemeClr val="tx1"/>
                    </a:solidFill>
                    <a:uFill>
                      <a:solidFill>
                        <a:schemeClr val="tx1"/>
                      </a:solidFill>
                    </a:uFill>
                    <a:latin typeface="Times New Roman" panose="02020603050405020304" charset="0"/>
                    <a:ea typeface="+mn-ea"/>
                    <a:cs typeface="+mn-cs"/>
                  </a:defRPr>
                </a:pPr>
                <a:r>
                  <a:rPr lang="en-US" altLang="zh-CN" sz="900"/>
                  <a:t>亿</a:t>
                </a:r>
                <a:r>
                  <a:rPr altLang="en-US" sz="900"/>
                  <a:t>元</a:t>
                </a:r>
                <a:endParaRPr lang="zh-CN" altLang="en-US" sz="900"/>
              </a:p>
            </c:rich>
          </c:tx>
          <c:layout>
            <c:manualLayout>
              <c:xMode val="edge"/>
              <c:yMode val="edge"/>
              <c:x val="0.0279299630256605"/>
              <c:y val="0.00716332378223496"/>
            </c:manualLayout>
          </c:layout>
          <c:overlay val="0"/>
          <c:spPr>
            <a:noFill/>
            <a:ln>
              <a:noFill/>
            </a:ln>
            <a:effectLst/>
          </c:spPr>
        </c:title>
        <c:numFmt formatCode="0.00_ " sourceLinked="0"/>
        <c:majorTickMark val="in"/>
        <c:minorTickMark val="none"/>
        <c:tickLblPos val="nextTo"/>
        <c:spPr>
          <a:noFill/>
          <a:ln w="6350" cap="flat" cmpd="sng" algn="ctr">
            <a:solidFill>
              <a:schemeClr val="tx1"/>
            </a:solidFill>
            <a:prstDash val="solid"/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cap="none" spc="0" normalizeH="0" baseline="0">
                <a:solidFill>
                  <a:schemeClr val="tx1"/>
                </a:solidFill>
                <a:uFill>
                  <a:solidFill>
                    <a:schemeClr val="tx1"/>
                  </a:solidFill>
                </a:uFill>
                <a:latin typeface="Times New Roman" panose="02020603050405020304" charset="0"/>
                <a:ea typeface="黑体" panose="02010600030101010101" charset="-122"/>
                <a:cs typeface="黑体" panose="02010600030101010101" charset="-122"/>
                <a:sym typeface="黑体" panose="02010600030101010101" charset="-122"/>
              </a:defRPr>
            </a:pPr>
          </a:p>
        </c:txPr>
        <c:crossAx val="348668672"/>
        <c:crosses val="autoZero"/>
        <c:crossBetween val="between"/>
      </c:valAx>
      <c:spPr>
        <a:noFill/>
        <a:ln w="9525" cmpd="sng">
          <a:solidFill>
            <a:srgbClr val="000000"/>
          </a:solidFill>
          <a:prstDash val="solid"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prstDash val="solid"/>
      <a:round/>
    </a:ln>
    <a:effectLst/>
  </c:spPr>
  <c:txPr>
    <a:bodyPr/>
    <a:lstStyle/>
    <a:p>
      <a:pPr>
        <a:defRPr lang="zh-CN" sz="900" u="none" strike="noStrike" kern="1200" cap="none" spc="0" normalizeH="0">
          <a:solidFill>
            <a:schemeClr val="tx1"/>
          </a:solidFill>
          <a:uFill>
            <a:solidFill>
              <a:schemeClr val="tx1"/>
            </a:solidFill>
          </a:uFill>
          <a:latin typeface="Times New Roman" panose="02020603050405020304" charset="0"/>
        </a:defRPr>
      </a:pPr>
    </a:p>
  </c:txPr>
  <c:externalData r:id="rId1">
    <c:autoUpdate val="0"/>
  </c:externalData>
  <c:userShapes r:id="rId3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1080" b="0" i="0" u="none" strike="noStrike" kern="1200" spc="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亿元</a:t>
            </a:r>
            <a:endParaRPr sz="900">
              <a:solidFill>
                <a:sysClr val="windowText" lastClr="000000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>
        <c:manualLayout>
          <c:xMode val="edge"/>
          <c:yMode val="edge"/>
          <c:x val="0.00763288584559529"/>
          <c:y val="0.026219004729338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070771719038817"/>
          <c:y val="0.125298900047824"/>
          <c:w val="0.92264325323475"/>
          <c:h val="0.759062649450024"/>
        </c:manualLayout>
      </c:layout>
      <c:barChart>
        <c:barDir val="col"/>
        <c:grouping val="stacked"/>
        <c:varyColors val="0"/>
        <c:ser>
          <c:idx val="0"/>
          <c:order val="0"/>
          <c:tx>
            <c:strRef>
              <c:f>[3.xlsx]Sheet4!$B$3</c:f>
              <c:strCache>
                <c:ptCount val="1"/>
                <c:pt idx="0">
                  <c:v>货物出口额</c:v>
                </c:pt>
              </c:strCache>
            </c:strRef>
          </c:tx>
          <c:spPr>
            <a:solidFill>
              <a:srgbClr val="92D050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[3.xlsx]Sheet4!$A$4:$A$8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[3.xlsx]Sheet4!$B$4:$B$8</c:f>
              <c:numCache>
                <c:formatCode>0.0_ </c:formatCode>
                <c:ptCount val="5"/>
                <c:pt idx="0">
                  <c:v>1718</c:v>
                </c:pt>
                <c:pt idx="1">
                  <c:v>2063.7</c:v>
                </c:pt>
                <c:pt idx="2">
                  <c:v>2253.2</c:v>
                </c:pt>
                <c:pt idx="3">
                  <c:v>2486</c:v>
                </c:pt>
                <c:pt idx="4">
                  <c:v>2702</c:v>
                </c:pt>
              </c:numCache>
            </c:numRef>
          </c:val>
        </c:ser>
        <c:ser>
          <c:idx val="1"/>
          <c:order val="1"/>
          <c:tx>
            <c:strRef>
              <c:f>[3.xlsx]Sheet4!$C$3</c:f>
              <c:strCache>
                <c:ptCount val="1"/>
                <c:pt idx="0">
                  <c:v>货物进口额</c:v>
                </c:pt>
              </c:strCache>
            </c:strRef>
          </c:tx>
          <c:spPr>
            <a:solidFill>
              <a:srgbClr val="FF7777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[3.xlsx]Sheet4!$A$4:$A$8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[3.xlsx]Sheet4!$C$4:$C$8</c:f>
              <c:numCache>
                <c:formatCode>0.0_ </c:formatCode>
                <c:ptCount val="5"/>
                <c:pt idx="0">
                  <c:v>881.6</c:v>
                </c:pt>
                <c:pt idx="1">
                  <c:v>1070.8</c:v>
                </c:pt>
                <c:pt idx="2">
                  <c:v>1234</c:v>
                </c:pt>
                <c:pt idx="3">
                  <c:v>1458.8</c:v>
                </c:pt>
                <c:pt idx="4">
                  <c:v>1592.1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100"/>
        <c:axId val="997380024"/>
        <c:axId val="642429587"/>
      </c:barChart>
      <c:catAx>
        <c:axId val="997380024"/>
        <c:scaling>
          <c:orientation val="minMax"/>
        </c:scaling>
        <c:delete val="0"/>
        <c:axPos val="b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642429587"/>
        <c:crosses val="autoZero"/>
        <c:auto val="1"/>
        <c:lblAlgn val="ctr"/>
        <c:lblOffset val="100"/>
        <c:noMultiLvlLbl val="0"/>
      </c:catAx>
      <c:valAx>
        <c:axId val="6424295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/>
              </a:solidFill>
              <a:round/>
            </a:ln>
            <a:effectLst/>
          </c:spPr>
        </c:majorGridlines>
        <c:numFmt formatCode="General" sourceLinked="0"/>
        <c:majorTickMark val="in"/>
        <c:minorTickMark val="none"/>
        <c:tickLblPos val="nextTo"/>
        <c:spPr>
          <a:noFill/>
          <a:ln>
            <a:solidFill>
              <a:schemeClr val="accent1"/>
            </a:solidFill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97380024"/>
        <c:crosses val="autoZero"/>
        <c:crossBetween val="between"/>
      </c:valAx>
      <c:spPr>
        <a:solidFill>
          <a:schemeClr val="accent1">
            <a:lumMod val="20000"/>
            <a:lumOff val="80000"/>
          </a:schemeClr>
        </a:solidFill>
        <a:ln>
          <a:solidFill>
            <a:schemeClr val="tx1"/>
          </a:solidFill>
        </a:ln>
        <a:effectLst/>
      </c:spPr>
    </c:plotArea>
    <c:legend>
      <c:legendPos val="t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>
        <c:manualLayout>
          <c:xMode val="edge"/>
          <c:yMode val="edge"/>
          <c:x val="0.112247117685447"/>
          <c:y val="0.185928489042676"/>
          <c:w val="0.321187731128997"/>
          <c:h val="0.0768166089965398"/>
        </c:manualLayout>
      </c:layout>
      <c:overlay val="1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 rot="0" vert="horz" anchor="t" anchorCtr="0"/>
    <a:lstStyle/>
    <a:p>
      <a:pPr>
        <a:defRPr lang="zh-CN" sz="900">
          <a:solidFill>
            <a:sysClr val="windowText" lastClr="000000"/>
          </a:solidFill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>
        <c:manualLayout>
          <c:layoutTarget val="inner"/>
          <c:xMode val="edge"/>
          <c:yMode val="edge"/>
          <c:x val="0.0653252120948445"/>
          <c:y val="0.0783339701948796"/>
          <c:w val="0.927604959756363"/>
          <c:h val="0.843026366068017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[宽带.xlsx]Sheet4!$B$3</c:f>
              <c:strCache>
                <c:ptCount val="1"/>
                <c:pt idx="0">
                  <c:v>快递业务量（亿件）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t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[宽带.xlsx]Sheet4!$A$4:$A$8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[4.xlsx]Sheet4!$B$4:$B$8</c:f>
              <c:numCache>
                <c:formatCode>General</c:formatCode>
                <c:ptCount val="5"/>
                <c:pt idx="0">
                  <c:v>7.73</c:v>
                </c:pt>
                <c:pt idx="1">
                  <c:v>10.13</c:v>
                </c:pt>
                <c:pt idx="2">
                  <c:v>13.53</c:v>
                </c:pt>
                <c:pt idx="3">
                  <c:v>16.85</c:v>
                </c:pt>
                <c:pt idx="4">
                  <c:v>17.85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150"/>
        <c:overlap val="0"/>
        <c:axId val="997380024"/>
        <c:axId val="642429587"/>
      </c:barChart>
      <c:lineChart>
        <c:grouping val="standard"/>
        <c:varyColors val="0"/>
        <c:ser>
          <c:idx val="1"/>
          <c:order val="1"/>
          <c:tx>
            <c:strRef>
              <c:f>[宽带.xlsx]Sheet4!$C$3</c:f>
              <c:strCache>
                <c:ptCount val="1"/>
                <c:pt idx="0">
                  <c:v>比上年增长（%）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rgbClr val="FFFF00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Lbls>
            <c:dLbl>
              <c:idx val="0"/>
              <c:layout>
                <c:manualLayout>
                  <c:x val="0.00342759211653813"/>
                  <c:y val="-0.0121384297520661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-0.00795691027053495"/>
                  <c:y val="-0.0604338842975207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-0.00232586607907945"/>
                  <c:y val="-0.0508780991735537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-0.00575345819561758"/>
                  <c:y val="-0.0604338842975207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183621006243114"/>
                  <c:y val="-0.00981404958677686"/>
                </c:manualLayout>
              </c:layout>
              <c:dLblPos val="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[4.xlsx]Sheet4!$C$4:$C$8</c:f>
              <c:numCache>
                <c:formatCode>General</c:formatCode>
                <c:ptCount val="5"/>
                <c:pt idx="0">
                  <c:v>52.1</c:v>
                </c:pt>
                <c:pt idx="1">
                  <c:v>30.9</c:v>
                </c:pt>
                <c:pt idx="2">
                  <c:v>33.6</c:v>
                </c:pt>
                <c:pt idx="3">
                  <c:v>24.5</c:v>
                </c:pt>
                <c:pt idx="4">
                  <c:v>5.9</c:v>
                </c:pt>
              </c:numCache>
            </c:numRef>
          </c:val>
          <c:smooth val="0"/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97380024"/>
        <c:axId val="642429587"/>
      </c:lineChart>
      <c:catAx>
        <c:axId val="997380024"/>
        <c:scaling>
          <c:orientation val="minMax"/>
        </c:scaling>
        <c:delete val="0"/>
        <c:axPos val="b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642429587"/>
        <c:crosses val="autoZero"/>
        <c:auto val="1"/>
        <c:lblAlgn val="ctr"/>
        <c:lblOffset val="100"/>
        <c:noMultiLvlLbl val="0"/>
      </c:catAx>
      <c:valAx>
        <c:axId val="64242958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bg1"/>
              </a:solidFill>
              <a:round/>
            </a:ln>
            <a:effectLst/>
          </c:spPr>
        </c:majorGridlines>
        <c:numFmt formatCode="#,##0.00_);[Red]\(#,##0.00\)" sourceLinked="0"/>
        <c:majorTickMark val="in"/>
        <c:minorTickMark val="none"/>
        <c:tickLblPos val="nextTo"/>
        <c:spPr>
          <a:solidFill>
            <a:schemeClr val="bg1"/>
          </a:solidFill>
          <a:ln>
            <a:solidFill>
              <a:schemeClr val="tx1"/>
            </a:solidFill>
          </a:ln>
          <a:effectLst/>
        </c:spPr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997380024"/>
        <c:crosses val="autoZero"/>
        <c:crossBetween val="between"/>
      </c:valAx>
      <c:spPr>
        <a:noFill/>
        <a:ln>
          <a:solidFill>
            <a:schemeClr val="tx1"/>
          </a:solidFill>
        </a:ln>
        <a:effectLst/>
      </c:spPr>
    </c:plotArea>
    <c:legend>
      <c:legendPos val="r"/>
      <c:legendEntry>
        <c:idx val="0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</c:legendEntry>
      <c:layout>
        <c:manualLayout>
          <c:xMode val="edge"/>
          <c:yMode val="edge"/>
          <c:x val="0.715899508291314"/>
          <c:y val="0.12052970245891"/>
        </c:manualLayout>
      </c:layout>
      <c:overlay val="1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defRPr>
          </a:pPr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 rot="0" vert="horz" anchor="t" anchorCtr="0"/>
    <a:lstStyle/>
    <a:p>
      <a:pPr>
        <a:defRPr lang="zh-CN" sz="900">
          <a:solidFill>
            <a:sysClr val="windowText" lastClr="000000"/>
          </a:solidFill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0" vertOverflow="ellipsis" vert="horz" wrap="square" anchor="ctr" anchorCtr="1"/>
          <a:lstStyle/>
          <a:p>
            <a:pPr defTabSz="914400">
              <a:defRPr lang="zh-CN" sz="9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  <a:r>
              <a:rPr sz="90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rPr>
              <a:t>万户</a:t>
            </a:r>
            <a:endParaRPr sz="900">
              <a:solidFill>
                <a:schemeClr val="tx1"/>
              </a:solidFill>
              <a:latin typeface="Times New Roman" panose="02020603050405020304" charset="0"/>
              <a:ea typeface="Times New Roman" panose="02020603050405020304" charset="0"/>
              <a:cs typeface="Times New Roman" panose="02020603050405020304" charset="0"/>
              <a:sym typeface="Times New Roman" panose="02020603050405020304" charset="0"/>
            </a:endParaRPr>
          </a:p>
        </c:rich>
      </c:tx>
      <c:layout>
        <c:manualLayout>
          <c:xMode val="edge"/>
          <c:yMode val="edge"/>
          <c:x val="0.0236891708221983"/>
          <c:y val="0.00788436268068331"/>
        </c:manualLayout>
      </c:layout>
      <c:overlay val="0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03719315645921"/>
          <c:y val="0.120630749014455"/>
          <c:w val="0.891445574014381"/>
          <c:h val="0.751484888304862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[宽带.xlsx]Sheet2!$B$2</c:f>
              <c:strCache>
                <c:ptCount val="1"/>
                <c:pt idx="0">
                  <c:v>互联网宽带 users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>
              <a:innerShdw blurRad="63500" dist="50800" dir="16200000">
                <a:prstClr val="black">
                  <a:alpha val="50000"/>
                </a:prstClr>
              </a:innerShdw>
            </a:effectLst>
          </c:spPr>
          <c:invertIfNegative val="0"/>
          <c:dLbls>
            <c:dLbl>
              <c:idx val="0"/>
              <c:layout>
                <c:manualLayout>
                  <c:x val="0"/>
                  <c:y val="0.0117279124315872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1"/>
              <c:layout>
                <c:manualLayout>
                  <c:x val="0.00173611111111111"/>
                  <c:y val="0.0205238467552776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2"/>
              <c:layout>
                <c:manualLayout>
                  <c:x val="0"/>
                  <c:y val="0.01465989053948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3"/>
              <c:layout>
                <c:manualLayout>
                  <c:x val="0"/>
                  <c:y val="0.00879593432369038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dLbl>
              <c:idx val="4"/>
              <c:layout>
                <c:manualLayout>
                  <c:x val="0.00127802951086324"/>
                  <c:y val="0.0241043990158434"/>
                </c:manualLayout>
              </c:layout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Times New Roman" panose="02020603050405020304" charset="0"/>
                    <a:ea typeface="Times New Roman" panose="02020603050405020304" charset="0"/>
                    <a:cs typeface="Times New Roman" panose="02020603050405020304" charset="0"/>
                    <a:sym typeface="Times New Roman" panose="02020603050405020304" charset="0"/>
                  </a:defRPr>
                </a:pPr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[宽带.xlsx]Sheet2!$A$3:$A$7</c:f>
              <c:numCache>
                <c:formatCode>General</c:formatCode>
                <c:ptCount val="5"/>
                <c:pt idx="0">
                  <c:v>2016</c:v>
                </c:pt>
                <c:pt idx="1">
                  <c:v>2017</c:v>
                </c:pt>
                <c:pt idx="2">
                  <c:v>2018</c:v>
                </c:pt>
                <c:pt idx="3">
                  <c:v>2019</c:v>
                </c:pt>
                <c:pt idx="4">
                  <c:v>2020</c:v>
                </c:pt>
              </c:numCache>
            </c:numRef>
          </c:cat>
          <c:val>
            <c:numRef>
              <c:f>[宽带.xlsx]Sheet2!$B$3:$B$7</c:f>
              <c:numCache>
                <c:formatCode>General</c:formatCode>
                <c:ptCount val="5"/>
                <c:pt idx="0">
                  <c:v>1131.88</c:v>
                </c:pt>
                <c:pt idx="1">
                  <c:v>1242.92</c:v>
                </c:pt>
                <c:pt idx="2">
                  <c:v>1480.73</c:v>
                </c:pt>
                <c:pt idx="3">
                  <c:v>1708.32</c:v>
                </c:pt>
                <c:pt idx="4">
                  <c:v>1870.16</c:v>
                </c:pt>
              </c:numCache>
            </c:numRef>
          </c:val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559583119"/>
        <c:axId val="784214392"/>
      </c:barChart>
      <c:catAx>
        <c:axId val="559583119"/>
        <c:scaling>
          <c:orientation val="minMax"/>
        </c:scaling>
        <c:delete val="0"/>
        <c:axPos val="b"/>
        <c:majorTickMark val="in"/>
        <c:minorTickMark val="none"/>
        <c:tickLblPos val="nextTo"/>
        <c:spPr>
          <a:noFill/>
          <a:ln w="9525" cap="flat" cmpd="sng" algn="ctr">
            <a:solidFill>
              <a:schemeClr val="tx1"/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784214392"/>
        <c:crosses val="autoZero"/>
        <c:auto val="1"/>
        <c:lblAlgn val="ctr"/>
        <c:lblOffset val="100"/>
        <c:noMultiLvlLbl val="0"/>
      </c:catAx>
      <c:valAx>
        <c:axId val="784214392"/>
        <c:scaling>
          <c:orientation val="minMax"/>
          <c:max val="2400"/>
        </c:scaling>
        <c:delete val="0"/>
        <c:axPos val="l"/>
        <c:numFmt formatCode="#,##0.00_);[Red]\(#,##0.00\)" sourceLinked="0"/>
        <c:majorTickMark val="in"/>
        <c:minorTickMark val="none"/>
        <c:tickLblPos val="nextTo"/>
        <c:spPr>
          <a:noFill/>
          <a:ln>
            <a:solidFill>
              <a:schemeClr val="tx1"/>
            </a:solidFill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/>
                </a:solidFill>
                <a:latin typeface="Times New Roman" panose="02020603050405020304" charset="0"/>
                <a:ea typeface="Times New Roman" panose="02020603050405020304" charset="0"/>
                <a:cs typeface="Times New Roman" panose="02020603050405020304" charset="0"/>
                <a:sym typeface="Times New Roman" panose="02020603050405020304" charset="0"/>
              </a:defRPr>
            </a:pPr>
          </a:p>
        </c:txPr>
        <c:crossAx val="559583119"/>
        <c:crosses val="autoZero"/>
        <c:crossBetween val="between"/>
        <c:majorUnit val="400"/>
      </c:valAx>
      <c:spPr>
        <a:noFill/>
        <a:ln>
          <a:solidFill>
            <a:schemeClr val="tx1"/>
          </a:solidFill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 sz="900">
          <a:latin typeface="Times New Roman" panose="02020603050405020304" charset="0"/>
          <a:ea typeface="Times New Roman" panose="02020603050405020304" charset="0"/>
          <a:cs typeface="Times New Roman" panose="02020603050405020304" charset="0"/>
          <a:sym typeface="Times New Roman" panose="02020603050405020304" charset="0"/>
        </a:defRPr>
      </a:pPr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9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25">
  <cs:axisTitle>
    <cs:lnRef idx="0"/>
    <cs:fillRef idx="0"/>
    <cs:effectRef idx="0"/>
    <cs:fontRef idx="minor">
      <a:schemeClr val="tx1">
        <a:lumMod val="50000"/>
        <a:lumOff val="50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>
  <cs:dataPoint3D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3D>
  <cs:dataPointLine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158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2">
      <cs:styleClr val="auto"/>
    </cs:fillRef>
    <cs:effectRef idx="1"/>
    <cs:fontRef idx="minor">
      <a:schemeClr val="dk1"/>
    </cs:fontRef>
    <cs:spPr>
      <a:ln w="9525" cap="flat" cmpd="sng" algn="ctr">
        <a:solidFill>
          <a:schemeClr val="phClr">
            <a:shade val="95000"/>
          </a:schemeClr>
        </a:solidFill>
        <a:round/>
      </a:ln>
    </cs:spPr>
  </cs:dataPointMarker>
  <cs:dataPointMarkerLayout symbol="circle" size="5"/>
  <cs:dataPointWirefram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50000"/>
        <a:lumOff val="50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75000"/>
            <a:lumOff val="2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75000"/>
            <a:lumOff val="2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75000"/>
            <a:lumOff val="25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50000"/>
        <a:lumOff val="50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prstDash val="dash"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400" kern="1200" cap="none" spc="20" baseline="0"/>
  </cs:title>
  <cs:trendline>
    <cs:lnRef idx="0">
      <cs:styleClr val="auto"/>
    </cs:lnRef>
    <cs:fillRef idx="2"/>
    <cs:effectRef idx="0"/>
    <cs:fontRef idx="minor">
      <a:schemeClr val="dk1"/>
    </cs:fontRef>
    <cs:spPr>
      <a:ln w="9525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50000"/>
        <a:lumOff val="50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0.02194</cdr:x>
      <cdr:y>0.06921</cdr:y>
    </cdr:from>
    <cdr:to>
      <cdr:x>0.11194</cdr:x>
      <cdr:y>0.1456</cdr:y>
    </cdr:to>
    <cdr:sp>
      <cdr:nvSpPr>
        <cdr:cNvPr id="2" name="矩形 1"/>
        <cdr:cNvSpPr/>
      </cdr:nvSpPr>
      <cdr:spPr xmlns:a="http://schemas.openxmlformats.org/drawingml/2006/main">
        <a:xfrm xmlns:a="http://schemas.openxmlformats.org/drawingml/2006/main">
          <a:off x="100330" y="189865"/>
          <a:ext cx="411480" cy="209550"/>
        </a:xfrm>
        <a:prstGeom xmlns:a="http://schemas.openxmlformats.org/drawingml/2006/main" prst="rect">
          <a:avLst/>
        </a:prstGeom>
      </cdr:spPr>
      <cdr:txBody xmlns:a="http://schemas.openxmlformats.org/drawingml/2006/main">
        <a:bodyPr vertOverflow="clip" horzOverflow="clip" vert="horz" wrap="square" lIns="45720" tIns="45720" rIns="45720" bIns="45720" rtlCol="0" anchor="t" anchorCtr="0">
          <a:normAutofit/>
        </a:bodyPr>
        <a:lstStyle/>
        <a:p>
          <a:endParaRPr lang="zh-CN" altLang="en-US"/>
        </a:p>
      </cdr:txBody>
    </cdr:sp>
  </cdr:relSizeAnchor>
</c:userShape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44546A"/>
    </a:dk2>
    <a:lt2>
      <a:srgbClr val="E7E6E6"/>
    </a:lt2>
    <a:accent1>
      <a:srgbClr val="5B9BD5"/>
    </a:accent1>
    <a:accent2>
      <a:srgbClr val="ED7D31"/>
    </a:accent2>
    <a:accent3>
      <a:srgbClr val="A5A5A5"/>
    </a:accent3>
    <a:accent4>
      <a:srgbClr val="FFC000"/>
    </a:accent4>
    <a:accent5>
      <a:srgbClr val="4472C4"/>
    </a:accent5>
    <a:accent6>
      <a:srgbClr val="70AD47"/>
    </a:accent6>
    <a:hlink>
      <a:srgbClr val="0563C1"/>
    </a:hlink>
    <a:folHlink>
      <a:srgbClr val="954F72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8</Pages>
  <Words>5605</Words>
  <Characters>7265</Characters>
  <Lines>54</Lines>
  <Paragraphs>15</Paragraphs>
  <TotalTime>1</TotalTime>
  <ScaleCrop>false</ScaleCrop>
  <LinksUpToDate>false</LinksUpToDate>
  <CharactersWithSpaces>7372</CharactersWithSpaces>
  <Application>WPS Office_11.1.0.10700_F1E327BC-269C-435d-A152-05C5408002CA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2021-03-22T01:48:00Z</dcterms:created>
  <dc:creator>tlp</dc:creator>
  <cp:lastModifiedBy>周莎</cp:lastModifiedBy>
  <cp:lastPrinted>2021-03-22T01:48:00Z</cp:lastPrinted>
  <dcterms:modified xsi:type="dcterms:W3CDTF">2021-09-19T08:44:52Z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F7C5CFFD1E0D4C8FAF16C3EEA785A6CE</vt:lpwstr>
  </property>
</Properties>
</file>