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C7C2" w14:textId="77777777" w:rsidR="00FA18EA" w:rsidRDefault="00FA18EA">
      <w:pPr>
        <w:spacing w:before="480" w:after="360"/>
        <w:jc w:val="center"/>
        <w:rPr>
          <w:rFonts w:ascii="Times New Roman" w:eastAsia="黑体" w:hAnsi="Times New Roman"/>
          <w:b/>
          <w:sz w:val="36"/>
          <w:lang w:eastAsia="zh-CN"/>
        </w:rPr>
      </w:pPr>
      <w:r>
        <w:rPr>
          <w:rFonts w:ascii="Times New Roman" w:eastAsia="黑体" w:hAnsi="Times New Roman"/>
          <w:b/>
          <w:noProof/>
          <w:sz w:val="36"/>
          <w:lang w:eastAsia="zh-CN"/>
        </w:rPr>
        <w:drawing>
          <wp:inline distT="0" distB="0" distL="0" distR="0" wp14:anchorId="669779BC" wp14:editId="19CBAD89">
            <wp:extent cx="3333750" cy="523875"/>
            <wp:effectExtent l="0" t="0" r="0" b="9525"/>
            <wp:docPr id="250781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0" cy="523875"/>
                    </a:xfrm>
                    <a:prstGeom prst="rect">
                      <a:avLst/>
                    </a:prstGeom>
                    <a:noFill/>
                    <a:ln>
                      <a:noFill/>
                    </a:ln>
                  </pic:spPr>
                </pic:pic>
              </a:graphicData>
            </a:graphic>
          </wp:inline>
        </w:drawing>
      </w:r>
    </w:p>
    <w:p w14:paraId="63C3F285" w14:textId="7EEC2790" w:rsidR="00FA18EA" w:rsidRDefault="00FA18EA">
      <w:pPr>
        <w:spacing w:before="480" w:after="360"/>
        <w:jc w:val="center"/>
        <w:rPr>
          <w:rFonts w:ascii="Times New Roman" w:eastAsia="黑体" w:hAnsi="Times New Roman"/>
          <w:b/>
          <w:sz w:val="36"/>
          <w:lang w:eastAsia="zh-CN"/>
        </w:rPr>
      </w:pPr>
      <w:r>
        <w:rPr>
          <w:rFonts w:ascii="Times New Roman" w:eastAsia="黑体" w:hAnsi="Times New Roman"/>
          <w:b/>
          <w:noProof/>
          <w:sz w:val="36"/>
          <w:lang w:eastAsia="zh-CN"/>
        </w:rPr>
        <w:drawing>
          <wp:inline distT="0" distB="0" distL="0" distR="0" wp14:anchorId="30CE0C77" wp14:editId="3ACAB90E">
            <wp:extent cx="5895975" cy="1919605"/>
            <wp:effectExtent l="0" t="0" r="9525" b="4445"/>
            <wp:docPr id="2001153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5975" cy="1919605"/>
                    </a:xfrm>
                    <a:prstGeom prst="rect">
                      <a:avLst/>
                    </a:prstGeom>
                    <a:noFill/>
                    <a:ln>
                      <a:noFill/>
                    </a:ln>
                  </pic:spPr>
                </pic:pic>
              </a:graphicData>
            </a:graphic>
          </wp:inline>
        </w:drawing>
      </w:r>
    </w:p>
    <w:p w14:paraId="0C40EC90" w14:textId="18D77634" w:rsidR="0092219B" w:rsidRDefault="004C70A9">
      <w:pPr>
        <w:spacing w:before="480" w:after="360"/>
        <w:jc w:val="center"/>
        <w:rPr>
          <w:lang w:eastAsia="zh-CN"/>
        </w:rPr>
      </w:pPr>
      <w:r>
        <w:rPr>
          <w:rFonts w:ascii="Times New Roman" w:eastAsia="黑体" w:hAnsi="Times New Roman"/>
          <w:b/>
          <w:sz w:val="36"/>
          <w:lang w:eastAsia="zh-CN"/>
        </w:rPr>
        <w:t>湖北省水泥行业碳成本传导及产业链协同减排效应研究方案</w:t>
      </w:r>
    </w:p>
    <w:p w14:paraId="0C40EC91" w14:textId="77777777" w:rsidR="0092219B" w:rsidRDefault="004C70A9">
      <w:pPr>
        <w:spacing w:before="160" w:after="80" w:line="288" w:lineRule="auto"/>
        <w:rPr>
          <w:lang w:eastAsia="zh-CN"/>
        </w:rPr>
      </w:pPr>
      <w:r>
        <w:rPr>
          <w:rFonts w:ascii="Times New Roman" w:eastAsia="黑体" w:hAnsi="Times New Roman"/>
          <w:b/>
          <w:sz w:val="30"/>
          <w:lang w:eastAsia="zh-CN"/>
        </w:rPr>
        <w:t>一、研究定位与总体目标</w:t>
      </w:r>
    </w:p>
    <w:p w14:paraId="0C40EC92"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t>本研究以湖北省水泥行业为唯一重点研究对象，围绕</w:t>
      </w:r>
      <w:r>
        <w:rPr>
          <w:rFonts w:ascii="Times New Roman" w:eastAsia="宋体" w:hAnsi="Times New Roman"/>
          <w:sz w:val="24"/>
          <w:lang w:eastAsia="zh-CN"/>
        </w:rPr>
        <w:t>“</w:t>
      </w:r>
      <w:r>
        <w:rPr>
          <w:rFonts w:ascii="Times New Roman" w:eastAsia="宋体" w:hAnsi="Times New Roman"/>
          <w:sz w:val="24"/>
          <w:lang w:eastAsia="zh-CN"/>
        </w:rPr>
        <w:t>行业特异性碳成本传导系数测算</w:t>
      </w:r>
      <w:r>
        <w:rPr>
          <w:rFonts w:ascii="Times New Roman" w:eastAsia="宋体" w:hAnsi="Times New Roman"/>
          <w:sz w:val="24"/>
          <w:lang w:eastAsia="zh-CN"/>
        </w:rPr>
        <w:t>”</w:t>
      </w:r>
      <w:r>
        <w:rPr>
          <w:rFonts w:ascii="Times New Roman" w:eastAsia="宋体" w:hAnsi="Times New Roman"/>
          <w:sz w:val="24"/>
          <w:lang w:eastAsia="zh-CN"/>
        </w:rPr>
        <w:t>和</w:t>
      </w:r>
      <w:r>
        <w:rPr>
          <w:rFonts w:ascii="Times New Roman" w:eastAsia="宋体" w:hAnsi="Times New Roman"/>
          <w:sz w:val="24"/>
          <w:lang w:eastAsia="zh-CN"/>
        </w:rPr>
        <w:t>“</w:t>
      </w:r>
      <w:r>
        <w:rPr>
          <w:rFonts w:ascii="Times New Roman" w:eastAsia="宋体" w:hAnsi="Times New Roman"/>
          <w:sz w:val="24"/>
          <w:lang w:eastAsia="zh-CN"/>
        </w:rPr>
        <w:t>产业链上下游减排协同效应量化</w:t>
      </w:r>
      <w:r>
        <w:rPr>
          <w:rFonts w:ascii="Times New Roman" w:eastAsia="宋体" w:hAnsi="Times New Roman"/>
          <w:sz w:val="24"/>
          <w:lang w:eastAsia="zh-CN"/>
        </w:rPr>
        <w:t>”</w:t>
      </w:r>
      <w:r>
        <w:rPr>
          <w:rFonts w:ascii="Times New Roman" w:eastAsia="宋体" w:hAnsi="Times New Roman"/>
          <w:sz w:val="24"/>
          <w:lang w:eastAsia="zh-CN"/>
        </w:rPr>
        <w:t>两个核心任务展开。在保证能够形成明确量化结果和政策解释的前提下，尽量压缩行业范围、地区范围、时间维度和方法数量，避免扩展为多行业、多区域或多方法并行研究。</w:t>
      </w:r>
    </w:p>
    <w:p w14:paraId="0C40EC93"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t>总体目标是：</w:t>
      </w:r>
      <w:r w:rsidRPr="006860B1">
        <w:rPr>
          <w:rFonts w:ascii="Times New Roman" w:eastAsia="宋体" w:hAnsi="Times New Roman"/>
          <w:b/>
          <w:bCs/>
          <w:color w:val="EE0000"/>
          <w:sz w:val="24"/>
          <w:lang w:eastAsia="zh-CN"/>
        </w:rPr>
        <w:t>构建一套适用于湖北省水泥行业的碳成本传导测算框架，识别水泥行业主要上下游产业关联，并通过情景模拟量化水泥行业直接减排以及由产业关联带来的间接减排和协同减排效应</w:t>
      </w:r>
      <w:r>
        <w:rPr>
          <w:rFonts w:ascii="Times New Roman" w:eastAsia="宋体" w:hAnsi="Times New Roman"/>
          <w:sz w:val="24"/>
          <w:lang w:eastAsia="zh-CN"/>
        </w:rPr>
        <w:t>。</w:t>
      </w:r>
    </w:p>
    <w:p w14:paraId="0C40EC94" w14:textId="77777777" w:rsidR="0092219B" w:rsidRDefault="004C70A9">
      <w:pPr>
        <w:spacing w:before="160" w:after="80" w:line="288" w:lineRule="auto"/>
        <w:rPr>
          <w:lang w:eastAsia="zh-CN"/>
        </w:rPr>
      </w:pPr>
      <w:r>
        <w:rPr>
          <w:rFonts w:ascii="Times New Roman" w:eastAsia="黑体" w:hAnsi="Times New Roman"/>
          <w:b/>
          <w:sz w:val="30"/>
          <w:lang w:eastAsia="zh-CN"/>
        </w:rPr>
        <w:t>二、核心研究内容</w:t>
      </w:r>
    </w:p>
    <w:p w14:paraId="0C40EC95" w14:textId="77777777" w:rsidR="0092219B" w:rsidRDefault="004C70A9">
      <w:pPr>
        <w:spacing w:before="80" w:after="80" w:line="288" w:lineRule="auto"/>
        <w:rPr>
          <w:lang w:eastAsia="zh-CN"/>
        </w:rPr>
      </w:pPr>
      <w:r>
        <w:rPr>
          <w:rFonts w:ascii="Times New Roman" w:eastAsia="黑体" w:hAnsi="Times New Roman"/>
          <w:b/>
          <w:sz w:val="26"/>
          <w:lang w:eastAsia="zh-CN"/>
        </w:rPr>
        <w:t>（一）湖北省水泥行业特异性碳成本传导系数测算</w:t>
      </w:r>
    </w:p>
    <w:p w14:paraId="0C40EC96"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t>结合湖北省水泥行业产量、价格、熟料系数、单位碳排放、能源成本和生产成本结构等参数，测算碳价变化对单位水泥碳成本、生产成本和产品价格的影响，并构建水泥行业碳成本传导系数。</w:t>
      </w:r>
    </w:p>
    <w:p w14:paraId="0C40EC97"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lastRenderedPageBreak/>
        <w:t>传导系数原则上采用</w:t>
      </w:r>
      <w:r>
        <w:rPr>
          <w:rFonts w:ascii="Times New Roman" w:eastAsia="宋体" w:hAnsi="Times New Roman"/>
          <w:sz w:val="24"/>
          <w:lang w:eastAsia="zh-CN"/>
        </w:rPr>
        <w:t>“</w:t>
      </w:r>
      <w:r>
        <w:rPr>
          <w:rFonts w:ascii="Times New Roman" w:eastAsia="宋体" w:hAnsi="Times New Roman"/>
          <w:sz w:val="24"/>
          <w:lang w:eastAsia="zh-CN"/>
        </w:rPr>
        <w:t>湖北实际数据</w:t>
      </w:r>
      <w:r>
        <w:rPr>
          <w:rFonts w:ascii="Times New Roman" w:eastAsia="宋体" w:hAnsi="Times New Roman"/>
          <w:sz w:val="24"/>
          <w:lang w:eastAsia="zh-CN"/>
        </w:rPr>
        <w:t xml:space="preserve"> + </w:t>
      </w:r>
      <w:r>
        <w:rPr>
          <w:rFonts w:ascii="Times New Roman" w:eastAsia="宋体" w:hAnsi="Times New Roman"/>
          <w:sz w:val="24"/>
          <w:lang w:eastAsia="zh-CN"/>
        </w:rPr>
        <w:t>国家官方参数</w:t>
      </w:r>
      <w:r>
        <w:rPr>
          <w:rFonts w:ascii="Times New Roman" w:eastAsia="宋体" w:hAnsi="Times New Roman"/>
          <w:sz w:val="24"/>
          <w:lang w:eastAsia="zh-CN"/>
        </w:rPr>
        <w:t xml:space="preserve"> + </w:t>
      </w:r>
      <w:r>
        <w:rPr>
          <w:rFonts w:ascii="Times New Roman" w:eastAsia="宋体" w:hAnsi="Times New Roman"/>
          <w:sz w:val="24"/>
          <w:lang w:eastAsia="zh-CN"/>
        </w:rPr>
        <w:t>权威行业资料</w:t>
      </w:r>
      <w:r>
        <w:rPr>
          <w:rFonts w:ascii="Times New Roman" w:eastAsia="宋体" w:hAnsi="Times New Roman"/>
          <w:sz w:val="24"/>
          <w:lang w:eastAsia="zh-CN"/>
        </w:rPr>
        <w:t>/</w:t>
      </w:r>
      <w:r>
        <w:rPr>
          <w:rFonts w:ascii="Times New Roman" w:eastAsia="宋体" w:hAnsi="Times New Roman"/>
          <w:sz w:val="24"/>
          <w:lang w:eastAsia="zh-CN"/>
        </w:rPr>
        <w:t>文献参数</w:t>
      </w:r>
      <w:r>
        <w:rPr>
          <w:rFonts w:ascii="Times New Roman" w:eastAsia="宋体" w:hAnsi="Times New Roman"/>
          <w:sz w:val="24"/>
          <w:lang w:eastAsia="zh-CN"/>
        </w:rPr>
        <w:t xml:space="preserve"> + </w:t>
      </w:r>
      <w:r>
        <w:rPr>
          <w:rFonts w:ascii="Times New Roman" w:eastAsia="宋体" w:hAnsi="Times New Roman"/>
          <w:sz w:val="24"/>
          <w:lang w:eastAsia="zh-CN"/>
        </w:rPr>
        <w:t>情景校准</w:t>
      </w:r>
      <w:r>
        <w:rPr>
          <w:rFonts w:ascii="Times New Roman" w:eastAsia="宋体" w:hAnsi="Times New Roman"/>
          <w:sz w:val="24"/>
          <w:lang w:eastAsia="zh-CN"/>
        </w:rPr>
        <w:t>”</w:t>
      </w:r>
      <w:r>
        <w:rPr>
          <w:rFonts w:ascii="Times New Roman" w:eastAsia="宋体" w:hAnsi="Times New Roman"/>
          <w:sz w:val="24"/>
          <w:lang w:eastAsia="zh-CN"/>
        </w:rPr>
        <w:t>的方式确定，不额外开展企业微观计量识别。可设置低、中、高碳成本传导率情景，以避免对单一参数值形成过强依赖。</w:t>
      </w:r>
    </w:p>
    <w:p w14:paraId="0C40EC98" w14:textId="77777777" w:rsidR="0092219B" w:rsidRDefault="004C70A9">
      <w:pPr>
        <w:spacing w:before="80" w:after="80" w:line="288" w:lineRule="auto"/>
        <w:rPr>
          <w:lang w:eastAsia="zh-CN"/>
        </w:rPr>
      </w:pPr>
      <w:r>
        <w:rPr>
          <w:rFonts w:ascii="Times New Roman" w:eastAsia="黑体" w:hAnsi="Times New Roman"/>
          <w:b/>
          <w:sz w:val="26"/>
          <w:lang w:eastAsia="zh-CN"/>
        </w:rPr>
        <w:t>（二）湖北省水泥产业链上下游关联识别</w:t>
      </w:r>
    </w:p>
    <w:p w14:paraId="0C40EC99"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t>采用一个可获得的湖北省投入产出基准年，构建直接消耗系数矩阵和完全消耗系数矩阵，识别水泥行业主要上游投入部门和下游需求部门。重点关注能源、原材料、运输、建筑等与水泥行业关联度较高的部门，并形成主要上下游关联行业清单。</w:t>
      </w:r>
    </w:p>
    <w:p w14:paraId="0C40EC9A"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t>研究仅识别湖北省内部行业关联，不进一步扩展到跨省多区域投入产出分析，也不进行复杂的完整产业链路径枚举。</w:t>
      </w:r>
    </w:p>
    <w:p w14:paraId="0C40EC9B" w14:textId="77777777" w:rsidR="0092219B" w:rsidRDefault="004C70A9">
      <w:pPr>
        <w:spacing w:before="80" w:after="80" w:line="288" w:lineRule="auto"/>
        <w:rPr>
          <w:lang w:eastAsia="zh-CN"/>
        </w:rPr>
      </w:pPr>
      <w:r>
        <w:rPr>
          <w:rFonts w:ascii="Times New Roman" w:eastAsia="黑体" w:hAnsi="Times New Roman"/>
          <w:b/>
          <w:sz w:val="26"/>
          <w:lang w:eastAsia="zh-CN"/>
        </w:rPr>
        <w:t>（三）水泥产业链上下游协同减排效应量化</w:t>
      </w:r>
    </w:p>
    <w:p w14:paraId="0C40EC9C"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t>设置不同水泥行业减排幅度和碳成本情景，分别测算水泥行业自身的直接减排、通过上游投入变化产生的间接减排，以及与下游需求关联产生的产业链减排效应。在此基础上计算产业链总减排效应和协同减排系数。</w:t>
      </w:r>
    </w:p>
    <w:p w14:paraId="0C40EC9D"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t>核心回答：湖北省水泥行</w:t>
      </w:r>
      <w:r w:rsidRPr="00325C11">
        <w:rPr>
          <w:rFonts w:ascii="Times New Roman" w:eastAsia="宋体" w:hAnsi="Times New Roman"/>
          <w:b/>
          <w:bCs/>
          <w:color w:val="EE0000"/>
          <w:sz w:val="24"/>
          <w:lang w:eastAsia="zh-CN"/>
        </w:rPr>
        <w:t>业每实现一定规模的直接减排，通过上下游产业关联还能额外带动多少减排，以及哪些关联行业对协同减排贡献较大</w:t>
      </w:r>
      <w:r>
        <w:rPr>
          <w:rFonts w:ascii="Times New Roman" w:eastAsia="宋体" w:hAnsi="Times New Roman"/>
          <w:sz w:val="24"/>
          <w:lang w:eastAsia="zh-CN"/>
        </w:rPr>
        <w:t>。</w:t>
      </w:r>
    </w:p>
    <w:p w14:paraId="0C40EC9E" w14:textId="77777777" w:rsidR="0092219B" w:rsidRDefault="004C70A9">
      <w:pPr>
        <w:spacing w:before="80" w:after="80" w:line="288" w:lineRule="auto"/>
        <w:rPr>
          <w:lang w:eastAsia="zh-CN"/>
        </w:rPr>
      </w:pPr>
      <w:r>
        <w:rPr>
          <w:rFonts w:ascii="Times New Roman" w:eastAsia="黑体" w:hAnsi="Times New Roman"/>
          <w:b/>
          <w:sz w:val="26"/>
          <w:lang w:eastAsia="zh-CN"/>
        </w:rPr>
        <w:t>（四）情景模拟与重点关联行业识别</w:t>
      </w:r>
    </w:p>
    <w:p w14:paraId="0C40EC9F"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t>采用少量但有代表性的情景组合，例如设置不同碳价、碳成本传导率和水泥行业减排幅度，形成情景矩阵。比较不同情景下水泥行业碳成本、产品价格变化和产业链协同减排效果，并识别协同减排贡献较高的主要上下游行业。</w:t>
      </w:r>
    </w:p>
    <w:p w14:paraId="0C40ECA0"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t>情景数量可以适度增加，但不增加新的行业、地区、年份或独立模型方法，以控制边际工作量。</w:t>
      </w:r>
    </w:p>
    <w:p w14:paraId="0C40ECA1" w14:textId="77777777" w:rsidR="0092219B" w:rsidRDefault="004C70A9">
      <w:pPr>
        <w:spacing w:before="160" w:after="80" w:line="288" w:lineRule="auto"/>
        <w:rPr>
          <w:lang w:eastAsia="zh-CN"/>
        </w:rPr>
      </w:pPr>
      <w:r>
        <w:rPr>
          <w:rFonts w:ascii="Times New Roman" w:eastAsia="黑体" w:hAnsi="Times New Roman"/>
          <w:b/>
          <w:sz w:val="30"/>
          <w:lang w:eastAsia="zh-CN"/>
        </w:rPr>
        <w:t>三、技术路线与方法</w:t>
      </w:r>
    </w:p>
    <w:p w14:paraId="0C40ECA2"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t>研究方法仅保留两类：一是水泥行业碳成本传导核算；二是湖北省单区域投入产出分析。</w:t>
      </w:r>
    </w:p>
    <w:p w14:paraId="0C40ECA3"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t>水泥碳成本传导的基本逻辑为：碳价变化</w:t>
      </w:r>
      <w:r>
        <w:rPr>
          <w:rFonts w:ascii="Times New Roman" w:eastAsia="宋体" w:hAnsi="Times New Roman"/>
          <w:sz w:val="24"/>
          <w:lang w:eastAsia="zh-CN"/>
        </w:rPr>
        <w:t xml:space="preserve"> → </w:t>
      </w:r>
      <w:r>
        <w:rPr>
          <w:rFonts w:ascii="Times New Roman" w:eastAsia="宋体" w:hAnsi="Times New Roman"/>
          <w:sz w:val="24"/>
          <w:lang w:eastAsia="zh-CN"/>
        </w:rPr>
        <w:t>单位碳成本变化</w:t>
      </w:r>
      <w:r>
        <w:rPr>
          <w:rFonts w:ascii="Times New Roman" w:eastAsia="宋体" w:hAnsi="Times New Roman"/>
          <w:sz w:val="24"/>
          <w:lang w:eastAsia="zh-CN"/>
        </w:rPr>
        <w:t xml:space="preserve"> → </w:t>
      </w:r>
      <w:r>
        <w:rPr>
          <w:rFonts w:ascii="Times New Roman" w:eastAsia="宋体" w:hAnsi="Times New Roman"/>
          <w:sz w:val="24"/>
          <w:lang w:eastAsia="zh-CN"/>
        </w:rPr>
        <w:t>生产成本变化</w:t>
      </w:r>
      <w:r>
        <w:rPr>
          <w:rFonts w:ascii="Times New Roman" w:eastAsia="宋体" w:hAnsi="Times New Roman"/>
          <w:sz w:val="24"/>
          <w:lang w:eastAsia="zh-CN"/>
        </w:rPr>
        <w:t xml:space="preserve"> → </w:t>
      </w:r>
      <w:r>
        <w:rPr>
          <w:rFonts w:ascii="Times New Roman" w:eastAsia="宋体" w:hAnsi="Times New Roman"/>
          <w:sz w:val="24"/>
          <w:lang w:eastAsia="zh-CN"/>
        </w:rPr>
        <w:t>产品价格变化；通过成本传导率参数刻画</w:t>
      </w:r>
      <w:r w:rsidRPr="00A1509A">
        <w:rPr>
          <w:rFonts w:ascii="Times New Roman" w:eastAsia="宋体" w:hAnsi="Times New Roman"/>
          <w:b/>
          <w:bCs/>
          <w:color w:val="EE0000"/>
          <w:sz w:val="24"/>
          <w:lang w:eastAsia="zh-CN"/>
        </w:rPr>
        <w:t>碳成本向产品价格的</w:t>
      </w:r>
      <w:r>
        <w:rPr>
          <w:rFonts w:ascii="Times New Roman" w:eastAsia="宋体" w:hAnsi="Times New Roman"/>
          <w:sz w:val="24"/>
          <w:lang w:eastAsia="zh-CN"/>
        </w:rPr>
        <w:t>转嫁程度。</w:t>
      </w:r>
    </w:p>
    <w:p w14:paraId="0C40ECA4"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lastRenderedPageBreak/>
        <w:t>产业链协同减排的基本逻辑为：基于湖北省投入产出表计算部门间直接和完全消耗关系，在给定水泥行业减排冲击后，测算其对主要上下游行业的间接排放影响，并形成直接减排、间接减排和总协同减排结果。</w:t>
      </w:r>
    </w:p>
    <w:p w14:paraId="0C40ECA5" w14:textId="77777777" w:rsidR="0092219B" w:rsidRDefault="004C70A9">
      <w:pPr>
        <w:spacing w:before="160" w:after="160"/>
        <w:jc w:val="center"/>
        <w:rPr>
          <w:lang w:eastAsia="zh-CN"/>
        </w:rPr>
      </w:pPr>
      <w:r>
        <w:rPr>
          <w:rFonts w:ascii="Times New Roman" w:eastAsia="楷体" w:hAnsi="Times New Roman"/>
          <w:b/>
          <w:sz w:val="24"/>
          <w:lang w:eastAsia="zh-CN"/>
        </w:rPr>
        <w:t>水泥行业基础数据</w:t>
      </w:r>
      <w:r>
        <w:rPr>
          <w:rFonts w:ascii="Times New Roman" w:eastAsia="楷体" w:hAnsi="Times New Roman"/>
          <w:b/>
          <w:sz w:val="24"/>
          <w:lang w:eastAsia="zh-CN"/>
        </w:rPr>
        <w:t xml:space="preserve"> → </w:t>
      </w:r>
      <w:r>
        <w:rPr>
          <w:rFonts w:ascii="Times New Roman" w:eastAsia="楷体" w:hAnsi="Times New Roman"/>
          <w:b/>
          <w:sz w:val="24"/>
          <w:lang w:eastAsia="zh-CN"/>
        </w:rPr>
        <w:t>碳成本传导系数</w:t>
      </w:r>
      <w:r>
        <w:rPr>
          <w:rFonts w:ascii="Times New Roman" w:eastAsia="楷体" w:hAnsi="Times New Roman"/>
          <w:b/>
          <w:sz w:val="24"/>
          <w:lang w:eastAsia="zh-CN"/>
        </w:rPr>
        <w:t xml:space="preserve"> → </w:t>
      </w:r>
      <w:r>
        <w:rPr>
          <w:rFonts w:ascii="Times New Roman" w:eastAsia="楷体" w:hAnsi="Times New Roman"/>
          <w:b/>
          <w:sz w:val="24"/>
          <w:lang w:eastAsia="zh-CN"/>
        </w:rPr>
        <w:t>湖北产业关联关系</w:t>
      </w:r>
      <w:r>
        <w:rPr>
          <w:rFonts w:ascii="Times New Roman" w:eastAsia="楷体" w:hAnsi="Times New Roman"/>
          <w:b/>
          <w:sz w:val="24"/>
          <w:lang w:eastAsia="zh-CN"/>
        </w:rPr>
        <w:t xml:space="preserve"> → </w:t>
      </w:r>
      <w:r>
        <w:rPr>
          <w:rFonts w:ascii="Times New Roman" w:eastAsia="楷体" w:hAnsi="Times New Roman"/>
          <w:b/>
          <w:sz w:val="24"/>
          <w:lang w:eastAsia="zh-CN"/>
        </w:rPr>
        <w:t>上下游间接影响</w:t>
      </w:r>
      <w:r>
        <w:rPr>
          <w:rFonts w:ascii="Times New Roman" w:eastAsia="楷体" w:hAnsi="Times New Roman"/>
          <w:b/>
          <w:sz w:val="24"/>
          <w:lang w:eastAsia="zh-CN"/>
        </w:rPr>
        <w:t xml:space="preserve"> → </w:t>
      </w:r>
      <w:r>
        <w:rPr>
          <w:rFonts w:ascii="Times New Roman" w:eastAsia="楷体" w:hAnsi="Times New Roman"/>
          <w:b/>
          <w:sz w:val="24"/>
          <w:lang w:eastAsia="zh-CN"/>
        </w:rPr>
        <w:t>协同减排效应</w:t>
      </w:r>
      <w:r>
        <w:rPr>
          <w:rFonts w:ascii="Times New Roman" w:eastAsia="楷体" w:hAnsi="Times New Roman"/>
          <w:b/>
          <w:sz w:val="24"/>
          <w:lang w:eastAsia="zh-CN"/>
        </w:rPr>
        <w:t xml:space="preserve"> → </w:t>
      </w:r>
      <w:r>
        <w:rPr>
          <w:rFonts w:ascii="Times New Roman" w:eastAsia="楷体" w:hAnsi="Times New Roman"/>
          <w:b/>
          <w:sz w:val="24"/>
          <w:lang w:eastAsia="zh-CN"/>
        </w:rPr>
        <w:t>情景比较</w:t>
      </w:r>
    </w:p>
    <w:p w14:paraId="0C40ECA6" w14:textId="77777777" w:rsidR="0092219B" w:rsidRDefault="004C70A9">
      <w:pPr>
        <w:spacing w:before="160" w:after="80" w:line="288" w:lineRule="auto"/>
      </w:pPr>
      <w:r>
        <w:rPr>
          <w:rFonts w:ascii="Times New Roman" w:eastAsia="黑体" w:hAnsi="Times New Roman"/>
          <w:b/>
          <w:sz w:val="30"/>
        </w:rPr>
        <w:t>四、最低数据需求</w:t>
      </w:r>
    </w:p>
    <w:tbl>
      <w:tblPr>
        <w:tblStyle w:val="af4"/>
        <w:tblW w:w="0" w:type="auto"/>
        <w:jc w:val="center"/>
        <w:tblLook w:val="04A0" w:firstRow="1" w:lastRow="0" w:firstColumn="1" w:lastColumn="0" w:noHBand="0" w:noVBand="1"/>
      </w:tblPr>
      <w:tblGrid>
        <w:gridCol w:w="3097"/>
        <w:gridCol w:w="3097"/>
        <w:gridCol w:w="3097"/>
      </w:tblGrid>
      <w:tr w:rsidR="0092219B" w14:paraId="0C40ECAA" w14:textId="77777777">
        <w:trPr>
          <w:jc w:val="center"/>
        </w:trPr>
        <w:tc>
          <w:tcPr>
            <w:tcW w:w="3097" w:type="dxa"/>
          </w:tcPr>
          <w:p w14:paraId="0C40ECA7" w14:textId="77777777" w:rsidR="0092219B" w:rsidRDefault="004C70A9">
            <w:pPr>
              <w:spacing w:after="0" w:line="240" w:lineRule="auto"/>
              <w:jc w:val="center"/>
            </w:pPr>
            <w:r>
              <w:rPr>
                <w:rFonts w:ascii="Times New Roman" w:eastAsia="黑体" w:hAnsi="Times New Roman"/>
                <w:b/>
                <w:sz w:val="21"/>
              </w:rPr>
              <w:t>数据类别</w:t>
            </w:r>
          </w:p>
        </w:tc>
        <w:tc>
          <w:tcPr>
            <w:tcW w:w="3097" w:type="dxa"/>
          </w:tcPr>
          <w:p w14:paraId="0C40ECA8" w14:textId="77777777" w:rsidR="0092219B" w:rsidRDefault="004C70A9">
            <w:pPr>
              <w:spacing w:after="0" w:line="240" w:lineRule="auto"/>
              <w:jc w:val="center"/>
            </w:pPr>
            <w:r>
              <w:rPr>
                <w:rFonts w:ascii="Times New Roman" w:eastAsia="黑体" w:hAnsi="Times New Roman"/>
                <w:b/>
                <w:sz w:val="21"/>
              </w:rPr>
              <w:t>用途及口径</w:t>
            </w:r>
          </w:p>
        </w:tc>
        <w:tc>
          <w:tcPr>
            <w:tcW w:w="3097" w:type="dxa"/>
          </w:tcPr>
          <w:p w14:paraId="0C40ECA9" w14:textId="77777777" w:rsidR="0092219B" w:rsidRDefault="004C70A9">
            <w:pPr>
              <w:spacing w:after="0" w:line="240" w:lineRule="auto"/>
              <w:jc w:val="center"/>
            </w:pPr>
            <w:r>
              <w:rPr>
                <w:rFonts w:ascii="Times New Roman" w:eastAsia="黑体" w:hAnsi="Times New Roman"/>
                <w:b/>
                <w:sz w:val="21"/>
              </w:rPr>
              <w:t>优先级</w:t>
            </w:r>
          </w:p>
        </w:tc>
      </w:tr>
      <w:tr w:rsidR="0092219B" w14:paraId="0C40ECAE" w14:textId="77777777">
        <w:trPr>
          <w:jc w:val="center"/>
        </w:trPr>
        <w:tc>
          <w:tcPr>
            <w:tcW w:w="3097" w:type="dxa"/>
            <w:vAlign w:val="center"/>
          </w:tcPr>
          <w:p w14:paraId="0C40ECAB" w14:textId="77777777" w:rsidR="0092219B" w:rsidRDefault="004C70A9">
            <w:pPr>
              <w:spacing w:after="0"/>
            </w:pPr>
            <w:r>
              <w:rPr>
                <w:rFonts w:ascii="Times New Roman" w:eastAsia="宋体" w:hAnsi="Times New Roman"/>
                <w:sz w:val="21"/>
              </w:rPr>
              <w:t>湖北省投入产出表</w:t>
            </w:r>
          </w:p>
        </w:tc>
        <w:tc>
          <w:tcPr>
            <w:tcW w:w="3097" w:type="dxa"/>
            <w:vAlign w:val="center"/>
          </w:tcPr>
          <w:p w14:paraId="0C40ECAC" w14:textId="77777777" w:rsidR="0092219B" w:rsidRDefault="004C70A9">
            <w:pPr>
              <w:spacing w:after="0"/>
              <w:rPr>
                <w:lang w:eastAsia="zh-CN"/>
              </w:rPr>
            </w:pPr>
            <w:r>
              <w:rPr>
                <w:rFonts w:ascii="Times New Roman" w:eastAsia="宋体" w:hAnsi="Times New Roman"/>
                <w:sz w:val="21"/>
                <w:lang w:eastAsia="zh-CN"/>
              </w:rPr>
              <w:t>一个基准年份，作为湖北产业关联结构底盘</w:t>
            </w:r>
          </w:p>
        </w:tc>
        <w:tc>
          <w:tcPr>
            <w:tcW w:w="3097" w:type="dxa"/>
            <w:vAlign w:val="center"/>
          </w:tcPr>
          <w:p w14:paraId="0C40ECAD" w14:textId="77777777" w:rsidR="0092219B" w:rsidRDefault="004C70A9">
            <w:pPr>
              <w:spacing w:after="0"/>
              <w:jc w:val="center"/>
            </w:pPr>
            <w:r>
              <w:rPr>
                <w:rFonts w:ascii="Times New Roman" w:eastAsia="宋体" w:hAnsi="Times New Roman"/>
                <w:sz w:val="21"/>
              </w:rPr>
              <w:t>必须</w:t>
            </w:r>
          </w:p>
        </w:tc>
      </w:tr>
      <w:tr w:rsidR="0092219B" w14:paraId="0C40ECB2" w14:textId="77777777">
        <w:trPr>
          <w:jc w:val="center"/>
        </w:trPr>
        <w:tc>
          <w:tcPr>
            <w:tcW w:w="3097" w:type="dxa"/>
            <w:vAlign w:val="center"/>
          </w:tcPr>
          <w:p w14:paraId="0C40ECAF" w14:textId="77777777" w:rsidR="0092219B" w:rsidRDefault="004C70A9">
            <w:pPr>
              <w:spacing w:after="0"/>
            </w:pPr>
            <w:r>
              <w:rPr>
                <w:rFonts w:ascii="Times New Roman" w:eastAsia="宋体" w:hAnsi="Times New Roman"/>
                <w:sz w:val="21"/>
              </w:rPr>
              <w:t>湖北省水泥产量</w:t>
            </w:r>
            <w:r>
              <w:rPr>
                <w:rFonts w:ascii="Times New Roman" w:eastAsia="宋体" w:hAnsi="Times New Roman"/>
                <w:sz w:val="21"/>
              </w:rPr>
              <w:t>/</w:t>
            </w:r>
            <w:r>
              <w:rPr>
                <w:rFonts w:ascii="Times New Roman" w:eastAsia="宋体" w:hAnsi="Times New Roman"/>
                <w:sz w:val="21"/>
              </w:rPr>
              <w:t>产值</w:t>
            </w:r>
          </w:p>
        </w:tc>
        <w:tc>
          <w:tcPr>
            <w:tcW w:w="3097" w:type="dxa"/>
            <w:vAlign w:val="center"/>
          </w:tcPr>
          <w:p w14:paraId="0C40ECB0" w14:textId="77777777" w:rsidR="0092219B" w:rsidRDefault="004C70A9">
            <w:pPr>
              <w:spacing w:after="0"/>
              <w:rPr>
                <w:lang w:eastAsia="zh-CN"/>
              </w:rPr>
            </w:pPr>
            <w:r>
              <w:rPr>
                <w:rFonts w:ascii="Times New Roman" w:eastAsia="宋体" w:hAnsi="Times New Roman"/>
                <w:sz w:val="21"/>
                <w:lang w:eastAsia="zh-CN"/>
              </w:rPr>
              <w:t>用于确定行业规模及情景测算</w:t>
            </w:r>
          </w:p>
        </w:tc>
        <w:tc>
          <w:tcPr>
            <w:tcW w:w="3097" w:type="dxa"/>
            <w:vAlign w:val="center"/>
          </w:tcPr>
          <w:p w14:paraId="0C40ECB1" w14:textId="77777777" w:rsidR="0092219B" w:rsidRDefault="004C70A9">
            <w:pPr>
              <w:spacing w:after="0"/>
              <w:jc w:val="center"/>
            </w:pPr>
            <w:r>
              <w:rPr>
                <w:rFonts w:ascii="Times New Roman" w:eastAsia="宋体" w:hAnsi="Times New Roman"/>
                <w:sz w:val="21"/>
              </w:rPr>
              <w:t>必须</w:t>
            </w:r>
          </w:p>
        </w:tc>
      </w:tr>
      <w:tr w:rsidR="0092219B" w14:paraId="0C40ECB6" w14:textId="77777777">
        <w:trPr>
          <w:jc w:val="center"/>
        </w:trPr>
        <w:tc>
          <w:tcPr>
            <w:tcW w:w="3097" w:type="dxa"/>
            <w:vAlign w:val="center"/>
          </w:tcPr>
          <w:p w14:paraId="0C40ECB3" w14:textId="77777777" w:rsidR="0092219B" w:rsidRDefault="004C70A9">
            <w:pPr>
              <w:spacing w:after="0"/>
            </w:pPr>
            <w:r>
              <w:rPr>
                <w:rFonts w:ascii="Times New Roman" w:eastAsia="宋体" w:hAnsi="Times New Roman"/>
                <w:sz w:val="21"/>
              </w:rPr>
              <w:t>湖北省水泥价格</w:t>
            </w:r>
          </w:p>
        </w:tc>
        <w:tc>
          <w:tcPr>
            <w:tcW w:w="3097" w:type="dxa"/>
            <w:vAlign w:val="center"/>
          </w:tcPr>
          <w:p w14:paraId="0C40ECB4" w14:textId="77777777" w:rsidR="0092219B" w:rsidRDefault="004C70A9">
            <w:pPr>
              <w:spacing w:after="0"/>
              <w:rPr>
                <w:lang w:eastAsia="zh-CN"/>
              </w:rPr>
            </w:pPr>
            <w:r>
              <w:rPr>
                <w:rFonts w:ascii="Times New Roman" w:eastAsia="宋体" w:hAnsi="Times New Roman"/>
                <w:sz w:val="21"/>
                <w:lang w:eastAsia="zh-CN"/>
              </w:rPr>
              <w:t>用于测算产品价格变化和成本传导</w:t>
            </w:r>
          </w:p>
        </w:tc>
        <w:tc>
          <w:tcPr>
            <w:tcW w:w="3097" w:type="dxa"/>
            <w:vAlign w:val="center"/>
          </w:tcPr>
          <w:p w14:paraId="0C40ECB5" w14:textId="77777777" w:rsidR="0092219B" w:rsidRDefault="004C70A9">
            <w:pPr>
              <w:spacing w:after="0"/>
              <w:jc w:val="center"/>
            </w:pPr>
            <w:r>
              <w:rPr>
                <w:rFonts w:ascii="Times New Roman" w:eastAsia="宋体" w:hAnsi="Times New Roman"/>
                <w:sz w:val="21"/>
              </w:rPr>
              <w:t>必须</w:t>
            </w:r>
          </w:p>
        </w:tc>
      </w:tr>
      <w:tr w:rsidR="0092219B" w14:paraId="0C40ECBA" w14:textId="77777777">
        <w:trPr>
          <w:jc w:val="center"/>
        </w:trPr>
        <w:tc>
          <w:tcPr>
            <w:tcW w:w="3097" w:type="dxa"/>
            <w:vAlign w:val="center"/>
          </w:tcPr>
          <w:p w14:paraId="0C40ECB7" w14:textId="77777777" w:rsidR="0092219B" w:rsidRDefault="004C70A9">
            <w:pPr>
              <w:spacing w:after="0"/>
            </w:pPr>
            <w:r>
              <w:rPr>
                <w:rFonts w:ascii="Times New Roman" w:eastAsia="宋体" w:hAnsi="Times New Roman"/>
                <w:sz w:val="21"/>
              </w:rPr>
              <w:t>熟料产量或熟料系数</w:t>
            </w:r>
          </w:p>
        </w:tc>
        <w:tc>
          <w:tcPr>
            <w:tcW w:w="3097" w:type="dxa"/>
            <w:vAlign w:val="center"/>
          </w:tcPr>
          <w:p w14:paraId="0C40ECB8" w14:textId="77777777" w:rsidR="0092219B" w:rsidRDefault="004C70A9">
            <w:pPr>
              <w:spacing w:after="0"/>
              <w:rPr>
                <w:lang w:eastAsia="zh-CN"/>
              </w:rPr>
            </w:pPr>
            <w:r>
              <w:rPr>
                <w:rFonts w:ascii="Times New Roman" w:eastAsia="宋体" w:hAnsi="Times New Roman"/>
                <w:sz w:val="21"/>
                <w:lang w:eastAsia="zh-CN"/>
              </w:rPr>
              <w:t>优先采用湖北数据，缺失时可用权威行业参数</w:t>
            </w:r>
          </w:p>
        </w:tc>
        <w:tc>
          <w:tcPr>
            <w:tcW w:w="3097" w:type="dxa"/>
            <w:vAlign w:val="center"/>
          </w:tcPr>
          <w:p w14:paraId="0C40ECB9" w14:textId="77777777" w:rsidR="0092219B" w:rsidRDefault="004C70A9">
            <w:pPr>
              <w:spacing w:after="0"/>
              <w:jc w:val="center"/>
            </w:pPr>
            <w:r>
              <w:rPr>
                <w:rFonts w:ascii="Times New Roman" w:eastAsia="宋体" w:hAnsi="Times New Roman"/>
                <w:sz w:val="21"/>
              </w:rPr>
              <w:t>建议</w:t>
            </w:r>
          </w:p>
        </w:tc>
      </w:tr>
      <w:tr w:rsidR="0092219B" w14:paraId="0C40ECBE" w14:textId="77777777">
        <w:trPr>
          <w:jc w:val="center"/>
        </w:trPr>
        <w:tc>
          <w:tcPr>
            <w:tcW w:w="3097" w:type="dxa"/>
            <w:vAlign w:val="center"/>
          </w:tcPr>
          <w:p w14:paraId="0C40ECBB" w14:textId="77777777" w:rsidR="0092219B" w:rsidRDefault="004C70A9">
            <w:pPr>
              <w:spacing w:after="0"/>
            </w:pPr>
            <w:r>
              <w:rPr>
                <w:rFonts w:ascii="Times New Roman" w:eastAsia="宋体" w:hAnsi="Times New Roman"/>
                <w:sz w:val="21"/>
              </w:rPr>
              <w:t>单位碳排放</w:t>
            </w:r>
            <w:r>
              <w:rPr>
                <w:rFonts w:ascii="Times New Roman" w:eastAsia="宋体" w:hAnsi="Times New Roman"/>
                <w:sz w:val="21"/>
              </w:rPr>
              <w:t>/</w:t>
            </w:r>
            <w:r>
              <w:rPr>
                <w:rFonts w:ascii="Times New Roman" w:eastAsia="宋体" w:hAnsi="Times New Roman"/>
                <w:sz w:val="21"/>
              </w:rPr>
              <w:t>排放因子</w:t>
            </w:r>
          </w:p>
        </w:tc>
        <w:tc>
          <w:tcPr>
            <w:tcW w:w="3097" w:type="dxa"/>
            <w:vAlign w:val="center"/>
          </w:tcPr>
          <w:p w14:paraId="0C40ECBC" w14:textId="77777777" w:rsidR="0092219B" w:rsidRDefault="004C70A9">
            <w:pPr>
              <w:spacing w:after="0"/>
              <w:rPr>
                <w:lang w:eastAsia="zh-CN"/>
              </w:rPr>
            </w:pPr>
            <w:r>
              <w:rPr>
                <w:rFonts w:ascii="Times New Roman" w:eastAsia="宋体" w:hAnsi="Times New Roman"/>
                <w:sz w:val="21"/>
                <w:lang w:eastAsia="zh-CN"/>
              </w:rPr>
              <w:t>可采用国家官方核算指南或权威行业参数</w:t>
            </w:r>
          </w:p>
        </w:tc>
        <w:tc>
          <w:tcPr>
            <w:tcW w:w="3097" w:type="dxa"/>
            <w:vAlign w:val="center"/>
          </w:tcPr>
          <w:p w14:paraId="0C40ECBD" w14:textId="77777777" w:rsidR="0092219B" w:rsidRDefault="004C70A9">
            <w:pPr>
              <w:spacing w:after="0"/>
              <w:jc w:val="center"/>
            </w:pPr>
            <w:r>
              <w:rPr>
                <w:rFonts w:ascii="Times New Roman" w:eastAsia="宋体" w:hAnsi="Times New Roman"/>
                <w:sz w:val="21"/>
              </w:rPr>
              <w:t>必须</w:t>
            </w:r>
          </w:p>
        </w:tc>
      </w:tr>
      <w:tr w:rsidR="0092219B" w14:paraId="0C40ECC2" w14:textId="77777777">
        <w:trPr>
          <w:jc w:val="center"/>
        </w:trPr>
        <w:tc>
          <w:tcPr>
            <w:tcW w:w="3097" w:type="dxa"/>
            <w:vAlign w:val="center"/>
          </w:tcPr>
          <w:p w14:paraId="0C40ECBF" w14:textId="77777777" w:rsidR="0092219B" w:rsidRDefault="004C70A9">
            <w:pPr>
              <w:spacing w:after="0"/>
            </w:pPr>
            <w:r>
              <w:rPr>
                <w:rFonts w:ascii="Times New Roman" w:eastAsia="宋体" w:hAnsi="Times New Roman"/>
                <w:sz w:val="21"/>
              </w:rPr>
              <w:t>水泥生产成本结构</w:t>
            </w:r>
          </w:p>
        </w:tc>
        <w:tc>
          <w:tcPr>
            <w:tcW w:w="3097" w:type="dxa"/>
            <w:vAlign w:val="center"/>
          </w:tcPr>
          <w:p w14:paraId="0C40ECC0" w14:textId="77777777" w:rsidR="0092219B" w:rsidRDefault="004C70A9">
            <w:pPr>
              <w:spacing w:after="0"/>
              <w:rPr>
                <w:lang w:eastAsia="zh-CN"/>
              </w:rPr>
            </w:pPr>
            <w:r>
              <w:rPr>
                <w:rFonts w:ascii="Times New Roman" w:eastAsia="宋体" w:hAnsi="Times New Roman"/>
                <w:sz w:val="21"/>
                <w:lang w:eastAsia="zh-CN"/>
              </w:rPr>
              <w:t>可采用行业报告、上市公司或权威文献参数校准</w:t>
            </w:r>
          </w:p>
        </w:tc>
        <w:tc>
          <w:tcPr>
            <w:tcW w:w="3097" w:type="dxa"/>
            <w:vAlign w:val="center"/>
          </w:tcPr>
          <w:p w14:paraId="0C40ECC1" w14:textId="77777777" w:rsidR="0092219B" w:rsidRDefault="004C70A9">
            <w:pPr>
              <w:spacing w:after="0"/>
              <w:jc w:val="center"/>
            </w:pPr>
            <w:r>
              <w:rPr>
                <w:rFonts w:ascii="Times New Roman" w:eastAsia="宋体" w:hAnsi="Times New Roman"/>
                <w:sz w:val="21"/>
              </w:rPr>
              <w:t>必须</w:t>
            </w:r>
          </w:p>
        </w:tc>
      </w:tr>
      <w:tr w:rsidR="0092219B" w14:paraId="0C40ECC6" w14:textId="77777777">
        <w:trPr>
          <w:jc w:val="center"/>
        </w:trPr>
        <w:tc>
          <w:tcPr>
            <w:tcW w:w="3097" w:type="dxa"/>
            <w:vAlign w:val="center"/>
          </w:tcPr>
          <w:p w14:paraId="0C40ECC3" w14:textId="77777777" w:rsidR="0092219B" w:rsidRDefault="004C70A9">
            <w:pPr>
              <w:spacing w:after="0"/>
            </w:pPr>
            <w:r>
              <w:rPr>
                <w:rFonts w:ascii="Times New Roman" w:eastAsia="宋体" w:hAnsi="Times New Roman"/>
                <w:sz w:val="21"/>
              </w:rPr>
              <w:t>煤、电等能源参数</w:t>
            </w:r>
          </w:p>
        </w:tc>
        <w:tc>
          <w:tcPr>
            <w:tcW w:w="3097" w:type="dxa"/>
            <w:vAlign w:val="center"/>
          </w:tcPr>
          <w:p w14:paraId="0C40ECC4" w14:textId="77777777" w:rsidR="0092219B" w:rsidRDefault="004C70A9">
            <w:pPr>
              <w:spacing w:after="0"/>
              <w:rPr>
                <w:lang w:eastAsia="zh-CN"/>
              </w:rPr>
            </w:pPr>
            <w:r>
              <w:rPr>
                <w:rFonts w:ascii="Times New Roman" w:eastAsia="宋体" w:hAnsi="Times New Roman"/>
                <w:sz w:val="21"/>
                <w:lang w:eastAsia="zh-CN"/>
              </w:rPr>
              <w:t>用于必要的行业特异性修正</w:t>
            </w:r>
          </w:p>
        </w:tc>
        <w:tc>
          <w:tcPr>
            <w:tcW w:w="3097" w:type="dxa"/>
            <w:vAlign w:val="center"/>
          </w:tcPr>
          <w:p w14:paraId="0C40ECC5" w14:textId="77777777" w:rsidR="0092219B" w:rsidRDefault="004C70A9">
            <w:pPr>
              <w:spacing w:after="0"/>
              <w:jc w:val="center"/>
            </w:pPr>
            <w:r>
              <w:rPr>
                <w:rFonts w:ascii="Times New Roman" w:eastAsia="宋体" w:hAnsi="Times New Roman"/>
                <w:sz w:val="21"/>
              </w:rPr>
              <w:t>建议</w:t>
            </w:r>
          </w:p>
        </w:tc>
      </w:tr>
      <w:tr w:rsidR="0092219B" w14:paraId="0C40ECCA" w14:textId="77777777">
        <w:trPr>
          <w:jc w:val="center"/>
        </w:trPr>
        <w:tc>
          <w:tcPr>
            <w:tcW w:w="3097" w:type="dxa"/>
            <w:vAlign w:val="center"/>
          </w:tcPr>
          <w:p w14:paraId="0C40ECC7" w14:textId="77777777" w:rsidR="0092219B" w:rsidRDefault="004C70A9">
            <w:pPr>
              <w:spacing w:after="0"/>
            </w:pPr>
            <w:r>
              <w:rPr>
                <w:rFonts w:ascii="Times New Roman" w:eastAsia="宋体" w:hAnsi="Times New Roman"/>
                <w:sz w:val="21"/>
              </w:rPr>
              <w:t>碳价与减排幅度</w:t>
            </w:r>
          </w:p>
        </w:tc>
        <w:tc>
          <w:tcPr>
            <w:tcW w:w="3097" w:type="dxa"/>
            <w:vAlign w:val="center"/>
          </w:tcPr>
          <w:p w14:paraId="0C40ECC8" w14:textId="77777777" w:rsidR="0092219B" w:rsidRDefault="004C70A9">
            <w:pPr>
              <w:spacing w:after="0"/>
              <w:rPr>
                <w:lang w:eastAsia="zh-CN"/>
              </w:rPr>
            </w:pPr>
            <w:r>
              <w:rPr>
                <w:rFonts w:ascii="Times New Roman" w:eastAsia="宋体" w:hAnsi="Times New Roman"/>
                <w:sz w:val="21"/>
                <w:lang w:eastAsia="zh-CN"/>
              </w:rPr>
              <w:t>作为政策情景参数设置</w:t>
            </w:r>
          </w:p>
        </w:tc>
        <w:tc>
          <w:tcPr>
            <w:tcW w:w="3097" w:type="dxa"/>
            <w:vAlign w:val="center"/>
          </w:tcPr>
          <w:p w14:paraId="0C40ECC9" w14:textId="77777777" w:rsidR="0092219B" w:rsidRDefault="004C70A9">
            <w:pPr>
              <w:spacing w:after="0"/>
              <w:jc w:val="center"/>
            </w:pPr>
            <w:r>
              <w:rPr>
                <w:rFonts w:ascii="Times New Roman" w:eastAsia="宋体" w:hAnsi="Times New Roman"/>
                <w:sz w:val="21"/>
              </w:rPr>
              <w:t>情景设定</w:t>
            </w:r>
          </w:p>
        </w:tc>
      </w:tr>
    </w:tbl>
    <w:p w14:paraId="0C40ECCB" w14:textId="77777777" w:rsidR="0092219B" w:rsidRDefault="0092219B">
      <w:pPr>
        <w:spacing w:after="0" w:line="360" w:lineRule="auto"/>
        <w:ind w:firstLine="420"/>
        <w:jc w:val="both"/>
        <w:rPr>
          <w:rFonts w:ascii="Times New Roman" w:eastAsia="宋体" w:hAnsi="Times New Roman"/>
          <w:sz w:val="24"/>
        </w:rPr>
      </w:pPr>
    </w:p>
    <w:p w14:paraId="0C40ECCC"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t>数据使用遵循</w:t>
      </w:r>
      <w:r>
        <w:rPr>
          <w:rFonts w:ascii="Times New Roman" w:eastAsia="宋体" w:hAnsi="Times New Roman"/>
          <w:sz w:val="24"/>
          <w:lang w:eastAsia="zh-CN"/>
        </w:rPr>
        <w:t>“</w:t>
      </w:r>
      <w:r>
        <w:rPr>
          <w:rFonts w:ascii="Times New Roman" w:eastAsia="宋体" w:hAnsi="Times New Roman"/>
          <w:sz w:val="24"/>
          <w:lang w:eastAsia="zh-CN"/>
        </w:rPr>
        <w:t>湖北实际数据为主、全国官方或行业参数校准为辅</w:t>
      </w:r>
      <w:r>
        <w:rPr>
          <w:rFonts w:ascii="Times New Roman" w:eastAsia="宋体" w:hAnsi="Times New Roman"/>
          <w:sz w:val="24"/>
          <w:lang w:eastAsia="zh-CN"/>
        </w:rPr>
        <w:t>”</w:t>
      </w:r>
      <w:r>
        <w:rPr>
          <w:rFonts w:ascii="Times New Roman" w:eastAsia="宋体" w:hAnsi="Times New Roman"/>
          <w:sz w:val="24"/>
          <w:lang w:eastAsia="zh-CN"/>
        </w:rPr>
        <w:t>的原则。投入产出关系、行业规模和价格尽量采用湖北数据；排放因子、熟料系数和部分成本结构如湖北数据缺失，可采用国家官方口径、行业协会资料和权威文献参数进行校准。</w:t>
      </w:r>
    </w:p>
    <w:p w14:paraId="0C40ECCD" w14:textId="77777777" w:rsidR="0092219B" w:rsidRDefault="004C70A9">
      <w:pPr>
        <w:spacing w:before="160" w:after="80" w:line="288" w:lineRule="auto"/>
        <w:rPr>
          <w:lang w:eastAsia="zh-CN"/>
        </w:rPr>
      </w:pPr>
      <w:r>
        <w:rPr>
          <w:rFonts w:ascii="Times New Roman" w:eastAsia="黑体" w:hAnsi="Times New Roman"/>
          <w:b/>
          <w:sz w:val="30"/>
          <w:lang w:eastAsia="zh-CN"/>
        </w:rPr>
        <w:t>五、成果形式</w:t>
      </w:r>
    </w:p>
    <w:p w14:paraId="0C40ECCE" w14:textId="77777777" w:rsidR="0092219B" w:rsidRDefault="004C70A9">
      <w:pPr>
        <w:spacing w:after="0" w:line="360" w:lineRule="auto"/>
        <w:ind w:left="420"/>
        <w:jc w:val="both"/>
        <w:rPr>
          <w:lang w:eastAsia="zh-CN"/>
        </w:rPr>
      </w:pPr>
      <w:r>
        <w:rPr>
          <w:rFonts w:ascii="Times New Roman" w:eastAsia="宋体" w:hAnsi="Times New Roman"/>
          <w:sz w:val="24"/>
          <w:lang w:eastAsia="zh-CN"/>
        </w:rPr>
        <w:t xml:space="preserve">1. </w:t>
      </w:r>
      <w:r>
        <w:rPr>
          <w:rFonts w:ascii="Times New Roman" w:eastAsia="宋体" w:hAnsi="Times New Roman"/>
          <w:sz w:val="24"/>
          <w:lang w:eastAsia="zh-CN"/>
        </w:rPr>
        <w:t>水泥行业特异性碳成本传导系数测算方法及情景结果；</w:t>
      </w:r>
    </w:p>
    <w:p w14:paraId="0C40ECCF" w14:textId="77777777" w:rsidR="0092219B" w:rsidRDefault="004C70A9">
      <w:pPr>
        <w:spacing w:after="0" w:line="360" w:lineRule="auto"/>
        <w:ind w:left="420"/>
        <w:jc w:val="both"/>
        <w:rPr>
          <w:lang w:eastAsia="zh-CN"/>
        </w:rPr>
      </w:pPr>
      <w:r>
        <w:rPr>
          <w:rFonts w:ascii="Times New Roman" w:eastAsia="宋体" w:hAnsi="Times New Roman"/>
          <w:sz w:val="24"/>
          <w:lang w:eastAsia="zh-CN"/>
        </w:rPr>
        <w:t xml:space="preserve">2. </w:t>
      </w:r>
      <w:r>
        <w:rPr>
          <w:rFonts w:ascii="Times New Roman" w:eastAsia="宋体" w:hAnsi="Times New Roman"/>
          <w:sz w:val="24"/>
          <w:lang w:eastAsia="zh-CN"/>
        </w:rPr>
        <w:t>湖北省水泥行业主要上下游产业关联识别结果；</w:t>
      </w:r>
    </w:p>
    <w:p w14:paraId="0C40ECD0" w14:textId="77777777" w:rsidR="0092219B" w:rsidRDefault="004C70A9">
      <w:pPr>
        <w:spacing w:after="0" w:line="360" w:lineRule="auto"/>
        <w:ind w:left="420"/>
        <w:jc w:val="both"/>
        <w:rPr>
          <w:lang w:eastAsia="zh-CN"/>
        </w:rPr>
      </w:pPr>
      <w:r>
        <w:rPr>
          <w:rFonts w:ascii="Times New Roman" w:eastAsia="宋体" w:hAnsi="Times New Roman"/>
          <w:sz w:val="24"/>
          <w:lang w:eastAsia="zh-CN"/>
        </w:rPr>
        <w:t xml:space="preserve">3. </w:t>
      </w:r>
      <w:r>
        <w:rPr>
          <w:rFonts w:ascii="Times New Roman" w:eastAsia="宋体" w:hAnsi="Times New Roman"/>
          <w:sz w:val="24"/>
          <w:lang w:eastAsia="zh-CN"/>
        </w:rPr>
        <w:t>不同情景下直接减排、间接减排、总协同减排及重点关联行业结果图表；</w:t>
      </w:r>
    </w:p>
    <w:p w14:paraId="0C40ECD1" w14:textId="77777777" w:rsidR="0092219B" w:rsidRDefault="004C70A9">
      <w:pPr>
        <w:spacing w:after="0" w:line="360" w:lineRule="auto"/>
        <w:ind w:left="420"/>
        <w:jc w:val="both"/>
        <w:rPr>
          <w:lang w:eastAsia="zh-CN"/>
        </w:rPr>
      </w:pPr>
      <w:r>
        <w:rPr>
          <w:rFonts w:ascii="Times New Roman" w:eastAsia="宋体" w:hAnsi="Times New Roman"/>
          <w:sz w:val="24"/>
          <w:lang w:eastAsia="zh-CN"/>
        </w:rPr>
        <w:t xml:space="preserve">4. </w:t>
      </w:r>
      <w:r>
        <w:rPr>
          <w:rFonts w:ascii="Times New Roman" w:eastAsia="宋体" w:hAnsi="Times New Roman"/>
          <w:sz w:val="24"/>
          <w:lang w:eastAsia="zh-CN"/>
        </w:rPr>
        <w:t>对应研究报告正文、方法说明和政策分析。</w:t>
      </w:r>
    </w:p>
    <w:p w14:paraId="0C40ECD2" w14:textId="77777777" w:rsidR="0092219B" w:rsidRDefault="004C70A9">
      <w:pPr>
        <w:spacing w:before="160" w:after="80" w:line="288" w:lineRule="auto"/>
        <w:rPr>
          <w:lang w:eastAsia="zh-CN"/>
        </w:rPr>
      </w:pPr>
      <w:r>
        <w:rPr>
          <w:rFonts w:ascii="Times New Roman" w:eastAsia="黑体" w:hAnsi="Times New Roman"/>
          <w:b/>
          <w:sz w:val="30"/>
          <w:lang w:eastAsia="zh-CN"/>
        </w:rPr>
        <w:t>六、工作边界</w:t>
      </w:r>
    </w:p>
    <w:p w14:paraId="0C40ECD3" w14:textId="77777777" w:rsidR="0092219B" w:rsidRDefault="004C70A9">
      <w:pPr>
        <w:spacing w:after="0" w:line="360" w:lineRule="auto"/>
        <w:ind w:firstLine="420"/>
        <w:jc w:val="both"/>
        <w:rPr>
          <w:lang w:eastAsia="zh-CN"/>
        </w:rPr>
      </w:pPr>
      <w:r>
        <w:rPr>
          <w:rFonts w:ascii="Times New Roman" w:eastAsia="宋体" w:hAnsi="Times New Roman"/>
          <w:sz w:val="24"/>
          <w:lang w:eastAsia="zh-CN"/>
        </w:rPr>
        <w:lastRenderedPageBreak/>
        <w:t>本阶段研究对象限定为</w:t>
      </w:r>
      <w:r>
        <w:rPr>
          <w:rFonts w:ascii="Times New Roman" w:eastAsia="宋体" w:hAnsi="Times New Roman"/>
          <w:sz w:val="24"/>
          <w:lang w:eastAsia="zh-CN"/>
        </w:rPr>
        <w:t>“</w:t>
      </w:r>
      <w:r>
        <w:rPr>
          <w:rFonts w:ascii="Times New Roman" w:eastAsia="宋体" w:hAnsi="Times New Roman"/>
          <w:sz w:val="24"/>
          <w:lang w:eastAsia="zh-CN"/>
        </w:rPr>
        <w:t>湖北省</w:t>
      </w:r>
      <w:r>
        <w:rPr>
          <w:rFonts w:ascii="Times New Roman" w:eastAsia="宋体" w:hAnsi="Times New Roman"/>
          <w:sz w:val="24"/>
          <w:lang w:eastAsia="zh-CN"/>
        </w:rPr>
        <w:t xml:space="preserve"> + </w:t>
      </w:r>
      <w:r>
        <w:rPr>
          <w:rFonts w:ascii="Times New Roman" w:eastAsia="宋体" w:hAnsi="Times New Roman"/>
          <w:sz w:val="24"/>
          <w:lang w:eastAsia="zh-CN"/>
        </w:rPr>
        <w:t>水泥行业</w:t>
      </w:r>
      <w:r>
        <w:rPr>
          <w:rFonts w:ascii="Times New Roman" w:eastAsia="宋体" w:hAnsi="Times New Roman"/>
          <w:sz w:val="24"/>
          <w:lang w:eastAsia="zh-CN"/>
        </w:rPr>
        <w:t xml:space="preserve"> + </w:t>
      </w:r>
      <w:r>
        <w:rPr>
          <w:rFonts w:ascii="Times New Roman" w:eastAsia="宋体" w:hAnsi="Times New Roman"/>
          <w:sz w:val="24"/>
          <w:lang w:eastAsia="zh-CN"/>
        </w:rPr>
        <w:t>一个投入产出基准年</w:t>
      </w:r>
      <w:r>
        <w:rPr>
          <w:rFonts w:ascii="Times New Roman" w:eastAsia="宋体" w:hAnsi="Times New Roman"/>
          <w:sz w:val="24"/>
          <w:lang w:eastAsia="zh-CN"/>
        </w:rPr>
        <w:t xml:space="preserve"> + </w:t>
      </w:r>
      <w:r>
        <w:rPr>
          <w:rFonts w:ascii="Times New Roman" w:eastAsia="宋体" w:hAnsi="Times New Roman"/>
          <w:sz w:val="24"/>
          <w:lang w:eastAsia="zh-CN"/>
        </w:rPr>
        <w:t>情景模拟</w:t>
      </w:r>
      <w:r>
        <w:rPr>
          <w:rFonts w:ascii="Times New Roman" w:eastAsia="宋体" w:hAnsi="Times New Roman"/>
          <w:sz w:val="24"/>
          <w:lang w:eastAsia="zh-CN"/>
        </w:rPr>
        <w:t>”</w:t>
      </w:r>
      <w:r>
        <w:rPr>
          <w:rFonts w:ascii="Times New Roman" w:eastAsia="宋体" w:hAnsi="Times New Roman"/>
          <w:sz w:val="24"/>
          <w:lang w:eastAsia="zh-CN"/>
        </w:rPr>
        <w:t>。研究内容仅包括水泥行业特异性碳成本传导系数测算和产业链上下游协同减排效应量化。</w:t>
      </w:r>
    </w:p>
    <w:p w14:paraId="0C40ECD4" w14:textId="77777777" w:rsidR="0092219B" w:rsidRDefault="004C70A9">
      <w:pPr>
        <w:spacing w:after="0" w:line="360" w:lineRule="auto"/>
        <w:ind w:firstLine="420"/>
        <w:jc w:val="both"/>
        <w:rPr>
          <w:color w:val="FF0000"/>
          <w:lang w:eastAsia="zh-CN"/>
        </w:rPr>
      </w:pPr>
      <w:r>
        <w:rPr>
          <w:rFonts w:ascii="Times New Roman" w:eastAsia="宋体" w:hAnsi="Times New Roman"/>
          <w:color w:val="FF0000"/>
          <w:sz w:val="24"/>
          <w:lang w:eastAsia="zh-CN"/>
        </w:rPr>
        <w:t>原则上</w:t>
      </w:r>
      <w:r w:rsidRPr="00DF33A4">
        <w:rPr>
          <w:rFonts w:ascii="Times New Roman" w:eastAsia="宋体" w:hAnsi="Times New Roman"/>
          <w:color w:val="FF0000"/>
          <w:sz w:val="24"/>
          <w:highlight w:val="yellow"/>
          <w:lang w:eastAsia="zh-CN"/>
        </w:rPr>
        <w:t>不包括</w:t>
      </w:r>
      <w:r>
        <w:rPr>
          <w:rFonts w:ascii="Times New Roman" w:eastAsia="宋体" w:hAnsi="Times New Roman"/>
          <w:color w:val="FF0000"/>
          <w:sz w:val="24"/>
          <w:lang w:eastAsia="zh-CN"/>
        </w:rPr>
        <w:t>：钢铁、铝冶炼等其他行业扩展；跨省多区域</w:t>
      </w:r>
      <w:r>
        <w:rPr>
          <w:rFonts w:ascii="Times New Roman" w:eastAsia="宋体" w:hAnsi="Times New Roman"/>
          <w:color w:val="FF0000"/>
          <w:sz w:val="24"/>
          <w:lang w:eastAsia="zh-CN"/>
        </w:rPr>
        <w:t>MRIO</w:t>
      </w:r>
      <w:r>
        <w:rPr>
          <w:rFonts w:ascii="Times New Roman" w:eastAsia="宋体" w:hAnsi="Times New Roman"/>
          <w:color w:val="FF0000"/>
          <w:sz w:val="24"/>
          <w:lang w:eastAsia="zh-CN"/>
        </w:rPr>
        <w:t>；企业微观计量识别；完整</w:t>
      </w:r>
      <w:r>
        <w:rPr>
          <w:rFonts w:ascii="Times New Roman" w:eastAsia="宋体" w:hAnsi="Times New Roman"/>
          <w:color w:val="FF0000"/>
          <w:sz w:val="24"/>
          <w:lang w:eastAsia="zh-CN"/>
        </w:rPr>
        <w:t>SPA</w:t>
      </w:r>
      <w:r>
        <w:rPr>
          <w:rFonts w:ascii="Times New Roman" w:eastAsia="宋体" w:hAnsi="Times New Roman"/>
          <w:color w:val="FF0000"/>
          <w:sz w:val="24"/>
          <w:lang w:eastAsia="zh-CN"/>
        </w:rPr>
        <w:t>路径分解；</w:t>
      </w:r>
      <w:r>
        <w:rPr>
          <w:rFonts w:ascii="Times New Roman" w:eastAsia="宋体" w:hAnsi="Times New Roman"/>
          <w:color w:val="FF0000"/>
          <w:sz w:val="24"/>
          <w:lang w:eastAsia="zh-CN"/>
        </w:rPr>
        <w:t>Shapley</w:t>
      </w:r>
      <w:r>
        <w:rPr>
          <w:rFonts w:ascii="Times New Roman" w:eastAsia="宋体" w:hAnsi="Times New Roman"/>
          <w:color w:val="FF0000"/>
          <w:sz w:val="24"/>
          <w:lang w:eastAsia="zh-CN"/>
        </w:rPr>
        <w:t>成本收益分摊；</w:t>
      </w:r>
      <w:r>
        <w:rPr>
          <w:rFonts w:ascii="Times New Roman" w:eastAsia="宋体" w:hAnsi="Times New Roman"/>
          <w:color w:val="FF0000"/>
          <w:sz w:val="24"/>
          <w:lang w:eastAsia="zh-CN"/>
        </w:rPr>
        <w:t>XGBoost</w:t>
      </w:r>
      <w:r>
        <w:rPr>
          <w:rFonts w:ascii="Times New Roman" w:eastAsia="宋体" w:hAnsi="Times New Roman"/>
          <w:color w:val="FF0000"/>
          <w:sz w:val="24"/>
          <w:lang w:eastAsia="zh-CN"/>
        </w:rPr>
        <w:t>企业画像；绿色金融与演化博弈；逐年动态投入产出表更新。</w:t>
      </w:r>
    </w:p>
    <w:p w14:paraId="0C40ECD5" w14:textId="77777777" w:rsidR="0092219B" w:rsidRDefault="004C70A9">
      <w:pPr>
        <w:spacing w:after="0" w:line="360" w:lineRule="auto"/>
        <w:ind w:firstLine="420"/>
        <w:jc w:val="both"/>
        <w:rPr>
          <w:color w:val="FF0000"/>
          <w:lang w:eastAsia="zh-CN"/>
        </w:rPr>
      </w:pPr>
      <w:r>
        <w:rPr>
          <w:rFonts w:ascii="Times New Roman" w:eastAsia="宋体" w:hAnsi="Times New Roman"/>
          <w:color w:val="FF0000"/>
          <w:sz w:val="24"/>
          <w:highlight w:val="yellow"/>
          <w:lang w:eastAsia="zh-CN"/>
        </w:rPr>
        <w:t>如后续增加行业、地区、年份、企业层面分析或新的独立模型方法，建议作为新增研究内容另行协商。</w:t>
      </w:r>
    </w:p>
    <w:p w14:paraId="0C40ECD6" w14:textId="77777777" w:rsidR="0092219B" w:rsidRDefault="004C70A9">
      <w:pPr>
        <w:spacing w:before="160" w:after="80" w:line="288" w:lineRule="auto"/>
        <w:rPr>
          <w:lang w:eastAsia="zh-CN"/>
        </w:rPr>
      </w:pPr>
      <w:r>
        <w:rPr>
          <w:rFonts w:ascii="Times New Roman" w:eastAsia="黑体" w:hAnsi="Times New Roman" w:hint="eastAsia"/>
          <w:b/>
          <w:sz w:val="30"/>
          <w:lang w:eastAsia="zh-CN"/>
        </w:rPr>
        <w:t>七</w:t>
      </w:r>
      <w:r>
        <w:rPr>
          <w:rFonts w:ascii="Times New Roman" w:eastAsia="黑体" w:hAnsi="Times New Roman"/>
          <w:b/>
          <w:sz w:val="30"/>
          <w:lang w:eastAsia="zh-CN"/>
        </w:rPr>
        <w:t>、最终任务表述</w:t>
      </w:r>
    </w:p>
    <w:p w14:paraId="0C40ECD7" w14:textId="77777777" w:rsidR="0092219B" w:rsidRDefault="004C70A9">
      <w:pPr>
        <w:spacing w:after="0" w:line="360" w:lineRule="auto"/>
        <w:ind w:firstLine="420"/>
        <w:jc w:val="both"/>
        <w:rPr>
          <w:lang w:eastAsia="zh-CN"/>
        </w:rPr>
      </w:pPr>
      <w:r>
        <w:rPr>
          <w:rFonts w:ascii="Times New Roman" w:eastAsia="楷体" w:hAnsi="Times New Roman"/>
          <w:b/>
          <w:sz w:val="24"/>
          <w:lang w:eastAsia="zh-CN"/>
        </w:rPr>
        <w:t>以湖北省水泥行业为研究对象，在测算</w:t>
      </w:r>
      <w:r w:rsidRPr="00681E11">
        <w:rPr>
          <w:rFonts w:ascii="Times New Roman" w:eastAsia="楷体" w:hAnsi="Times New Roman"/>
          <w:b/>
          <w:color w:val="EE0000"/>
          <w:sz w:val="24"/>
          <w:lang w:eastAsia="zh-CN"/>
        </w:rPr>
        <w:t>水泥行业单位碳成本</w:t>
      </w:r>
      <w:r>
        <w:rPr>
          <w:rFonts w:ascii="Times New Roman" w:eastAsia="楷体" w:hAnsi="Times New Roman"/>
          <w:b/>
          <w:sz w:val="24"/>
          <w:lang w:eastAsia="zh-CN"/>
        </w:rPr>
        <w:t>及其产品</w:t>
      </w:r>
      <w:r w:rsidRPr="00681E11">
        <w:rPr>
          <w:rFonts w:ascii="Times New Roman" w:eastAsia="楷体" w:hAnsi="Times New Roman"/>
          <w:b/>
          <w:color w:val="EE0000"/>
          <w:sz w:val="24"/>
          <w:lang w:eastAsia="zh-CN"/>
        </w:rPr>
        <w:t>价格传导效应</w:t>
      </w:r>
      <w:r>
        <w:rPr>
          <w:rFonts w:ascii="Times New Roman" w:eastAsia="楷体" w:hAnsi="Times New Roman"/>
          <w:b/>
          <w:sz w:val="24"/>
          <w:lang w:eastAsia="zh-CN"/>
        </w:rPr>
        <w:t>的基础上，基于湖北省投入</w:t>
      </w:r>
      <w:r w:rsidRPr="00681E11">
        <w:rPr>
          <w:rFonts w:ascii="Times New Roman" w:eastAsia="楷体" w:hAnsi="Times New Roman"/>
          <w:b/>
          <w:color w:val="EE0000"/>
          <w:sz w:val="24"/>
          <w:lang w:eastAsia="zh-CN"/>
        </w:rPr>
        <w:t>产出关系识别水泥行业主要上下游关联部门</w:t>
      </w:r>
      <w:r>
        <w:rPr>
          <w:rFonts w:ascii="Times New Roman" w:eastAsia="楷体" w:hAnsi="Times New Roman"/>
          <w:b/>
          <w:sz w:val="24"/>
          <w:lang w:eastAsia="zh-CN"/>
        </w:rPr>
        <w:t>，并设置不同碳价、碳成本传导率和减排幅度情景，量化水泥行业</w:t>
      </w:r>
      <w:r w:rsidRPr="00681E11">
        <w:rPr>
          <w:rFonts w:ascii="Times New Roman" w:eastAsia="楷体" w:hAnsi="Times New Roman"/>
          <w:b/>
          <w:color w:val="EE0000"/>
          <w:sz w:val="24"/>
          <w:lang w:eastAsia="zh-CN"/>
        </w:rPr>
        <w:t>直接减排</w:t>
      </w:r>
      <w:r>
        <w:rPr>
          <w:rFonts w:ascii="Times New Roman" w:eastAsia="楷体" w:hAnsi="Times New Roman"/>
          <w:b/>
          <w:sz w:val="24"/>
          <w:lang w:eastAsia="zh-CN"/>
        </w:rPr>
        <w:t>及通过上下游产业关联产生的</w:t>
      </w:r>
      <w:r w:rsidRPr="00681E11">
        <w:rPr>
          <w:rFonts w:ascii="Times New Roman" w:eastAsia="楷体" w:hAnsi="Times New Roman"/>
          <w:b/>
          <w:color w:val="EE0000"/>
          <w:sz w:val="24"/>
          <w:lang w:eastAsia="zh-CN"/>
        </w:rPr>
        <w:t>间接减排</w:t>
      </w:r>
      <w:r>
        <w:rPr>
          <w:rFonts w:ascii="Times New Roman" w:eastAsia="楷体" w:hAnsi="Times New Roman"/>
          <w:b/>
          <w:sz w:val="24"/>
          <w:lang w:eastAsia="zh-CN"/>
        </w:rPr>
        <w:t>效应，测算产业链协同减排水平并识别重点关联行业。研究原则上采用一个基准年份的湖北省投入产出表，部分技术经济参数可采用公开统计、行业资料及权威文献进行校准。</w:t>
      </w:r>
    </w:p>
    <w:sectPr w:rsidR="0092219B">
      <w:footerReference w:type="default" r:id="rId9"/>
      <w:pgSz w:w="12240" w:h="15840"/>
      <w:pgMar w:top="1361" w:right="1417" w:bottom="124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154BC" w14:textId="77777777" w:rsidR="00D53873" w:rsidRDefault="00D53873">
      <w:pPr>
        <w:spacing w:line="240" w:lineRule="auto"/>
      </w:pPr>
      <w:r>
        <w:separator/>
      </w:r>
    </w:p>
  </w:endnote>
  <w:endnote w:type="continuationSeparator" w:id="0">
    <w:p w14:paraId="3F9907CC" w14:textId="77777777" w:rsidR="00D53873" w:rsidRDefault="00D538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altName w:val="Microsoft Ya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ECDC" w14:textId="77777777" w:rsidR="0092219B" w:rsidRDefault="004C70A9">
    <w:pPr>
      <w:pStyle w:val="ab"/>
      <w:jc w:val="center"/>
      <w:rPr>
        <w:lang w:eastAsia="zh-CN"/>
      </w:rPr>
    </w:pPr>
    <w:r>
      <w:rPr>
        <w:rFonts w:ascii="Times New Roman" w:eastAsia="宋体" w:hAnsi="Times New Roman"/>
        <w:sz w:val="18"/>
        <w:lang w:eastAsia="zh-CN"/>
      </w:rPr>
      <w:t>湖北省水泥行业碳成本传导及产业链协同减排效应研究方案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E8691" w14:textId="77777777" w:rsidR="00D53873" w:rsidRDefault="00D53873">
      <w:pPr>
        <w:spacing w:after="0"/>
      </w:pPr>
      <w:r>
        <w:separator/>
      </w:r>
    </w:p>
  </w:footnote>
  <w:footnote w:type="continuationSeparator" w:id="0">
    <w:p w14:paraId="1EBCB5D3" w14:textId="77777777" w:rsidR="00D53873" w:rsidRDefault="00D538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237133435">
    <w:abstractNumId w:val="3"/>
  </w:num>
  <w:num w:numId="2" w16cid:durableId="1872298877">
    <w:abstractNumId w:val="1"/>
  </w:num>
  <w:num w:numId="3" w16cid:durableId="545027861">
    <w:abstractNumId w:val="5"/>
  </w:num>
  <w:num w:numId="4" w16cid:durableId="711925290">
    <w:abstractNumId w:val="4"/>
  </w:num>
  <w:num w:numId="5" w16cid:durableId="924386042">
    <w:abstractNumId w:val="0"/>
  </w:num>
  <w:num w:numId="6" w16cid:durableId="939213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9E3"/>
    <w:rsid w:val="0029639D"/>
    <w:rsid w:val="00325C11"/>
    <w:rsid w:val="00326F90"/>
    <w:rsid w:val="004652D4"/>
    <w:rsid w:val="004C70A9"/>
    <w:rsid w:val="006257BD"/>
    <w:rsid w:val="00681E11"/>
    <w:rsid w:val="006860B1"/>
    <w:rsid w:val="00893560"/>
    <w:rsid w:val="0092219B"/>
    <w:rsid w:val="00A1509A"/>
    <w:rsid w:val="00AA1D8D"/>
    <w:rsid w:val="00B47730"/>
    <w:rsid w:val="00B75A1D"/>
    <w:rsid w:val="00C62E21"/>
    <w:rsid w:val="00CB0664"/>
    <w:rsid w:val="00CB0EEA"/>
    <w:rsid w:val="00D53873"/>
    <w:rsid w:val="00DF33A4"/>
    <w:rsid w:val="00F35E43"/>
    <w:rsid w:val="00F70675"/>
    <w:rsid w:val="00FA18EA"/>
    <w:rsid w:val="00FC693F"/>
    <w:rsid w:val="111E48D6"/>
    <w:rsid w:val="25757B75"/>
    <w:rsid w:val="2BF65788"/>
    <w:rsid w:val="687E2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40EC90"/>
  <w14:defaultImageDpi w14:val="300"/>
  <w15:docId w15:val="{59EB54EC-9CA2-472C-98AF-900B945B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2"/>
      </w:numPr>
      <w:contextualSpacing/>
    </w:pPr>
  </w:style>
  <w:style w:type="paragraph" w:styleId="a">
    <w:name w:val="List Number"/>
    <w:basedOn w:val="a1"/>
    <w:uiPriority w:val="99"/>
    <w:unhideWhenUsed/>
    <w:pPr>
      <w:numPr>
        <w:numId w:val="4"/>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6"/>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pPr>
      <w:numPr>
        <w:numId w:val="1"/>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yaodong zhang</cp:lastModifiedBy>
  <cp:revision>7</cp:revision>
  <dcterms:created xsi:type="dcterms:W3CDTF">2013-12-23T23:15:00Z</dcterms:created>
  <dcterms:modified xsi:type="dcterms:W3CDTF">2026-10-27T07:27:00Z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eyJoZGlkIjoiMmI5NzQ3MDRhMjIzYzAzMDI5ZjkzZjMyM2YxM2E1YjkiLCJ1c2VySWQiOiIzOTM2MTA0OTEifQ==</vt:lpwstr>
  </property>
  <property fmtid="{D5CDD505-2E9C-101B-9397-08002B2CF9AE}" pid="3" name="KSOProductBuildVer">
    <vt:lpwstr>2052-12.1.0.28022</vt:lpwstr>
  </property>
  <property fmtid="{D5CDD505-2E9C-101B-9397-08002B2CF9AE}" pid="4" name="ICV">
    <vt:lpwstr>13E1EA22862F466282064F9CF6344127_12</vt:lpwstr>
  </property>
</Properties>
</file>