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rFonts w:hint="eastAsia" w:eastAsia="宋体"/>
                      <w:b/>
                      <w:lang w:val="en-US" w:eastAsia="zh-CN"/>
                    </w:rPr>
                  </w:pPr>
                  <w:r>
                    <w:rPr>
                      <w:rFonts w:hint="eastAsia"/>
                      <w:b/>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rFonts w:hint="eastAsia" w:eastAsia="宋体"/>
                      <w:b/>
                      <w:lang w:val="en-US" w:eastAsia="zh-CN"/>
                    </w:rPr>
                  </w:pPr>
                  <w:r>
                    <w:rPr>
                      <w:rFonts w:hint="eastAsia"/>
                      <w:b/>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HD20180718CM009</w:t>
            </w:r>
          </w:p>
          <w:p>
            <w:pPr>
              <w:pStyle w:val="13"/>
              <w:rPr>
                <w:rFonts w:hint="eastAsia" w:eastAsia="宋体"/>
                <w:sz w:val="44"/>
                <w:lang w:val="en-US" w:eastAsia="zh-CN"/>
              </w:rPr>
            </w:pPr>
            <w:r>
              <w:rPr>
                <w:rFonts w:hint="eastAsia"/>
                <w:sz w:val="44"/>
                <w:szCs w:val="48"/>
                <w:lang w:val="en-US" w:eastAsia="zh-CN"/>
              </w:rPr>
              <w:t>《</w:t>
            </w:r>
            <w:r>
              <w:rPr>
                <w:rFonts w:hint="eastAsia"/>
                <w:sz w:val="44"/>
              </w:rPr>
              <w:t>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0"/>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default" w:hAnsi="宋体"/>
                <w:sz w:val="32"/>
                <w:szCs w:val="32"/>
              </w:rPr>
              <w:t>华南农业大学6班3组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26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吕浩泰</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华南农业大学6班3组</w:t>
            </w:r>
          </w:p>
        </w:tc>
      </w:tr>
    </w:tbl>
    <w:p>
      <w:pPr>
        <w:pStyle w:val="21"/>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180718</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2018-07-26</w:t>
            </w:r>
          </w:p>
        </w:tc>
        <w:tc>
          <w:tcPr>
            <w:tcW w:w="1440" w:type="dxa"/>
            <w:vAlign w:val="top"/>
          </w:tcPr>
          <w:p>
            <w:pPr>
              <w:rPr>
                <w:rFonts w:hint="eastAsia" w:hAnsi="宋体" w:eastAsia="宋体" w:cs="Arial"/>
                <w:lang w:val="en-US" w:eastAsia="zh-CN"/>
              </w:rPr>
            </w:pPr>
            <w:r>
              <w:rPr>
                <w:rFonts w:hint="eastAsia" w:hAnsi="宋体" w:cs="Arial"/>
                <w:lang w:val="en-US" w:eastAsia="zh-CN"/>
              </w:rPr>
              <w:t>0.1.20180726</w:t>
            </w:r>
          </w:p>
        </w:tc>
        <w:tc>
          <w:tcPr>
            <w:tcW w:w="4320" w:type="dxa"/>
            <w:vAlign w:val="top"/>
          </w:tcPr>
          <w:p>
            <w:pPr>
              <w:rPr>
                <w:rFonts w:hint="eastAsia" w:hAnsi="宋体" w:eastAsia="宋体" w:cs="Arial"/>
                <w:lang w:val="en-US" w:eastAsia="zh-CN"/>
              </w:rPr>
            </w:pPr>
            <w:r>
              <w:rPr>
                <w:rFonts w:hint="eastAsia" w:hAnsi="宋体" w:cs="Arial"/>
                <w:lang w:val="en-US" w:eastAsia="zh-CN"/>
              </w:rPr>
              <w:t>修改项目编号、项目名称信息</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2018-07-30</w:t>
            </w:r>
          </w:p>
        </w:tc>
        <w:tc>
          <w:tcPr>
            <w:tcW w:w="1440" w:type="dxa"/>
            <w:vAlign w:val="top"/>
          </w:tcPr>
          <w:p>
            <w:pPr>
              <w:rPr>
                <w:rFonts w:hint="eastAsia" w:hAnsi="宋体" w:eastAsia="宋体" w:cs="Arial"/>
                <w:lang w:val="en-US" w:eastAsia="zh-CN"/>
              </w:rPr>
            </w:pPr>
            <w:r>
              <w:rPr>
                <w:rFonts w:hint="eastAsia" w:hAnsi="宋体" w:cs="Arial"/>
                <w:lang w:val="en-US" w:eastAsia="zh-CN"/>
              </w:rPr>
              <w:t>1.0</w:t>
            </w:r>
          </w:p>
        </w:tc>
        <w:tc>
          <w:tcPr>
            <w:tcW w:w="4320" w:type="dxa"/>
            <w:vAlign w:val="top"/>
          </w:tcPr>
          <w:p>
            <w:pPr>
              <w:rPr>
                <w:rFonts w:hint="eastAsia" w:hAnsi="宋体" w:eastAsia="宋体" w:cs="Arial"/>
                <w:lang w:val="en-US" w:eastAsia="zh-CN"/>
              </w:rPr>
            </w:pPr>
            <w:r>
              <w:rPr>
                <w:rFonts w:hint="eastAsia" w:hAnsi="宋体" w:cs="Arial"/>
                <w:lang w:val="en-US" w:eastAsia="zh-CN"/>
              </w:rPr>
              <w:t>通过审核，版本变更</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BEIS</w:t>
      </w:r>
      <w:r>
        <w:rPr>
          <w:rFonts w:hint="eastAsia"/>
        </w:rPr>
        <w:t xml:space="preserve"> </w:t>
      </w:r>
      <w:r>
        <w:t>–</w:t>
      </w:r>
      <w:r>
        <w:rPr>
          <w:rFonts w:hint="eastAsia"/>
        </w:rPr>
        <w:t xml:space="preserve"> </w:t>
      </w:r>
      <w:r>
        <w:rPr>
          <w:rFonts w:hint="eastAsia"/>
          <w:lang w:val="en-US" w:eastAsia="zh-CN"/>
        </w:rPr>
        <w:t>Basic Educational Information System</w:t>
      </w:r>
      <w:r>
        <w:rPr>
          <w:rFonts w:hint="eastAsia"/>
        </w:rPr>
        <w:t xml:space="preserve"> 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BEIS</w:t>
      </w:r>
      <w:r>
        <w:rPr>
          <w:rFonts w:hint="eastAsia"/>
        </w:rPr>
        <w:t>_项目开发计划》</w:t>
      </w:r>
    </w:p>
    <w:p>
      <w:pPr>
        <w:pStyle w:val="3"/>
        <w:rPr>
          <w:rFonts w:hint="eastAsia"/>
        </w:rPr>
      </w:pPr>
      <w:r>
        <w:rPr>
          <w:rFonts w:hint="eastAsia"/>
        </w:rPr>
        <w:t>《</w:t>
      </w:r>
      <w:r>
        <w:rPr>
          <w:rFonts w:hint="eastAsia"/>
          <w:lang w:val="en-US" w:eastAsia="zh-CN"/>
        </w:rPr>
        <w:t>BEIS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bookmarkStart w:id="26" w:name="_GoBack"/>
      <w:r>
        <w:rPr>
          <w:rFonts w:hint="eastAsia"/>
        </w:rPr>
        <w:object>
          <v:shape id="_x0000_i1025" o:spt="75" alt=""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bookmarkEnd w:id="26"/>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t>
      </w:r>
      <w:r>
        <w:rPr>
          <w:rFonts w:hint="eastAsia"/>
          <w:lang w:val="en-US" w:eastAsia="zh-CN"/>
        </w:rPr>
        <w:t>BEIS</w:t>
      </w:r>
      <w:r>
        <w:rPr>
          <w:rFonts w:hint="eastAsia"/>
        </w:rPr>
        <w:t>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w:t>
      </w:r>
      <w:r>
        <w:rPr>
          <w:rFonts w:hint="eastAsia"/>
          <w:lang w:val="en-US" w:eastAsia="zh-CN"/>
        </w:rPr>
        <w:t>管理员</w:t>
      </w:r>
      <w:r>
        <w:rPr>
          <w:rFonts w:hint="eastAsia"/>
        </w:rPr>
        <w:t>发布。</w:t>
      </w:r>
    </w:p>
    <w:p>
      <w:pPr>
        <w:pStyle w:val="3"/>
        <w:numPr>
          <w:ilvl w:val="0"/>
          <w:numId w:val="4"/>
        </w:numPr>
        <w:rPr>
          <w:rFonts w:hint="eastAsia"/>
        </w:rPr>
      </w:pPr>
      <w:r>
        <w:rPr>
          <w:rFonts w:hint="eastAsia"/>
        </w:rPr>
        <w:t>代码类基线：由配置</w:t>
      </w:r>
      <w:r>
        <w:rPr>
          <w:rFonts w:hint="eastAsia"/>
          <w:lang w:val="en-US" w:eastAsia="zh-CN"/>
        </w:rPr>
        <w:t>管理员</w:t>
      </w:r>
      <w:r>
        <w:rPr>
          <w:rFonts w:hint="eastAsia"/>
        </w:rPr>
        <w:t>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rPr>
          <w:rFonts w:hint="eastAsia"/>
          <w:lang w:val="en-US" w:eastAsia="zh-CN"/>
        </w:rPr>
        <w:t>BEIS</w:t>
      </w:r>
      <w:r>
        <w:t>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BEIS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20"/>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20"/>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20"/>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15463314"/>
      <w:bookmarkStart w:id="21" w:name="_Toc248639011"/>
      <w:bookmarkStart w:id="22" w:name="_Toc523649206"/>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w:t>
      </w:r>
      <w:r>
        <w:rPr>
          <w:rFonts w:hint="eastAsia"/>
          <w:lang w:val="en-US" w:eastAsia="zh-CN"/>
        </w:rPr>
        <w:t>员</w:t>
      </w:r>
      <w:r>
        <w:rPr>
          <w:rFonts w:hint="eastAsia"/>
        </w:rPr>
        <w:t>。</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8639013"/>
      <w:bookmarkStart w:id="25"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2"/>
        <w:rPr>
          <w:rFonts w:hint="eastAsia"/>
        </w:rPr>
      </w:pPr>
      <w:r>
        <w:rPr>
          <w:rFonts w:hint="eastAsia"/>
        </w:rPr>
        <w:t>在需求及项目完成时分别建立里程碑。</w:t>
      </w:r>
    </w:p>
    <w:tbl>
      <w:tblPr>
        <w:tblStyle w:val="18"/>
        <w:tblpPr w:leftFromText="180" w:rightFromText="180" w:vertAnchor="text" w:horzAnchor="page" w:tblpX="2597" w:tblpY="137"/>
        <w:tblOverlap w:val="never"/>
        <w:tblW w:w="7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422"/>
        <w:gridCol w:w="1184"/>
        <w:gridCol w:w="1068"/>
        <w:gridCol w:w="1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组件名称</w:t>
            </w:r>
          </w:p>
        </w:tc>
        <w:tc>
          <w:tcPr>
            <w:tcW w:w="1184"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基线名称</w:t>
            </w:r>
          </w:p>
        </w:tc>
        <w:tc>
          <w:tcPr>
            <w:tcW w:w="1068"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基线编号</w:t>
            </w:r>
          </w:p>
        </w:tc>
        <w:tc>
          <w:tcPr>
            <w:tcW w:w="1944" w:type="dxa"/>
            <w:tcBorders>
              <w:top w:val="single" w:color="000000" w:sz="4" w:space="0"/>
              <w:left w:val="single" w:color="000000" w:sz="4" w:space="0"/>
              <w:bottom w:val="single" w:color="000000" w:sz="4" w:space="0"/>
              <w:right w:val="single" w:color="000000" w:sz="4" w:space="0"/>
            </w:tcBorders>
            <w:shd w:val="clear" w:color="auto" w:fill="FFFF99"/>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发布阶段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hAnsi="宋体" w:cs="宋体"/>
                <w:i w:val="0"/>
                <w:snapToGrid w:val="0"/>
                <w:color w:val="000000"/>
                <w:kern w:val="0"/>
                <w:sz w:val="24"/>
                <w:szCs w:val="24"/>
                <w:u w:val="none"/>
                <w:lang w:val="en-US" w:eastAsia="zh-CN" w:bidi="ar"/>
              </w:rPr>
              <w:t>界面原型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25" name="图片 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6" name="图片 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27" name="图片 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"C:\\Users\\ADMINI~1\\AppData\\Local\\Temp\\ksohtml\\clip_image11959.png"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2" name="图片 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7" name="图片 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0" name="图片 1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8" name="图片 1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"C:\\Users\\ADMINI~1\\AppData\\Local\\Temp\\ksohtml\\clip_image12039.png"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3" name="图片 1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需求基线</w:t>
            </w:r>
          </w:p>
        </w:tc>
        <w:tc>
          <w:tcPr>
            <w:tcW w:w="106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A001</w:t>
            </w:r>
          </w:p>
        </w:tc>
        <w:tc>
          <w:tcPr>
            <w:tcW w:w="194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软件需求规约</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hAnsi="宋体" w:cs="宋体"/>
                <w:i w:val="0"/>
                <w:snapToGrid w:val="0"/>
                <w:color w:val="000000"/>
                <w:kern w:val="0"/>
                <w:sz w:val="24"/>
                <w:szCs w:val="24"/>
                <w:u w:val="none"/>
                <w:lang w:val="en-US" w:eastAsia="zh-CN" w:bidi="ar"/>
              </w:rPr>
              <w:t>角色描述</w:t>
            </w:r>
            <w:r>
              <w:rPr>
                <w:rFonts w:hint="eastAsia" w:ascii="宋体" w:hAnsi="宋体" w:eastAsia="宋体" w:cs="宋体"/>
                <w:i w:val="0"/>
                <w:snapToGrid w:val="0"/>
                <w:color w:val="000000"/>
                <w:kern w:val="0"/>
                <w:sz w:val="24"/>
                <w:szCs w:val="24"/>
                <w:u w:val="none"/>
                <w:lang w:val="en-US" w:eastAsia="zh-CN" w:bidi="ar"/>
              </w:rPr>
              <w:t>（Rational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词汇表（Rational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snapToGrid w:val="0"/>
                <w:color w:val="000000"/>
                <w:kern w:val="0"/>
                <w:sz w:val="24"/>
                <w:szCs w:val="24"/>
                <w:u w:val="none"/>
                <w:lang w:val="en-US" w:eastAsia="zh-CN" w:bidi="ar"/>
              </w:rPr>
            </w:pPr>
            <w:r>
              <w:rPr>
                <w:rFonts w:hint="eastAsia" w:hAnsi="宋体" w:cs="宋体"/>
                <w:i w:val="0"/>
                <w:snapToGrid w:val="0"/>
                <w:color w:val="000000"/>
                <w:kern w:val="0"/>
                <w:sz w:val="24"/>
                <w:szCs w:val="24"/>
                <w:u w:val="none"/>
                <w:lang w:val="en-US" w:eastAsia="zh-CN" w:bidi="ar"/>
              </w:rPr>
              <w:t>功能结构图</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snapToGrid w:val="0"/>
                <w:color w:val="000000"/>
                <w:kern w:val="0"/>
                <w:sz w:val="24"/>
                <w:szCs w:val="24"/>
                <w:u w:val="none"/>
                <w:lang w:val="en-US" w:eastAsia="zh-CN" w:bidi="ar"/>
              </w:rPr>
            </w:pPr>
            <w:r>
              <w:rPr>
                <w:rFonts w:hint="eastAsia" w:ascii="宋体" w:hAnsi="宋体" w:eastAsia="宋体" w:cs="宋体"/>
                <w:i w:val="0"/>
                <w:snapToGrid w:val="0"/>
                <w:color w:val="000000"/>
                <w:kern w:val="0"/>
                <w:sz w:val="24"/>
                <w:szCs w:val="24"/>
                <w:u w:val="none"/>
                <w:lang w:val="en-US" w:eastAsia="zh-CN" w:bidi="ar"/>
              </w:rPr>
              <w:t>Rose分析与设计模型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用例实现规约（Rational RequisitePro工件）</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rPr>
            </w:pPr>
            <w:r>
              <w:rPr>
                <w:rFonts w:hint="eastAsia" w:hAnsi="宋体" w:cs="宋体"/>
                <w:i w:val="0"/>
                <w:snapToGrid w:val="0"/>
                <w:color w:val="000000"/>
                <w:kern w:val="0"/>
                <w:sz w:val="24"/>
                <w:szCs w:val="24"/>
                <w:u w:val="none"/>
                <w:lang w:val="en-US" w:eastAsia="zh-CN" w:bidi="ar"/>
              </w:rPr>
              <w:t>系统测试用例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界面原型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"C:\\Users\\ADMINI~1\\AppData\\Local\\Temp\\ksohtml\\clip_image12040.png"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9" name="图片 1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p>
        </w:tc>
        <w:tc>
          <w:tcPr>
            <w:tcW w:w="118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设计基线</w:t>
            </w:r>
          </w:p>
        </w:tc>
        <w:tc>
          <w:tcPr>
            <w:tcW w:w="1068"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B001</w:t>
            </w:r>
          </w:p>
        </w:tc>
        <w:tc>
          <w:tcPr>
            <w:tcW w:w="1944" w:type="dxa"/>
            <w:vMerge w:val="restart"/>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系统构架设计</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概念模型</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物理模型</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"C:\\Users\\ADMINI~1\\AppData\\Local\\Temp\\ksohtml\\clip_image12041.png"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1" name="图片 1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"C:\\Users\\ADMINI~1\\AppData\\Local\\Temp\\ksohtml\\clip_image12042.png"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6" name="图片 15"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"C:\\Users\\ADMINI~1\\AppData\\Local\\Temp\\ksohtml\\clip_image12043.png"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4" name="图片 1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"C:\\Users\\ADMINI~1\\AppData\\Local\\Temp\\ksohtml\\clip_image12044.png"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3" name="图片 1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"C:\\Users\\ADMINI~1\\AppData\\Local\\Temp\\ksohtml\\clip_image12045.png"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5" name="图片 1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24" name="图片 1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9" name="图片 2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"C:\\Users\\ADMINI~1\\AppData\\Local\\Temp\\ksohtml\\clip_image12048.png"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1" name="图片 2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系统分析设计模型(Rose7.1工件)</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"C:\\Users\\ADMINI~1\\AppData\\Local\\Temp\\ksohtml\\clip_image11960.png"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5" name="图片 2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t xml:space="preserve"> </w:t>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"C:\\Users\\ADMINI~1\\AppData\\Local\\Temp\\ksohtml\\clip_image11961.png"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4" name="图片 2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"C:\\Users\\ADMINI~1\\AppData\\Local\\Temp\\ksohtml\\clip_image11962.png"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10" name="图片 2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"C:\\Users\\ADMINI~1\\AppData\\Local\\Temp\\ksohtml\\clip_image11963.png"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"C:\\Users\\ADMINI~1\\AppData\\Local\\Temp\\ksohtml\\clip_image11964.png"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3"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"C:\\Users\\ADMINI~1\\AppData\\Local\\Temp\\ksohtml\\clip_image11965.png"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1" name="图片 2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"C:\\Users\\ADMINI~1\\AppData\\Local\\Temp\\ksohtml\\clip_image11966.png"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7" name="图片 2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"C:\\Users\\ADMINI~1\\AppData\\Local\\Temp\\ksohtml\\clip_image11967.png"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42875" cy="161925"/>
                  <wp:effectExtent l="0" t="0" r="0" b="0"/>
                  <wp:docPr id="8" name="图片 2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80"/>
                          <pic:cNvPicPr>
                            <a:picLocks noChangeAspect="1"/>
                          </pic:cNvPicPr>
                        </pic:nvPicPr>
                        <pic:blipFill>
                          <a:blip r:embed="rId18"/>
                          <a:stretch>
                            <a:fillRect/>
                          </a:stretch>
                        </pic:blipFill>
                        <pic:spPr>
                          <a:xfrm>
                            <a:off x="0" y="0"/>
                            <a:ext cx="142875" cy="16192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r>
              <w:rPr>
                <w:rFonts w:hint="eastAsia" w:ascii="宋体" w:hAnsi="宋体" w:eastAsia="宋体" w:cs="宋体"/>
                <w:i w:val="0"/>
                <w:snapToGrid w:val="0"/>
                <w:color w:val="000000"/>
                <w:kern w:val="0"/>
                <w:sz w:val="24"/>
                <w:szCs w:val="24"/>
                <w:u w:val="none"/>
                <w:lang w:val="en-US" w:eastAsia="zh-CN" w:bidi="ar"/>
              </w:rPr>
              <w:fldChar w:fldCharType="begin"/>
            </w:r>
            <w:r>
              <w:rPr>
                <w:rFonts w:hint="eastAsia" w:ascii="宋体" w:hAnsi="宋体" w:eastAsia="宋体" w:cs="宋体"/>
                <w:i w:val="0"/>
                <w:snapToGrid w:val="0"/>
                <w:color w:val="000000"/>
                <w:kern w:val="0"/>
                <w:sz w:val="24"/>
                <w:szCs w:val="24"/>
                <w:u w:val="none"/>
                <w:lang w:val="en-US" w:eastAsia="zh-CN" w:bidi="ar"/>
              </w:rPr>
              <w:instrText xml:space="preserve">INCLUDEPICTURE \d "C:\\Users\\ADMINI~1\\AppData\\Local\\Temp\\ksohtml\\clip_image11968.png" \* MERGEFORMATINET </w:instrText>
            </w:r>
            <w:r>
              <w:rPr>
                <w:rFonts w:hint="eastAsia" w:ascii="宋体" w:hAnsi="宋体" w:eastAsia="宋体" w:cs="宋体"/>
                <w:i w:val="0"/>
                <w:snapToGrid w:val="0"/>
                <w:color w:val="000000"/>
                <w:kern w:val="0"/>
                <w:sz w:val="24"/>
                <w:szCs w:val="24"/>
                <w:u w:val="none"/>
                <w:lang w:val="en-US" w:eastAsia="zh-CN" w:bidi="ar"/>
              </w:rPr>
              <w:fldChar w:fldCharType="separate"/>
            </w:r>
            <w:r>
              <w:rPr>
                <w:rFonts w:hint="eastAsia" w:ascii="宋体" w:hAnsi="宋体" w:eastAsia="宋体" w:cs="宋体"/>
                <w:i w:val="0"/>
                <w:snapToGrid w:val="0"/>
                <w:color w:val="000000"/>
                <w:kern w:val="0"/>
                <w:sz w:val="24"/>
                <w:szCs w:val="24"/>
                <w:u w:val="none"/>
                <w:lang w:val="en-US" w:eastAsia="zh-CN" w:bidi="ar"/>
              </w:rPr>
              <w:drawing>
                <wp:inline distT="0" distB="0" distL="114300" distR="114300">
                  <wp:extent cx="133350" cy="142875"/>
                  <wp:effectExtent l="0" t="0" r="0" b="0"/>
                  <wp:docPr id="6" name="图片 3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descr="IMG_281"/>
                          <pic:cNvPicPr>
                            <a:picLocks noChangeAspect="1"/>
                          </pic:cNvPicPr>
                        </pic:nvPicPr>
                        <pic:blipFill>
                          <a:blip r:embed="rId19"/>
                          <a:stretch>
                            <a:fillRect/>
                          </a:stretch>
                        </pic:blipFill>
                        <pic:spPr>
                          <a:xfrm>
                            <a:off x="0" y="0"/>
                            <a:ext cx="133350" cy="142875"/>
                          </a:xfrm>
                          <a:prstGeom prst="rect">
                            <a:avLst/>
                          </a:prstGeom>
                          <a:noFill/>
                          <a:ln w="9525">
                            <a:noFill/>
                          </a:ln>
                        </pic:spPr>
                      </pic:pic>
                    </a:graphicData>
                  </a:graphic>
                </wp:inline>
              </w:drawing>
            </w:r>
            <w:r>
              <w:rPr>
                <w:rFonts w:hint="eastAsia" w:ascii="宋体" w:hAnsi="宋体" w:eastAsia="宋体" w:cs="宋体"/>
                <w:i w:val="0"/>
                <w:snapToGrid w:val="0"/>
                <w:color w:val="000000"/>
                <w:kern w:val="0"/>
                <w:sz w:val="24"/>
                <w:szCs w:val="24"/>
                <w:u w:val="none"/>
                <w:lang w:val="en-US" w:eastAsia="zh-CN" w:bidi="ar"/>
              </w:rPr>
              <w:fldChar w:fldCharType="end"/>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数据库设计说明书</w:t>
            </w:r>
          </w:p>
        </w:tc>
        <w:tc>
          <w:tcPr>
            <w:tcW w:w="118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系统测试用例</w:t>
            </w:r>
          </w:p>
        </w:tc>
        <w:tc>
          <w:tcPr>
            <w:tcW w:w="1184"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开发基线</w:t>
            </w:r>
          </w:p>
        </w:tc>
        <w:tc>
          <w:tcPr>
            <w:tcW w:w="1068"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C001</w:t>
            </w:r>
          </w:p>
        </w:tc>
        <w:tc>
          <w:tcPr>
            <w:tcW w:w="1944" w:type="dxa"/>
            <w:vMerge w:val="restart"/>
            <w:tcBorders>
              <w:left w:val="single" w:color="000000"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里程碑处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产品集成环境检查单</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产品试运行计划</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用户手册</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3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snapToGrid w:val="0"/>
                <w:color w:val="000000"/>
                <w:kern w:val="0"/>
                <w:sz w:val="24"/>
                <w:szCs w:val="24"/>
                <w:u w:val="none"/>
                <w:lang w:val="en-US" w:eastAsia="zh-CN" w:bidi="ar"/>
              </w:rPr>
              <w:t>源代码（程序）</w:t>
            </w:r>
          </w:p>
        </w:tc>
        <w:tc>
          <w:tcPr>
            <w:tcW w:w="118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068"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c>
          <w:tcPr>
            <w:tcW w:w="1944" w:type="dxa"/>
            <w:vMerge w:val="continue"/>
            <w:tcBorders>
              <w:left w:val="single" w:color="000000" w:sz="4" w:space="0"/>
              <w:bottom w:val="single" w:color="000000" w:sz="4" w:space="0"/>
              <w:right w:val="single" w:color="000000" w:sz="4" w:space="0"/>
            </w:tcBorders>
            <w:vAlign w:val="center"/>
          </w:tcPr>
          <w:p>
            <w:pPr>
              <w:jc w:val="center"/>
              <w:rPr>
                <w:rFonts w:hint="eastAsia" w:ascii="宋体" w:hAnsi="宋体" w:eastAsia="宋体" w:cs="宋体"/>
                <w:i w:val="0"/>
                <w:color w:val="000000"/>
                <w:sz w:val="24"/>
                <w:szCs w:val="24"/>
                <w:u w:val="none"/>
              </w:rPr>
            </w:pPr>
          </w:p>
        </w:tc>
      </w:tr>
    </w:tbl>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3C90F89"/>
    <w:rsid w:val="04E93340"/>
    <w:rsid w:val="0603763A"/>
    <w:rsid w:val="0CB612C1"/>
    <w:rsid w:val="0FFE4879"/>
    <w:rsid w:val="1010144D"/>
    <w:rsid w:val="18BF6C49"/>
    <w:rsid w:val="190D7EBD"/>
    <w:rsid w:val="22E04BF1"/>
    <w:rsid w:val="253D1D51"/>
    <w:rsid w:val="25A879B6"/>
    <w:rsid w:val="2D557886"/>
    <w:rsid w:val="2E7E4B03"/>
    <w:rsid w:val="309571BC"/>
    <w:rsid w:val="35CD5CD7"/>
    <w:rsid w:val="3A3C0D5C"/>
    <w:rsid w:val="3B755275"/>
    <w:rsid w:val="3F8D063F"/>
    <w:rsid w:val="40F2734C"/>
    <w:rsid w:val="43BA1559"/>
    <w:rsid w:val="471F5885"/>
    <w:rsid w:val="48CF4C3D"/>
    <w:rsid w:val="4AB92599"/>
    <w:rsid w:val="4B6023C4"/>
    <w:rsid w:val="4BCF781B"/>
    <w:rsid w:val="59207493"/>
    <w:rsid w:val="5FAA3945"/>
    <w:rsid w:val="63403DF8"/>
    <w:rsid w:val="67F47461"/>
    <w:rsid w:val="6A0207AD"/>
    <w:rsid w:val="6D535020"/>
    <w:rsid w:val="6EEE25E4"/>
    <w:rsid w:val="74271297"/>
    <w:rsid w:val="78F51304"/>
    <w:rsid w:val="7DE70B95"/>
    <w:rsid w:val="7EC5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Table Row"/>
    <w:basedOn w:val="1"/>
    <w:qFormat/>
    <w:uiPriority w:val="0"/>
    <w:pPr>
      <w:spacing w:before="60" w:after="60"/>
    </w:pPr>
    <w:rPr>
      <w:b/>
    </w:rPr>
  </w:style>
  <w:style w:type="paragraph" w:customStyle="1" w:styleId="21">
    <w:name w:val="Tabletext"/>
    <w:basedOn w:val="1"/>
    <w:qFormat/>
    <w:uiPriority w:val="0"/>
  </w:style>
  <w:style w:type="paragraph" w:customStyle="1" w:styleId="22">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2018-08-08T14:05:15Z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