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tLeast"/>
        <w:jc w:val="center"/>
      </w:pPr>
      <w:r>
        <w:rPr>
          <w:rFonts w:ascii="Times New Roman" w:cs="Times New Roman" w:eastAsia="Times New Roman" w:hAnsi="Times New Roman"/>
          <w:b/>
          <w:bCs/>
          <w:sz w:val="30"/>
          <w:szCs w:val="30"/>
        </w:rPr>
        <w:t xml:space="preserve">BÁO CÁO ĐÁNH GIÁ QUY TRÌNH VẬN HÀNH</w:t>
      </w:r>
    </w:p>
    <w:p>
      <w:pPr>
        <w:spacing w:after="60" w:before="60" w:line="360" w:lineRule="atLeast"/>
        <w:jc w:val="center"/>
      </w:pPr>
      <w:r>
        <w:rPr>
          <w:rFonts w:ascii="Times New Roman" w:cs="Times New Roman" w:eastAsia="Times New Roman" w:hAnsi="Times New Roman"/>
          <w:i/>
          <w:iCs/>
          <w:sz w:val="24"/>
          <w:szCs w:val="24"/>
        </w:rPr>
        <w:t xml:space="preserve">(File mẫu minh họa khung trình bày mặc định của skill, nội dung giả định)</w:t>
      </w:r>
    </w:p>
    <w:p>
      <w:pPr>
        <w:spacing w:after="60" w:before="60" w:line="360" w:lineRule="atLeast"/>
        <w:ind w:firstLine="567"/>
        <w:jc w:val="both"/>
      </w:pPr>
      <w:r>
        <w:rPr>
          <w:rFonts w:ascii="Times New Roman" w:cs="Times New Roman" w:eastAsia="Times New Roman" w:hAnsi="Times New Roman"/>
          <w:b/>
          <w:bCs/>
          <w:sz w:val="28"/>
          <w:szCs w:val="28"/>
        </w:rPr>
        <w:t xml:space="preserve">I. HIỆN TRẠNG CHUNG</w:t>
      </w:r>
    </w:p>
    <w:p>
      <w:pPr>
        <w:spacing w:after="60" w:before="60" w:line="360" w:lineRule="atLeast"/>
        <w:ind w:firstLine="709"/>
        <w:jc w:val="both"/>
      </w:pPr>
      <w:r>
        <w:rPr>
          <w:rFonts w:ascii="Times New Roman" w:cs="Times New Roman" w:eastAsia="Times New Roman" w:hAnsi="Times New Roman"/>
          <w:sz w:val="28"/>
          <w:szCs w:val="28"/>
        </w:rPr>
        <w:t xml:space="preserve">Đoạn văn bản mẫu thể hiện bốn thông số khung bắt buộc, gồm căn đều hai bên, thụt đầu dòng 1,25 cm thống nhất, giãn cách đoạn 3pt trước và 3pt sau, giãn dòng tối thiểu 18pt với cỡ chữ 14. Mọi cấp nội dung giữ lề trái bằng không, việc phân cấp thể hiện thuần bằng ký tự đầu dòng.</w:t>
      </w:r>
    </w:p>
    <w:p>
      <w:pPr>
        <w:spacing w:after="60" w:before="60" w:line="360" w:lineRule="atLeast"/>
        <w:ind w:firstLine="709"/>
        <w:jc w:val="both"/>
      </w:pPr>
      <w:r>
        <w:rPr>
          <w:rFonts w:ascii="Times New Roman" w:cs="Times New Roman" w:eastAsia="Times New Roman" w:hAnsi="Times New Roman"/>
          <w:b/>
          <w:bCs/>
          <w:sz w:val="28"/>
          <w:szCs w:val="28"/>
        </w:rPr>
        <w:t xml:space="preserve">1. Phạm vi đánh giá</w:t>
      </w:r>
    </w:p>
    <w:p>
      <w:pPr>
        <w:spacing w:after="60" w:before="60" w:line="360" w:lineRule="atLeast"/>
        <w:ind w:firstLine="709"/>
        <w:jc w:val="both"/>
      </w:pPr>
      <w:r>
        <w:rPr>
          <w:rFonts w:ascii="Times New Roman" w:cs="Times New Roman" w:eastAsia="Times New Roman" w:hAnsi="Times New Roman"/>
          <w:sz w:val="28"/>
          <w:szCs w:val="28"/>
        </w:rPr>
        <w:t xml:space="preserve">Phạm vi đánh giá bao gồm toàn bộ khu vực vận hành của CongTyABC, được phân chia theo ba nhóm hạng mục trình bày tại bảng dưới đây. Chữ trong bảng dùng cỡ 12, nhỏ hơn thân văn bản hai bậc.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sz="4"/>
              <w:left w:val="single" w:sz="4"/>
              <w:bottom w:val="single" w:sz="4"/>
              <w:right w:val="single" w:sz="4"/>
            </w:tcBorders>
            <w:shd w:fill="E8E8E8"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Stt</w:t>
            </w:r>
          </w:p>
        </w:tc>
        <w:tc>
          <w:tcPr>
            <w:tcW w:type="pct" w:w="51%"/>
            <w:tcBorders>
              <w:top w:val="single" w:sz="4"/>
              <w:left w:val="single" w:sz="4"/>
              <w:bottom w:val="single" w:sz="4"/>
              <w:right w:val="single" w:sz="4"/>
            </w:tcBorders>
            <w:shd w:fill="E8E8E8"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Hạng mục</w:t>
            </w:r>
          </w:p>
        </w:tc>
        <w:tc>
          <w:tcPr>
            <w:tcW w:type="pct" w:w="26%"/>
            <w:tcBorders>
              <w:top w:val="single" w:sz="4"/>
              <w:left w:val="single" w:sz="4"/>
              <w:bottom w:val="single" w:sz="4"/>
              <w:right w:val="single" w:sz="4"/>
            </w:tcBorders>
            <w:shd w:fill="E8E8E8"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Khối lượng (m2)</w:t>
            </w:r>
          </w:p>
        </w:tc>
        <w:tc>
          <w:tcPr>
            <w:tcW w:type="pct" w:w="16%"/>
            <w:tcBorders>
              <w:top w:val="single" w:sz="4"/>
              <w:left w:val="single" w:sz="4"/>
              <w:bottom w:val="single" w:sz="4"/>
              <w:right w:val="single" w:sz="4"/>
            </w:tcBorders>
            <w:shd w:fill="E8E8E8"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Tỷ lệ (%)</w:t>
            </w:r>
          </w:p>
        </w:tc>
      </w:tr>
      <w:tr>
        <w:tc>
          <w:tcPr>
            <w:tcW w:type="pct" w:w="8%"/>
            <w:tcBorders>
              <w:top w:val="single" w:sz="4"/>
              <w:left w:val="single" w:sz="4"/>
              <w:bottom w:val="single" w:sz="4"/>
              <w:right w:val="single" w:sz="4"/>
            </w:tcBorders>
            <w:tcMar>
              <w:top w:type="dxa" w:w="60"/>
              <w:left w:type="dxa" w:w="100"/>
              <w:bottom w:type="dxa" w:w="60"/>
              <w:right w:type="dxa" w:w="100"/>
            </w:tcMar>
          </w:tcPr>
          <w:p>
            <w:pPr>
              <w:spacing w:after="0" w:line="276"/>
              <w:jc w:val="center"/>
            </w:pPr>
            <w:r>
              <w:rPr>
                <w:rFonts w:ascii="Times New Roman" w:cs="Times New Roman" w:eastAsia="Times New Roman" w:hAnsi="Times New Roman"/>
                <w:sz w:val="24"/>
                <w:szCs w:val="24"/>
              </w:rPr>
              <w:t xml:space="preserve">1</w:t>
            </w:r>
          </w:p>
        </w:tc>
        <w:tc>
          <w:tcPr>
            <w:tcW w:type="pct" w:w="51%"/>
            <w:tcBorders>
              <w:top w:val="single" w:sz="4"/>
              <w:left w:val="single" w:sz="4"/>
              <w:bottom w:val="single" w:sz="4"/>
              <w:right w:val="single"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Khu vực sản xuất chính</w:t>
            </w:r>
          </w:p>
        </w:tc>
        <w:tc>
          <w:tcPr>
            <w:tcW w:type="pct" w:w="2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12.500</w:t>
            </w:r>
          </w:p>
        </w:tc>
        <w:tc>
          <w:tcPr>
            <w:tcW w:type="pct" w:w="1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45,5</w:t>
            </w:r>
          </w:p>
        </w:tc>
      </w:tr>
      <w:tr>
        <w:tc>
          <w:tcPr>
            <w:tcW w:type="pct" w:w="8%"/>
            <w:tcBorders>
              <w:top w:val="single" w:sz="4"/>
              <w:left w:val="single" w:sz="4"/>
              <w:bottom w:val="single" w:sz="4"/>
              <w:right w:val="single" w:sz="4"/>
            </w:tcBorders>
            <w:tcMar>
              <w:top w:type="dxa" w:w="60"/>
              <w:left w:type="dxa" w:w="100"/>
              <w:bottom w:type="dxa" w:w="60"/>
              <w:right w:type="dxa" w:w="100"/>
            </w:tcMar>
          </w:tcPr>
          <w:p>
            <w:pPr>
              <w:spacing w:after="0" w:line="276"/>
              <w:jc w:val="center"/>
            </w:pPr>
            <w:r>
              <w:rPr>
                <w:rFonts w:ascii="Times New Roman" w:cs="Times New Roman" w:eastAsia="Times New Roman" w:hAnsi="Times New Roman"/>
                <w:sz w:val="24"/>
                <w:szCs w:val="24"/>
              </w:rPr>
              <w:t xml:space="preserve">2</w:t>
            </w:r>
          </w:p>
        </w:tc>
        <w:tc>
          <w:tcPr>
            <w:tcW w:type="pct" w:w="51%"/>
            <w:tcBorders>
              <w:top w:val="single" w:sz="4"/>
              <w:left w:val="single" w:sz="4"/>
              <w:bottom w:val="single" w:sz="4"/>
              <w:right w:val="single"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Khu vực kho bãi và hạ tầng kỹ thuật</w:t>
            </w:r>
          </w:p>
        </w:tc>
        <w:tc>
          <w:tcPr>
            <w:tcW w:type="pct" w:w="2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8.200</w:t>
            </w:r>
          </w:p>
        </w:tc>
        <w:tc>
          <w:tcPr>
            <w:tcW w:type="pct" w:w="1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29,8</w:t>
            </w:r>
          </w:p>
        </w:tc>
      </w:tr>
      <w:tr>
        <w:tc>
          <w:tcPr>
            <w:tcW w:type="pct" w:w="8%"/>
            <w:tcBorders>
              <w:top w:val="single" w:sz="4"/>
              <w:left w:val="single" w:sz="4"/>
              <w:bottom w:val="single" w:sz="4"/>
              <w:right w:val="single" w:sz="4"/>
            </w:tcBorders>
            <w:tcMar>
              <w:top w:type="dxa" w:w="60"/>
              <w:left w:type="dxa" w:w="100"/>
              <w:bottom w:type="dxa" w:w="60"/>
              <w:right w:type="dxa" w:w="100"/>
            </w:tcMar>
          </w:tcPr>
          <w:p>
            <w:pPr>
              <w:spacing w:after="0" w:line="276"/>
              <w:jc w:val="center"/>
            </w:pPr>
            <w:r>
              <w:rPr>
                <w:rFonts w:ascii="Times New Roman" w:cs="Times New Roman" w:eastAsia="Times New Roman" w:hAnsi="Times New Roman"/>
                <w:sz w:val="24"/>
                <w:szCs w:val="24"/>
              </w:rPr>
              <w:t xml:space="preserve">3</w:t>
            </w:r>
          </w:p>
        </w:tc>
        <w:tc>
          <w:tcPr>
            <w:tcW w:type="pct" w:w="51%"/>
            <w:tcBorders>
              <w:top w:val="single" w:sz="4"/>
              <w:left w:val="single" w:sz="4"/>
              <w:bottom w:val="single" w:sz="4"/>
              <w:right w:val="single"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Khu vực văn phòng điều hành</w:t>
            </w:r>
          </w:p>
        </w:tc>
        <w:tc>
          <w:tcPr>
            <w:tcW w:type="pct" w:w="2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6.800</w:t>
            </w:r>
          </w:p>
        </w:tc>
        <w:tc>
          <w:tcPr>
            <w:tcW w:type="pct" w:w="16%"/>
            <w:tcBorders>
              <w:top w:val="single" w:sz="4"/>
              <w:left w:val="single" w:sz="4"/>
              <w:bottom w:val="single" w:sz="4"/>
              <w:right w:val="single" w:sz="4"/>
            </w:tcBorders>
            <w:tcMar>
              <w:top w:type="dxa" w:w="60"/>
              <w:left w:type="dxa" w:w="100"/>
              <w:bottom w:type="dxa" w:w="60"/>
              <w:right w:type="dxa" w:w="100"/>
            </w:tcMar>
          </w:tcPr>
          <w:p>
            <w:pPr>
              <w:spacing w:after="0" w:line="276"/>
              <w:jc w:val="right"/>
            </w:pPr>
            <w:r>
              <w:rPr>
                <w:rFonts w:ascii="Times New Roman" w:cs="Times New Roman" w:eastAsia="Times New Roman" w:hAnsi="Times New Roman"/>
                <w:sz w:val="24"/>
                <w:szCs w:val="24"/>
              </w:rPr>
              <w:t xml:space="preserve">24,7</w:t>
            </w:r>
          </w:p>
        </w:tc>
      </w:tr>
    </w:tbl>
    <w:p>
      <w:pPr>
        <w:spacing w:after="60" w:before="60" w:line="360" w:lineRule="atLeast"/>
        <w:ind w:firstLine="709"/>
        <w:jc w:val="both"/>
      </w:pPr>
      <w:r>
        <w:rPr>
          <w:rFonts w:ascii="Times New Roman" w:cs="Times New Roman" w:eastAsia="Times New Roman" w:hAnsi="Times New Roman"/>
          <w:b/>
          <w:bCs/>
          <w:sz w:val="28"/>
          <w:szCs w:val="28"/>
        </w:rPr>
        <w:t xml:space="preserve">2. Nguyên tắc phân cấp đề mục</w:t>
      </w:r>
    </w:p>
    <w:p>
      <w:pPr>
        <w:spacing w:after="60" w:before="60" w:line="360" w:lineRule="atLeast"/>
        <w:ind w:firstLine="709"/>
        <w:jc w:val="both"/>
      </w:pPr>
      <w:r>
        <w:rPr>
          <w:rFonts w:ascii="Times New Roman" w:cs="Times New Roman" w:eastAsia="Times New Roman" w:hAnsi="Times New Roman"/>
          <w:sz w:val="28"/>
          <w:szCs w:val="28"/>
        </w:rPr>
        <w:t xml:space="preserve">a) Cấp chữ cái dùng cho các nhóm nội dung ngang hàng bên trong một mục số.</w:t>
      </w:r>
    </w:p>
    <w:p>
      <w:pPr>
        <w:spacing w:after="60" w:before="60" w:line="360" w:lineRule="atLeast"/>
        <w:ind w:firstLine="709"/>
        <w:jc w:val="both"/>
      </w:pPr>
      <w:r>
        <w:rPr>
          <w:rFonts w:ascii="Times New Roman" w:cs="Times New Roman" w:eastAsia="Times New Roman" w:hAnsi="Times New Roman"/>
          <w:sz w:val="28"/>
          <w:szCs w:val="28"/>
        </w:rPr>
        <w:t xml:space="preserve">- Cấp gạch ngang dùng cho các ý liệt kê, mang cùng thụt đầu dòng 1,25 cm với thân văn bản.</w:t>
      </w:r>
    </w:p>
    <w:p>
      <w:pPr>
        <w:spacing w:after="60" w:before="60" w:line="360" w:lineRule="atLeast"/>
        <w:ind w:firstLine="709"/>
        <w:jc w:val="both"/>
      </w:pPr>
      <w:r>
        <w:rPr>
          <w:rFonts w:ascii="Times New Roman" w:cs="Times New Roman" w:eastAsia="Times New Roman" w:hAnsi="Times New Roman"/>
          <w:sz w:val="28"/>
          <w:szCs w:val="28"/>
        </w:rPr>
        <w:t xml:space="preserve">+ Cấp dấu cộng dùng cho ý con của gạch ngang, cũng không tăng lề trái.</w:t>
      </w:r>
    </w:p>
    <w:p>
      <w:pPr>
        <w:spacing w:after="60" w:before="60" w:line="360" w:lineRule="atLeast"/>
        <w:ind w:firstLine="567"/>
        <w:jc w:val="both"/>
      </w:pPr>
      <w:r>
        <w:rPr>
          <w:rFonts w:ascii="Times New Roman" w:cs="Times New Roman" w:eastAsia="Times New Roman" w:hAnsi="Times New Roman"/>
          <w:b/>
          <w:bCs/>
          <w:sz w:val="28"/>
          <w:szCs w:val="28"/>
        </w:rPr>
        <w:t xml:space="preserve">II. KẾT LUẬN</w:t>
      </w:r>
    </w:p>
    <w:p>
      <w:pPr>
        <w:spacing w:after="60" w:before="60" w:line="360" w:lineRule="atLeast"/>
        <w:ind w:firstLine="709"/>
        <w:jc w:val="both"/>
      </w:pPr>
      <w:r>
        <w:rPr>
          <w:rFonts w:ascii="Times New Roman" w:cs="Times New Roman" w:eastAsia="Times New Roman" w:hAnsi="Times New Roman"/>
          <w:sz w:val="28"/>
          <w:szCs w:val="28"/>
        </w:rPr>
        <w:t xml:space="preserve">Đề mục cấp cao nhất thụt 1,0 cm, nhỏ hơn thân văn bản 1,25 cm, tạo hiệu ứng nhô trái làm điểm neo thị giác. Đề mục in đậm, nội dung chữ thường, không dùng nghiêng hay gạch chân để phân cấp.</w:t>
      </w:r>
    </w:p>
    <w:sectPr>
      <w:pgSz w:w="11906" w:h="16838" w:orient="portrait"/>
      <w:pgMar w:top="992" w:right="1134" w:bottom="992"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CongTyABC</dc:creator>
  <cp:lastModifiedBy>Un-named</cp:lastModifiedBy>
  <cp:revision>1</cp:revision>
  <dcterms:created xsi:type="dcterms:W3CDTF">2026-07-07T14:58:46.279Z</dcterms:created>
  <dcterms:modified xsi:type="dcterms:W3CDTF">2026-07-07T14:58:46.280Z</dcterms:modified>
</cp:coreProperties>
</file>

<file path=docProps/custom.xml><?xml version="1.0" encoding="utf-8"?>
<Properties xmlns="http://schemas.openxmlformats.org/officeDocument/2006/custom-properties" xmlns:vt="http://schemas.openxmlformats.org/officeDocument/2006/docPropsVTypes"/>
</file>