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2"/>
        <w:gridCol w:w="5669"/>
      </w:tblGrid>
      <w:tr>
        <w:tc>
          <w:tcPr>
            <w:tcW w:type="dxa" w:w="3402"/>
          </w:tcPr>
          <w:p>
            <w:pPr>
              <w:jc w:val="center"/>
            </w:pPr>
            <w:r>
              <w:rPr>
                <w:rFonts w:ascii="Times New Roman" w:hAnsi="Times New Roman"/>
                <w:b w:val="0"/>
                <w:i w:val="0"/>
                <w:sz w:val="24"/>
                <w:w w:val="95"/>
              </w:rPr>
              <w:t>UBND TỈNH AN GIANG</w:t>
            </w:r>
          </w:p>
        </w:tc>
        <w:tc>
          <w:tcPr>
            <w:tcW w:type="dxa" w:w="5669"/>
          </w:tcPr>
          <w:p>
            <w:pPr>
              <w:jc w:val="center"/>
            </w:pPr>
            <w:r>
              <w:rPr>
                <w:rFonts w:ascii="Times New Roman" w:hAnsi="Times New Roman"/>
                <w:b/>
                <w:i w:val="0"/>
                <w:sz w:val="24"/>
                <w:w w:val="95"/>
              </w:rPr>
              <w:t>CỘNG HÒA XÃ HỘI CHỦ NGHĨA VIỆT NAM</w:t>
            </w:r>
          </w:p>
        </w:tc>
      </w:tr>
      <w:tr>
        <w:tc>
          <w:tcPr>
            <w:tcW w:type="dxa" w:w="3402"/>
          </w:tcPr>
          <w:p>
            <w:pPr>
              <w:jc w:val="center"/>
            </w:pPr>
            <w:r>
              <w:rPr>
                <w:rFonts w:ascii="Times New Roman" w:hAnsi="Times New Roman"/>
                <w:b/>
                <w:i w:val="0"/>
                <w:sz w:val="26"/>
                <w:w w:val="95"/>
              </w:rPr>
              <w:t>CHỦ TỊCH</w:t>
            </w:r>
          </w:p>
        </w:tc>
        <w:tc>
          <w:tcPr>
            <w:tcW w:type="dxa" w:w="5669"/>
          </w:tcPr>
          <w:p>
            <w:pPr>
              <w:jc w:val="center"/>
            </w:pPr>
            <w:r>
              <w:rPr>
                <w:rFonts w:ascii="Times New Roman" w:hAnsi="Times New Roman"/>
                <w:b/>
                <w:i w:val="0"/>
                <w:sz w:val="26"/>
                <w:w w:val="95"/>
              </w:rPr>
              <w:t>Độc lập - Tự do - Hạnh phúc</w:t>
            </w:r>
          </w:p>
        </w:tc>
      </w:tr>
      <w:tr>
        <w:tc>
          <w:tcPr>
            <w:tcW w:type="dxa" w:w="3402"/>
          </w:tcPr>
          <w:p>
            <w:pPr>
              <w:jc w:val="center"/>
            </w:pPr>
            <w:r>
              <w:rPr>
                <w:rFonts w:ascii="Times New Roman" w:hAnsi="Times New Roman"/>
                <w:b w:val="0"/>
                <w:i w:val="0"/>
                <w:sz w:val="24"/>
              </w:rPr>
              <w:t>___________</w:t>
            </w:r>
          </w:p>
        </w:tc>
        <w:tc>
          <w:tcPr>
            <w:tcW w:type="dxa" w:w="5669"/>
          </w:tcPr>
          <w:p>
            <w:pPr>
              <w:jc w:val="center"/>
            </w:pPr>
            <w:r>
              <w:rPr>
                <w:rFonts w:ascii="Times New Roman" w:hAnsi="Times New Roman"/>
                <w:b w:val="0"/>
                <w:i w:val="0"/>
                <w:sz w:val="24"/>
              </w:rPr>
              <w:t>______________________</w:t>
            </w:r>
          </w:p>
        </w:tc>
      </w:tr>
      <w:tr>
        <w:tc>
          <w:tcPr>
            <w:tcW w:type="dxa" w:w="3402"/>
          </w:tcPr>
          <w:p>
            <w:pPr>
              <w:jc w:val="center"/>
            </w:pPr>
            <w:r>
              <w:rPr>
                <w:rFonts w:ascii="Times New Roman" w:hAnsi="Times New Roman"/>
                <w:b w:val="0"/>
                <w:i w:val="0"/>
                <w:sz w:val="26"/>
              </w:rPr>
              <w:t>Số: 789/QĐ-UBND</w:t>
            </w:r>
          </w:p>
        </w:tc>
        <w:tc>
          <w:tcPr>
            <w:tcW w:type="dxa" w:w="5669"/>
          </w:tcPr>
          <w:p>
            <w:pPr>
              <w:jc w:val="center"/>
            </w:pPr>
            <w:r>
              <w:rPr>
                <w:rFonts w:ascii="Times New Roman" w:hAnsi="Times New Roman"/>
                <w:b w:val="0"/>
                <w:i/>
                <w:sz w:val="26"/>
              </w:rPr>
              <w:t>Hà Nội, ngày 15 tháng 5 năm 2026</w:t>
            </w:r>
          </w:p>
        </w:tc>
      </w:tr>
    </w:tbl>
    <w:p/>
    <w:p>
      <w:pPr>
        <w:spacing w:after="0"/>
        <w:jc w:val="center"/>
      </w:pPr>
      <w:r>
        <w:rPr>
          <w:rFonts w:ascii="Times New Roman" w:hAnsi="Times New Roman"/>
          <w:b/>
          <w:i w:val="0"/>
          <w:sz w:val="28"/>
        </w:rPr>
        <w:t>QUYẾT ĐỊNH</w:t>
      </w:r>
    </w:p>
    <w:p>
      <w:pPr>
        <w:spacing w:after="0"/>
        <w:jc w:val="center"/>
      </w:pPr>
      <w:r>
        <w:rPr>
          <w:rFonts w:ascii="Times New Roman" w:hAnsi="Times New Roman"/>
          <w:b/>
          <w:i w:val="0"/>
          <w:sz w:val="26"/>
        </w:rPr>
        <w:t>Về việc phê duyệt chủ trương đầu tư dự án Nhà máy chế biến nông sản</w:t>
      </w:r>
    </w:p>
    <w:p>
      <w:pPr>
        <w:spacing w:after="240"/>
        <w:jc w:val="center"/>
      </w:pPr>
      <w:r>
        <w:rPr>
          <w:rFonts w:ascii="Times New Roman" w:hAnsi="Times New Roman"/>
          <w:b/>
          <w:i w:val="0"/>
          <w:sz w:val="26"/>
        </w:rPr>
        <w:t>công nghệ cao An Giang</w:t>
      </w:r>
    </w:p>
    <w:p>
      <w:pPr>
        <w:spacing w:after="240"/>
        <w:jc w:val="center"/>
      </w:pPr>
      <w:r>
        <w:rPr>
          <w:rFonts w:ascii="Times New Roman" w:hAnsi="Times New Roman"/>
          <w:b/>
          <w:i w:val="0"/>
          <w:sz w:val="26"/>
        </w:rPr>
        <w:t>CHỦ TỊCH ỦY BAN NHÂN DÂN TỈNH AN GIANG</w:t>
      </w:r>
    </w:p>
    <w:p>
      <w:pPr>
        <w:spacing w:after="120"/>
        <w:ind w:firstLine="720"/>
        <w:jc w:val="both"/>
      </w:pPr>
      <w:r>
        <w:rPr>
          <w:rFonts w:ascii="Times New Roman" w:hAnsi="Times New Roman"/>
          <w:b w:val="0"/>
          <w:i w:val="0"/>
          <w:sz w:val="26"/>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spacing w:after="120"/>
        <w:ind w:firstLine="720"/>
        <w:jc w:val="both"/>
      </w:pPr>
      <w:r>
        <w:rPr>
          <w:rFonts w:ascii="Times New Roman" w:hAnsi="Times New Roman"/>
          <w:b w:val="0"/>
          <w:i w:val="0"/>
          <w:sz w:val="26"/>
        </w:rPr>
        <w:t>Căn cứ Luật Đầu tư số 61/2020/QH14 ngày 17 tháng 6 năm 2020;</w:t>
      </w:r>
    </w:p>
    <w:p>
      <w:pPr>
        <w:spacing w:after="120"/>
        <w:ind w:firstLine="720"/>
        <w:jc w:val="both"/>
      </w:pPr>
      <w:r>
        <w:rPr>
          <w:rFonts w:ascii="Times New Roman" w:hAnsi="Times New Roman"/>
          <w:b w:val="0"/>
          <w:i w:val="0"/>
          <w:sz w:val="26"/>
        </w:rPr>
        <w:t>Căn cứ Nghị định số 31/2021/NĐ-CP ngày 26 tháng 3 năm 2021 của Chính phủ;</w:t>
      </w:r>
    </w:p>
    <w:p>
      <w:pPr>
        <w:spacing w:after="240"/>
        <w:ind w:firstLine="720"/>
        <w:jc w:val="both"/>
      </w:pPr>
      <w:r>
        <w:rPr>
          <w:rFonts w:ascii="Times New Roman" w:hAnsi="Times New Roman"/>
          <w:b w:val="0"/>
          <w:i w:val="0"/>
          <w:sz w:val="26"/>
        </w:rPr>
        <w:t>Theo đề nghị của Giám đốc Sở Kế hoạch và Đầu tư tại Công văn số 456/SKHĐT-ĐTNN ngày 15 tháng 5 năm 2026,</w:t>
      </w:r>
    </w:p>
    <w:p>
      <w:pPr>
        <w:spacing w:after="240"/>
        <w:jc w:val="center"/>
      </w:pPr>
      <w:r>
        <w:rPr>
          <w:rFonts w:ascii="Times New Roman" w:hAnsi="Times New Roman"/>
          <w:b/>
          <w:i w:val="0"/>
          <w:sz w:val="26"/>
        </w:rPr>
        <w:t>QUYẾT ĐỊNH:</w:t>
      </w:r>
    </w:p>
    <w:p>
      <w:pPr>
        <w:spacing w:after="120"/>
        <w:ind w:firstLine="720"/>
        <w:jc w:val="both"/>
      </w:pPr>
      <w:r>
        <w:rPr>
          <w:rFonts w:ascii="Times New Roman" w:hAnsi="Times New Roman"/>
          <w:b w:val="0"/>
          <w:i w:val="0"/>
          <w:sz w:val="26"/>
        </w:rPr>
        <w:t>Điều 1. Phê duyệt chủ trương đầu tư dự án Nhà máy chế biến nông sản công nghệ cao An Giang với các nội dung chính sau:</w:t>
      </w:r>
    </w:p>
    <w:p>
      <w:pPr>
        <w:spacing w:after="120"/>
        <w:ind w:firstLine="720"/>
        <w:jc w:val="both"/>
      </w:pPr>
      <w:r>
        <w:rPr>
          <w:rFonts w:ascii="Times New Roman" w:hAnsi="Times New Roman"/>
          <w:b w:val="0"/>
          <w:i w:val="0"/>
          <w:sz w:val="26"/>
        </w:rPr>
        <w:t>1. Nhà đầu tư: Công ty TNHH Nông sản Xanh Việt Nam.</w:t>
      </w:r>
    </w:p>
    <w:p>
      <w:pPr>
        <w:spacing w:after="120"/>
        <w:ind w:firstLine="720"/>
        <w:jc w:val="both"/>
      </w:pPr>
      <w:r>
        <w:rPr>
          <w:rFonts w:ascii="Times New Roman" w:hAnsi="Times New Roman"/>
          <w:b w:val="0"/>
          <w:i w:val="0"/>
          <w:sz w:val="26"/>
        </w:rPr>
        <w:t>2. Tên dự án: Nhà máy chế biến nông sản công nghệ cao An Giang.</w:t>
      </w:r>
    </w:p>
    <w:p>
      <w:pPr>
        <w:spacing w:after="120"/>
        <w:ind w:firstLine="720"/>
        <w:jc w:val="both"/>
      </w:pPr>
      <w:r>
        <w:rPr>
          <w:rFonts w:ascii="Times New Roman" w:hAnsi="Times New Roman"/>
          <w:b w:val="0"/>
          <w:i w:val="0"/>
          <w:sz w:val="26"/>
        </w:rPr>
        <w:t>3. Mục tiêu: Chế biến, bảo quản và xuất khẩu nông sản (gạo, trái cây, thủy sản) đạt tiêu chuẩn quốc tế.</w:t>
      </w:r>
    </w:p>
    <w:p>
      <w:pPr>
        <w:spacing w:after="120"/>
        <w:ind w:firstLine="720"/>
        <w:jc w:val="both"/>
      </w:pPr>
      <w:r>
        <w:rPr>
          <w:rFonts w:ascii="Times New Roman" w:hAnsi="Times New Roman"/>
          <w:b w:val="0"/>
          <w:i w:val="0"/>
          <w:sz w:val="26"/>
        </w:rPr>
        <w:t>4. Quy mô: Công suất 50.000 tấn/năm, diện tích 25.000 m².</w:t>
      </w:r>
    </w:p>
    <w:p>
      <w:pPr>
        <w:spacing w:after="120"/>
        <w:ind w:firstLine="720"/>
        <w:jc w:val="both"/>
      </w:pPr>
      <w:r>
        <w:rPr>
          <w:rFonts w:ascii="Times New Roman" w:hAnsi="Times New Roman"/>
          <w:b w:val="0"/>
          <w:i w:val="0"/>
          <w:sz w:val="26"/>
        </w:rPr>
        <w:t>5. Địa điểm: Lô CN-05, KCN Bình Long, huyện Châu Phú, tỉnh An Giang.</w:t>
      </w:r>
    </w:p>
    <w:p>
      <w:pPr>
        <w:spacing w:after="120"/>
        <w:ind w:firstLine="720"/>
        <w:jc w:val="both"/>
      </w:pPr>
      <w:r>
        <w:rPr>
          <w:rFonts w:ascii="Times New Roman" w:hAnsi="Times New Roman"/>
          <w:b w:val="0"/>
          <w:i w:val="0"/>
          <w:sz w:val="26"/>
        </w:rPr>
        <w:t>6. Tổng vốn đầu tư: 185.000.000.000 đồng.</w:t>
      </w:r>
    </w:p>
    <w:p>
      <w:pPr>
        <w:spacing w:after="120"/>
        <w:ind w:firstLine="720"/>
        <w:jc w:val="both"/>
      </w:pPr>
      <w:r>
        <w:rPr>
          <w:rFonts w:ascii="Times New Roman" w:hAnsi="Times New Roman"/>
          <w:b w:val="0"/>
          <w:i w:val="0"/>
          <w:sz w:val="26"/>
        </w:rPr>
        <w:t>7. Tiến độ: Khởi công quý III/2026, hoàn thành quý IV/2027.</w:t>
      </w:r>
    </w:p>
    <w:p>
      <w:pPr>
        <w:spacing w:after="120"/>
        <w:ind w:firstLine="720"/>
        <w:jc w:val="both"/>
      </w:pPr>
      <w:r>
        <w:rPr>
          <w:rFonts w:ascii="Times New Roman" w:hAnsi="Times New Roman"/>
          <w:b w:val="0"/>
          <w:i w:val="0"/>
          <w:sz w:val="26"/>
        </w:rPr>
        <w:t>8. Thời hạn: 50 năm.</w:t>
      </w:r>
    </w:p>
    <w:p>
      <w:pPr>
        <w:spacing w:after="120"/>
        <w:ind w:firstLine="720"/>
        <w:jc w:val="both"/>
      </w:pPr>
      <w:r>
        <w:rPr>
          <w:rFonts w:ascii="Times New Roman" w:hAnsi="Times New Roman"/>
          <w:b w:val="0"/>
          <w:i w:val="0"/>
          <w:sz w:val="26"/>
        </w:rPr>
        <w:t>Điều 2. Nhà đầu tư có trách nhiệm thực hiện đầy đủ các thủ tục về đất đai, xây dựng, môi trường theo quy định của pháp luật trước khi triển khai dự án.</w:t>
      </w:r>
    </w:p>
    <w:p>
      <w:pPr>
        <w:spacing w:after="120"/>
        <w:ind w:firstLine="720"/>
        <w:jc w:val="both"/>
      </w:pPr>
      <w:r>
        <w:rPr>
          <w:rFonts w:ascii="Times New Roman" w:hAnsi="Times New Roman"/>
          <w:b w:val="0"/>
          <w:i w:val="0"/>
          <w:sz w:val="26"/>
        </w:rPr>
        <w:t>Điều 3. Chánh Văn phòng UBND tỉnh, Giám đốc các Sở: Kế hoạch và Đầu tư, Tài nguyên và Môi trường, Xây dựng, Công Thương; Chủ tịch UBND huyện Châu Phú; Trưởng Ban Quản lý các Khu công nghiệp tỉnh và Giám đốc Công ty TNHH Nông sản Xanh Việt Nam chịu trách nhiệm thi hành Quyết định này.</w:t>
      </w:r>
    </w:p>
    <w:p>
      <w:pPr>
        <w:spacing w:after="400"/>
        <w:ind w:firstLine="720"/>
        <w:jc w:val="both"/>
      </w:pPr>
      <w:r>
        <w:rPr>
          <w:rFonts w:ascii="Times New Roman" w:hAnsi="Times New Roman"/>
          <w:b w:val="0"/>
          <w:i w:val="0"/>
          <w:sz w:val="26"/>
        </w:rPr>
        <w:t>Quyết định này có hiệu lực kể từ ngày ký./.</w:t>
      </w:r>
    </w:p>
    <w:tbl>
      <w:tblPr>
        <w:tblW w:type="auto" w:w="0"/>
        <w:tblLayout w:type="fixed"/>
        <w:tblLook w:firstColumn="1" w:firstRow="1" w:lastColumn="0" w:lastRow="0" w:noHBand="0" w:noVBand="1" w:val="04A0"/>
      </w:tblPr>
      <w:tblGrid>
        <w:gridCol w:w="4535"/>
        <w:gridCol w:w="4535"/>
      </w:tblGrid>
      <w:tr>
        <w:tc>
          <w:tcPr>
            <w:tcW w:type="dxa" w:w="4535"/>
          </w:tcPr>
          <w:p>
            <w:pPr>
              <w:jc w:val="left"/>
            </w:pPr>
            <w:r>
              <w:rPr>
                <w:rFonts w:ascii="Times New Roman" w:hAnsi="Times New Roman"/>
                <w:b/>
                <w:i/>
                <w:sz w:val="22"/>
              </w:rPr>
              <w:t>Nơi nhận:</w:t>
            </w:r>
          </w:p>
          <w:p>
            <w:pPr>
              <w:spacing w:after="0"/>
              <w:jc w:val="left"/>
            </w:pPr>
            <w:r>
              <w:rPr>
                <w:rFonts w:ascii="Times New Roman" w:hAnsi="Times New Roman"/>
                <w:b w:val="0"/>
                <w:i/>
                <w:sz w:val="22"/>
              </w:rPr>
              <w:t>- Như Điều 3;</w:t>
            </w:r>
          </w:p>
          <w:p>
            <w:pPr>
              <w:spacing w:after="0"/>
              <w:jc w:val="left"/>
            </w:pPr>
            <w:r>
              <w:rPr>
                <w:rFonts w:ascii="Times New Roman" w:hAnsi="Times New Roman"/>
                <w:b w:val="0"/>
                <w:i/>
                <w:sz w:val="22"/>
              </w:rPr>
              <w:t>- Bộ Kế hoạch và Đầu tư (để b/c);</w:t>
            </w:r>
          </w:p>
          <w:p>
            <w:pPr>
              <w:spacing w:after="0"/>
              <w:jc w:val="left"/>
            </w:pPr>
            <w:r>
              <w:rPr>
                <w:rFonts w:ascii="Times New Roman" w:hAnsi="Times New Roman"/>
                <w:b w:val="0"/>
                <w:i/>
                <w:sz w:val="22"/>
              </w:rPr>
              <w:t>- CT, các PCT UBND tỉnh;</w:t>
            </w:r>
          </w:p>
          <w:p>
            <w:pPr>
              <w:spacing w:after="0"/>
              <w:jc w:val="left"/>
            </w:pPr>
            <w:r>
              <w:rPr>
                <w:rFonts w:ascii="Times New Roman" w:hAnsi="Times New Roman"/>
                <w:b w:val="0"/>
                <w:i/>
                <w:sz w:val="22"/>
              </w:rPr>
              <w:t>- Lưu: VT, KTN.</w:t>
            </w:r>
          </w:p>
        </w:tc>
        <w:tc>
          <w:tcPr>
            <w:tcW w:type="dxa" w:w="4535"/>
          </w:tcPr>
          <w:p>
            <w:pPr>
              <w:jc w:val="center"/>
            </w:pPr>
            <w:r>
              <w:rPr>
                <w:rFonts w:ascii="Times New Roman" w:hAnsi="Times New Roman"/>
                <w:b/>
                <w:i w:val="0"/>
                <w:sz w:val="26"/>
              </w:rPr>
              <w:t>CHỦ TỊCH</w:t>
            </w:r>
          </w:p>
          <w:p>
            <w:pPr>
              <w:spacing w:after="800"/>
              <w:jc w:val="center"/>
            </w:pPr>
            <w:r>
              <w:rPr>
                <w:rFonts w:ascii="Times New Roman" w:hAnsi="Times New Roman"/>
                <w:b w:val="0"/>
                <w:i/>
                <w:sz w:val="26"/>
              </w:rPr>
              <w:t>(Đã ký)</w:t>
            </w:r>
          </w:p>
          <w:p>
            <w:pPr>
              <w:jc w:val="center"/>
            </w:pPr>
            <w:r>
              <w:rPr>
                <w:rFonts w:ascii="Times New Roman" w:hAnsi="Times New Roman"/>
                <w:b/>
                <w:i w:val="0"/>
                <w:sz w:val="26"/>
              </w:rPr>
              <w:t>Nguyễn Thanh Bình</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