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宋体" w:hAnsi="宋体" w:eastAsia="宋体"/>
          <w:sz w:val="32"/>
        </w:rPr>
        <w:t>各位律师好，</w:t>
        <w:br/>
        <w:t>2024年10月25日 13:46，常年客户信息披露更新如下：</w:t>
        <w:br/>
      </w:r>
    </w:p>
    <w:p>
      <w:pPr>
        <w:pStyle w:val="Heading2"/>
      </w:pPr>
      <w:r>
        <w:rPr>
          <w:rFonts w:ascii="宋体" w:hAnsi="宋体" w:eastAsia="宋体"/>
          <w:sz w:val="32"/>
        </w:rPr>
        <w:t>一、公告：</w:t>
      </w:r>
    </w:p>
    <w:p>
      <w:r>
        <w:rPr>
          <w:rFonts w:ascii="宋体" w:hAnsi="宋体" w:eastAsia="宋体"/>
          <w:sz w:val="32"/>
        </w:rPr>
        <w:t>1. 天龙集团</w:t>
      </w:r>
    </w:p>
    <w:p>
      <w:r>
        <w:rPr>
          <w:rFonts w:ascii="宋体" w:hAnsi="宋体" w:eastAsia="宋体"/>
          <w:sz w:val="32"/>
        </w:rPr>
        <w:t>2024-10-25 11:39:</w:t>
      </w:r>
      <w:hyperlink r:id="rId9">
        <w:r>
          <w:rPr>
            <w:color w:val="0000FF"/>
            <w:u w:val="single"/>
            <w:rFonts w:ascii="宋体" w:eastAsia="宋体"/>
            <w:sz w:val="32"/>
          </w:rPr>
          <w:t>关于为子公司提供担保的进展公告</w:t>
        </w:r>
      </w:hyperlink>
    </w:p>
    <w:p>
      <w:r>
        <w:rPr>
          <w:rFonts w:ascii="宋体" w:hAnsi="宋体" w:eastAsia="宋体"/>
          <w:sz w:val="32"/>
        </w:rPr>
        <w:t>2. 弘信电子</w:t>
      </w:r>
    </w:p>
    <w:p>
      <w:r>
        <w:rPr>
          <w:rFonts w:ascii="宋体" w:hAnsi="宋体" w:eastAsia="宋体"/>
          <w:sz w:val="32"/>
        </w:rPr>
        <w:t>2024-10-25:</w:t>
      </w:r>
      <w:hyperlink r:id="rId10">
        <w:r>
          <w:rPr>
            <w:color w:val="0000FF"/>
            <w:u w:val="single"/>
            <w:rFonts w:ascii="宋体" w:eastAsia="宋体"/>
            <w:sz w:val="32"/>
          </w:rPr>
          <w:t>关于控股股东部分股份解除质押的公告</w:t>
        </w:r>
      </w:hyperlink>
    </w:p>
    <w:p>
      <w:r>
        <w:rPr>
          <w:rFonts w:ascii="宋体" w:hAnsi="宋体" w:eastAsia="宋体"/>
          <w:sz w:val="32"/>
        </w:rPr>
        <w:t>3. 利元亨</w:t>
      </w:r>
    </w:p>
    <w:p>
      <w:r>
        <w:rPr>
          <w:rFonts w:ascii="宋体" w:hAnsi="宋体" w:eastAsia="宋体"/>
          <w:sz w:val="32"/>
        </w:rPr>
        <w:t>2024-10-25:</w:t>
      </w:r>
      <w:hyperlink r:id="rId11">
        <w:r>
          <w:rPr>
            <w:color w:val="0000FF"/>
            <w:u w:val="single"/>
            <w:rFonts w:ascii="宋体" w:eastAsia="宋体"/>
            <w:sz w:val="32"/>
          </w:rPr>
          <w:t>广东利元亨智能装备股份有限公司关于使用部分闲置募集资金暂时补充流动资金的公告</w:t>
        </w:r>
      </w:hyperlink>
    </w:p>
    <w:p>
      <w:r>
        <w:rPr>
          <w:rFonts w:ascii="宋体" w:hAnsi="宋体" w:eastAsia="宋体"/>
          <w:sz w:val="32"/>
        </w:rPr>
        <w:t>2024-10-25:</w:t>
      </w:r>
      <w:hyperlink r:id="rId12">
        <w:r>
          <w:rPr>
            <w:color w:val="0000FF"/>
            <w:u w:val="single"/>
            <w:rFonts w:ascii="宋体" w:eastAsia="宋体"/>
            <w:sz w:val="32"/>
          </w:rPr>
          <w:t>中信证券股份有限公司关于广东利元亨智能装备股份有限公司使用部分闲置募集资金暂时补充流动资金的核查意见</w:t>
        </w:r>
      </w:hyperlink>
    </w:p>
    <w:p>
      <w:r>
        <w:rPr>
          <w:rFonts w:ascii="宋体" w:hAnsi="宋体" w:eastAsia="宋体"/>
          <w:sz w:val="32"/>
        </w:rPr>
        <w:t>2024-10-25:</w:t>
      </w:r>
      <w:hyperlink r:id="rId13">
        <w:r>
          <w:rPr>
            <w:color w:val="0000FF"/>
            <w:u w:val="single"/>
            <w:rFonts w:ascii="宋体" w:eastAsia="宋体"/>
            <w:sz w:val="32"/>
          </w:rPr>
          <w:t>广东利元亨智能装备股份有限公司第三届监事会第六次会议决议公告</w:t>
        </w:r>
      </w:hyperlink>
    </w:p>
    <w:p>
      <w:r>
        <w:rPr>
          <w:rFonts w:ascii="宋体" w:hAnsi="宋体" w:eastAsia="宋体"/>
          <w:sz w:val="32"/>
        </w:rPr>
        <w:t>2024-10-25:</w:t>
      </w:r>
      <w:hyperlink r:id="rId14">
        <w:r>
          <w:rPr>
            <w:color w:val="0000FF"/>
            <w:u w:val="single"/>
            <w:rFonts w:ascii="宋体" w:eastAsia="宋体"/>
            <w:sz w:val="32"/>
          </w:rPr>
          <w:t>广东利元亨智能装备股份有限公司关于部分募投项目延期的公告</w:t>
        </w:r>
      </w:hyperlink>
    </w:p>
    <w:p>
      <w:r>
        <w:rPr>
          <w:rFonts w:ascii="宋体" w:hAnsi="宋体" w:eastAsia="宋体"/>
          <w:sz w:val="32"/>
        </w:rPr>
        <w:t>2024-10-25:</w:t>
      </w:r>
      <w:hyperlink r:id="rId15">
        <w:r>
          <w:rPr>
            <w:color w:val="0000FF"/>
            <w:u w:val="single"/>
            <w:rFonts w:ascii="宋体" w:eastAsia="宋体"/>
            <w:sz w:val="32"/>
          </w:rPr>
          <w:t>广东利元亨智能装备股份有限公司关于继续使用部分暂时闲置募集资金进行现金管理的公告</w:t>
        </w:r>
      </w:hyperlink>
    </w:p>
    <w:p>
      <w:r>
        <w:rPr>
          <w:rFonts w:ascii="宋体" w:hAnsi="宋体" w:eastAsia="宋体"/>
          <w:sz w:val="32"/>
        </w:rPr>
        <w:t>2024-10-25:</w:t>
      </w:r>
      <w:hyperlink r:id="rId16">
        <w:r>
          <w:rPr>
            <w:color w:val="0000FF"/>
            <w:u w:val="single"/>
            <w:rFonts w:ascii="宋体" w:eastAsia="宋体"/>
            <w:sz w:val="32"/>
          </w:rPr>
          <w:t>中信证券股份有限公司关于广东利元亨智能装备股份有限公司部分募投项目延期的核查意见</w:t>
        </w:r>
      </w:hyperlink>
    </w:p>
    <w:p>
      <w:r>
        <w:rPr>
          <w:rFonts w:ascii="宋体" w:hAnsi="宋体" w:eastAsia="宋体"/>
          <w:sz w:val="32"/>
        </w:rPr>
        <w:t>2024-10-25:</w:t>
      </w:r>
      <w:hyperlink r:id="rId17">
        <w:r>
          <w:rPr>
            <w:color w:val="0000FF"/>
            <w:u w:val="single"/>
            <w:rFonts w:ascii="宋体" w:eastAsia="宋体"/>
            <w:sz w:val="32"/>
          </w:rPr>
          <w:t>中信证券股份有限公司关于广东利元亨智能装备股份有限公司继续使用部分暂时闲置募集资金进行现金管理的核查意见</w:t>
        </w:r>
      </w:hyperlink>
    </w:p>
    <w:p>
      <w:pPr>
        <w:pStyle w:val="Heading2"/>
      </w:pPr>
      <w:r>
        <w:rPr>
          <w:rFonts w:ascii="宋体" w:hAnsi="宋体" w:eastAsia="宋体"/>
          <w:sz w:val="32"/>
        </w:rPr>
        <w:t>二、新闻：</w:t>
      </w:r>
    </w:p>
    <w:p>
      <w:r>
        <w:rPr>
          <w:rFonts w:ascii="宋体" w:hAnsi="宋体" w:eastAsia="宋体"/>
          <w:sz w:val="32"/>
        </w:rPr>
        <w:t>1.天赐材料</w:t>
      </w:r>
    </w:p>
    <w:p>
      <w:hyperlink r:id="rId18">
        <w:r>
          <w:rPr>
            <w:color w:val="0000FF"/>
            <w:u w:val="single"/>
            <w:rFonts w:ascii="宋体" w:eastAsia="宋体"/>
            <w:sz w:val="32"/>
          </w:rPr>
          <w:t>A股午评：北证50指数大涨8.54%续刷历史新高 光伏概念股掀涨停潮</w:t>
        </w:r>
      </w:hyperlink>
    </w:p>
    <w:p>
      <w:hyperlink r:id="rId19">
        <w:r>
          <w:rPr>
            <w:color w:val="0000FF"/>
            <w:u w:val="single"/>
            <w:rFonts w:ascii="宋体" w:eastAsia="宋体"/>
            <w:sz w:val="32"/>
          </w:rPr>
          <w:t>105只股中线走稳 站上半年线</w:t>
        </w:r>
      </w:hyperlink>
    </w:p>
    <w:p>
      <w:hyperlink r:id="rId20">
        <w:r>
          <w:rPr>
            <w:color w:val="0000FF"/>
            <w:u w:val="single"/>
            <w:rFonts w:ascii="宋体" w:eastAsia="宋体"/>
            <w:sz w:val="32"/>
          </w:rPr>
          <w:t>锂电持续发力，龙头个股最高飙涨超8%！化工板块开盘猛拉，化工ETF（516020）盘中上探1.48%！</w:t>
        </w:r>
      </w:hyperlink>
    </w:p>
    <w:p>
      <w:hyperlink r:id="rId21">
        <w:r>
          <w:rPr>
            <w:color w:val="0000FF"/>
            <w:u w:val="single"/>
            <w:rFonts w:ascii="宋体" w:eastAsia="宋体"/>
            <w:sz w:val="32"/>
          </w:rPr>
          <w:t>宁德时代钠离子电池落地！电池ETF基金(562880)上涨3.65%</w:t>
        </w:r>
      </w:hyperlink>
    </w:p>
    <w:p>
      <w:hyperlink r:id="rId22">
        <w:r>
          <w:rPr>
            <w:color w:val="0000FF"/>
            <w:u w:val="single"/>
            <w:rFonts w:ascii="宋体" w:eastAsia="宋体"/>
            <w:sz w:val="32"/>
          </w:rPr>
          <w:t>六氟磷酸锂板块强势 天赐材料涨幅居前</w:t>
        </w:r>
      </w:hyperlink>
    </w:p>
    <w:p>
      <w:r>
        <w:rPr>
          <w:rFonts w:ascii="宋体" w:hAnsi="宋体" w:eastAsia="宋体"/>
          <w:sz w:val="32"/>
        </w:rPr>
        <w:t>2.蓝盾股份</w:t>
      </w:r>
    </w:p>
    <w:p>
      <w:hyperlink r:id="rId23">
        <w:r>
          <w:rPr>
            <w:color w:val="0000FF"/>
            <w:u w:val="single"/>
            <w:rFonts w:ascii="宋体" w:eastAsia="宋体"/>
            <w:sz w:val="32"/>
          </w:rPr>
          <w:t>宏天信业：多次大宗交易主体关系待解 外采主要业务核心环节或异于同行</w:t>
        </w:r>
      </w:hyperlink>
    </w:p>
    <w:p>
      <w:r>
        <w:rPr>
          <w:rFonts w:ascii="宋体" w:hAnsi="宋体" w:eastAsia="宋体"/>
          <w:sz w:val="32"/>
        </w:rPr>
        <w:t>3.英联股份</w:t>
      </w:r>
    </w:p>
    <w:p>
      <w:hyperlink r:id="rId24">
        <w:r>
          <w:rPr>
            <w:color w:val="0000FF"/>
            <w:u w:val="single"/>
            <w:rFonts w:ascii="宋体" w:eastAsia="宋体"/>
            <w:sz w:val="32"/>
          </w:rPr>
          <w:t>PET铜箔板块震荡走高 宝明科技涨停</w:t>
        </w:r>
      </w:hyperlink>
    </w:p>
    <w:p>
      <w:r>
        <w:rPr>
          <w:rFonts w:ascii="宋体" w:hAnsi="宋体" w:eastAsia="宋体"/>
          <w:sz w:val="32"/>
        </w:rPr>
        <w:t>4.弘信电子</w:t>
      </w:r>
    </w:p>
    <w:p>
      <w:hyperlink r:id="rId25">
        <w:r>
          <w:rPr>
            <w:color w:val="0000FF"/>
            <w:u w:val="single"/>
            <w:rFonts w:ascii="宋体" w:eastAsia="宋体"/>
            <w:sz w:val="32"/>
          </w:rPr>
          <w:t>【牢记嘱托 奋力谱写中国式现代化甘肃篇章】双向奔赴 共赢未来——天水借产业转移乘风起航</w:t>
        </w:r>
      </w:hyperlink>
    </w:p>
    <w:p>
      <w:r>
        <w:rPr>
          <w:rFonts w:ascii="宋体" w:hAnsi="宋体" w:eastAsia="宋体"/>
          <w:sz w:val="32"/>
        </w:rPr>
        <w:t>5.小熊电器</w:t>
      </w:r>
    </w:p>
    <w:p>
      <w:hyperlink r:id="rId26">
        <w:r>
          <w:rPr>
            <w:color w:val="0000FF"/>
            <w:u w:val="single"/>
            <w:rFonts w:ascii="宋体" w:eastAsia="宋体"/>
            <w:sz w:val="32"/>
          </w:rPr>
          <w:t>小熊电器涨2.03%，成交额4402.38万元，主力资金净流入237.91万元</w:t>
        </w:r>
      </w:hyperlink>
    </w:p>
    <w:p>
      <w:r>
        <w:rPr>
          <w:rFonts w:ascii="宋体" w:hAnsi="宋体" w:eastAsia="宋体"/>
          <w:sz w:val="32"/>
        </w:rPr>
        <w:t>6.立高食品</w:t>
      </w:r>
    </w:p>
    <w:p>
      <w:hyperlink r:id="rId27">
        <w:r>
          <w:rPr>
            <w:color w:val="0000FF"/>
            <w:u w:val="single"/>
            <w:rFonts w:ascii="宋体" w:eastAsia="宋体"/>
            <w:sz w:val="32"/>
          </w:rPr>
          <w:t>立高食品华北生产基地二期项目开工建设</w:t>
        </w:r>
      </w:hyperlink>
    </w:p>
    <w:p>
      <w:r>
        <w:rPr>
          <w:rFonts w:ascii="宋体" w:hAnsi="宋体" w:eastAsia="宋体"/>
          <w:sz w:val="32"/>
        </w:rPr>
        <w:t>7.利元亨</w:t>
      </w:r>
    </w:p>
    <w:p>
      <w:hyperlink r:id="rId28">
        <w:r>
          <w:rPr>
            <w:color w:val="0000FF"/>
            <w:u w:val="single"/>
            <w:rFonts w:ascii="宋体" w:eastAsia="宋体"/>
            <w:sz w:val="32"/>
          </w:rPr>
          <w:t>广东利元亨智能装备股份有限公司 关于继续使用部分暂时闲置募集资金进行现金管理的公告</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www.cninfo.com.cn/new/disclosure/detail?stockCode=300063&amp;announcementId=1221518440&amp;orgId=9900010788&amp;announcementTime=2024-10-25" TargetMode="External"/><Relationship Id="rId10" Type="http://schemas.openxmlformats.org/officeDocument/2006/relationships/hyperlink" Target="http://www.cninfo.com.cn/new/disclosure/detail?stockCode=300657&amp;announcementId=1221505608&amp;orgId=9900029434&amp;announcementTime=2024-10-25" TargetMode="External"/><Relationship Id="rId11" Type="http://schemas.openxmlformats.org/officeDocument/2006/relationships/hyperlink" Target="http://www.cninfo.com.cn/new/disclosure/detail?stockCode=688499&amp;announcementId=1221509256&amp;orgId=9900038933&amp;announcementTime=2024-10-25" TargetMode="External"/><Relationship Id="rId12" Type="http://schemas.openxmlformats.org/officeDocument/2006/relationships/hyperlink" Target="http://www.cninfo.com.cn/new/disclosure/detail?stockCode=688499&amp;announcementId=1221509255&amp;orgId=9900038933&amp;announcementTime=2024-10-25" TargetMode="External"/><Relationship Id="rId13" Type="http://schemas.openxmlformats.org/officeDocument/2006/relationships/hyperlink" Target="http://www.cninfo.com.cn/new/disclosure/detail?stockCode=688499&amp;announcementId=1221509254&amp;orgId=9900038933&amp;announcementTime=2024-10-25" TargetMode="External"/><Relationship Id="rId14" Type="http://schemas.openxmlformats.org/officeDocument/2006/relationships/hyperlink" Target="http://www.cninfo.com.cn/new/disclosure/detail?stockCode=688499&amp;announcementId=1221509253&amp;orgId=9900038933&amp;announcementTime=2024-10-25" TargetMode="External"/><Relationship Id="rId15" Type="http://schemas.openxmlformats.org/officeDocument/2006/relationships/hyperlink" Target="http://www.cninfo.com.cn/new/disclosure/detail?stockCode=688499&amp;announcementId=1221509252&amp;orgId=9900038933&amp;announcementTime=2024-10-25" TargetMode="External"/><Relationship Id="rId16" Type="http://schemas.openxmlformats.org/officeDocument/2006/relationships/hyperlink" Target="http://www.cninfo.com.cn/new/disclosure/detail?stockCode=688499&amp;announcementId=1221509251&amp;orgId=9900038933&amp;announcementTime=2024-10-25" TargetMode="External"/><Relationship Id="rId17" Type="http://schemas.openxmlformats.org/officeDocument/2006/relationships/hyperlink" Target="http://www.cninfo.com.cn/new/disclosure/detail?stockCode=688499&amp;announcementId=1221509250&amp;orgId=9900038933&amp;announcementTime=2024-10-25" TargetMode="External"/><Relationship Id="rId18" Type="http://schemas.openxmlformats.org/officeDocument/2006/relationships/hyperlink" Target="https://finance.sina.com.cn/roll/2024-10-25/doc-incttsxx9025299.shtml" TargetMode="External"/><Relationship Id="rId19" Type="http://schemas.openxmlformats.org/officeDocument/2006/relationships/hyperlink" Target="https://finance.sina.com.cn/stock/relnews/cn/2024-10-25/doc-incttsxz5783536.shtml" TargetMode="External"/><Relationship Id="rId20" Type="http://schemas.openxmlformats.org/officeDocument/2006/relationships/hyperlink" Target="https://finance.sina.com.cn/money/fund/etf/2024-10-25/doc-incttsyf1817277.shtml" TargetMode="External"/><Relationship Id="rId21" Type="http://schemas.openxmlformats.org/officeDocument/2006/relationships/hyperlink" Target="https://finance.sina.com.cn/jjxw/2024-10-25/doc-incttsxx8996493.shtml" TargetMode="External"/><Relationship Id="rId22" Type="http://schemas.openxmlformats.org/officeDocument/2006/relationships/hyperlink" Target="https://finance.sina.com.cn/stock/snipe/2024-10-25/doc-incttnsc5893118.shtml" TargetMode="External"/><Relationship Id="rId23" Type="http://schemas.openxmlformats.org/officeDocument/2006/relationships/hyperlink" Target="https://finance.sina.com.cn/wm/2024-10-25/doc-incttsxx9029199.shtml" TargetMode="External"/><Relationship Id="rId24" Type="http://schemas.openxmlformats.org/officeDocument/2006/relationships/hyperlink" Target="https://finance.sina.com.cn/7x24/2024-10-25/doc-incttnsc5883216.shtml" TargetMode="External"/><Relationship Id="rId25" Type="http://schemas.openxmlformats.org/officeDocument/2006/relationships/hyperlink" Target="https://finance.sina.com.cn/jjxw/2024-10-25/doc-incttnsf5112600.shtml" TargetMode="External"/><Relationship Id="rId26" Type="http://schemas.openxmlformats.org/officeDocument/2006/relationships/hyperlink" Target="https://finance.sina.com.cn/stock/aiassist/pzzd/2024-10-25/doc-incttsyf1840043.shtml" TargetMode="External"/><Relationship Id="rId27" Type="http://schemas.openxmlformats.org/officeDocument/2006/relationships/hyperlink" Target="https://finance.sina.com.cn/jjxw/2024-10-25/doc-incttnrz9069734.shtml" TargetMode="External"/><Relationship Id="rId28" Type="http://schemas.openxmlformats.org/officeDocument/2006/relationships/hyperlink" Target="https://finance.sina.com.cn/jjxw/2024-10-25/doc-inctthkm1997567.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