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80" w:before="0"/>
        <w:jc w:val="center"/>
      </w:pPr>
      <w:r>
        <w:rPr>
          <w:rFonts w:ascii="Arial" w:cs="Arial" w:eastAsia="Arial" w:hAnsi="Arial"/>
          <w:b/>
          <w:bCs/>
          <w:color w:val="1B3A6B"/>
          <w:sz w:val="72"/>
          <w:szCs w:val="72"/>
        </w:rPr>
        <w:t xml:space="preserve">CAPITALSIM</w:t>
      </w:r>
    </w:p>
    <w:p>
      <w:pPr>
        <w:spacing w:after="40" w:before="0"/>
        <w:jc w:val="center"/>
      </w:pPr>
      <w:r>
        <w:rPr>
          <w:rFonts w:ascii="Arial" w:cs="Arial" w:eastAsia="Arial" w:hAnsi="Arial"/>
          <w:i/>
          <w:iCs/>
          <w:color w:val="2E86AB"/>
          <w:sz w:val="36"/>
          <w:szCs w:val="36"/>
        </w:rPr>
        <w:t xml:space="preserve">Sistema de Gestion de Fondos de Inversion</w:t>
      </w:r>
    </w:p>
    <w:p>
      <w:pPr>
        <w:spacing w:after="600" w:before="0"/>
        <w:jc w:val="center"/>
      </w:pPr>
      <w:r>
        <w:rPr>
          <w:rFonts w:ascii="Arial" w:cs="Arial" w:eastAsia="Arial" w:hAnsi="Arial"/>
          <w:color w:val="5A6478"/>
          <w:sz w:val="26"/>
          <w:szCs w:val="26"/>
        </w:rPr>
        <w:t xml:space="preserve">Simulacion con Activos Ficticios</w:t>
      </w:r>
    </w:p>
    <w:p>
      <w:pPr>
        <w:pBdr>
          <w:bottom w:val="single" w:color="C9952A" w:sz="12"/>
        </w:pBdr>
        <w:spacing w:after="600" w:before="0"/>
        <w:jc w:val="center"/>
      </w:pPr>
      <w:r>
        <w:rPr>
          <w:rFonts w:ascii="Arial" w:cs="Arial" w:eastAsia="Arial" w:hAnsi="Arial"/>
          <w:sz w:val="22"/>
          <w:szCs w:val="22"/>
        </w:rPr>
        <w:t xml:space="preserve"/>
      </w:r>
    </w:p>
    <w:p>
      <w:pPr>
        <w:spacing w:after="40" w:before="40"/>
      </w:pPr>
      <w:r>
        <w:t xml:space="preserve"/>
      </w:r>
    </w:p>
    <w:p>
      <w:pPr>
        <w:spacing w:after="80" w:before="0"/>
        <w:jc w:val="center"/>
      </w:pPr>
      <w:r>
        <w:rPr>
          <w:rFonts w:ascii="Arial" w:cs="Arial" w:eastAsia="Arial" w:hAnsi="Arial"/>
          <w:b/>
          <w:bCs/>
          <w:color w:val="C9952A"/>
          <w:sz w:val="28"/>
          <w:szCs w:val="28"/>
        </w:rPr>
        <w:t xml:space="preserve">DOCUMENTACION TECNICA INTERNA</w:t>
      </w:r>
    </w:p>
    <w:p>
      <w:pPr>
        <w:spacing w:after="600" w:before="0"/>
        <w:jc w:val="center"/>
      </w:pPr>
      <w:r>
        <w:rPr>
          <w:rFonts w:ascii="Arial" w:cs="Arial" w:eastAsia="Arial" w:hAnsi="Arial"/>
          <w:color w:val="5A6478"/>
          <w:sz w:val="22"/>
          <w:szCs w:val="22"/>
        </w:rPr>
        <w:t xml:space="preserve">Arquitectura, Logica de Negocio y Modelos de Simulacion</w:t>
      </w:r>
    </w:p>
    <w:p>
      <w:pPr>
        <w:spacing w:after="40" w:before="40"/>
      </w:pPr>
      <w:r>
        <w:t xml:space="preserve"/>
      </w:r>
    </w:p>
    <w:p>
      <w:pPr>
        <w:spacing w:after="40" w:before="40"/>
      </w:pPr>
      <w:r>
        <w:t xml:space="preserve"/>
      </w:r>
    </w:p>
    <w:p>
      <w:pPr>
        <w:spacing w:after="40" w:before="40"/>
      </w:pPr>
      <w:r>
        <w:t xml:space="preserve"/>
      </w:r>
    </w:p>
    <w:p>
      <w:pPr>
        <w:spacing w:after="40" w:before="0"/>
        <w:jc w:val="center"/>
      </w:pPr>
      <w:r>
        <w:rPr>
          <w:rFonts w:ascii="Arial" w:cs="Arial" w:eastAsia="Arial" w:hAnsi="Arial"/>
          <w:color w:val="5A6478"/>
          <w:sz w:val="20"/>
          <w:szCs w:val="20"/>
        </w:rPr>
        <w:t xml:space="preserve">Version 1.0  |  2025</w:t>
      </w:r>
    </w:p>
    <w:p>
      <w:pPr>
        <w:spacing w:after="0" w:before="0"/>
        <w:jc w:val="center"/>
      </w:pPr>
      <w:r>
        <w:rPr>
          <w:rFonts w:ascii="Arial" w:cs="Arial" w:eastAsia="Arial" w:hAnsi="Arial"/>
          <w:b/>
          <w:bCs/>
          <w:color w:val="B22222"/>
          <w:sz w:val="20"/>
          <w:szCs w:val="20"/>
        </w:rPr>
        <w:t xml:space="preserve">Confidencial - Uso Interno</w:t>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rPr>
        <w:t xml:space="preserve">1. Introduccion al Proyecto</w:t>
      </w:r>
    </w:p>
    <w:p>
      <w:pPr>
        <w:spacing w:after="100" w:before="60"/>
        <w:jc w:val="left"/>
      </w:pPr>
      <w:r>
        <w:rPr>
          <w:rFonts w:ascii="Arial" w:cs="Arial" w:eastAsia="Arial" w:hAnsi="Arial"/>
          <w:b w:val="false"/>
          <w:bCs w:val="false"/>
          <w:i w:val="false"/>
          <w:iCs w:val="false"/>
          <w:color w:val="1A1A2E"/>
          <w:sz w:val="22"/>
          <w:szCs w:val="22"/>
        </w:rPr>
        <w:t xml:space="preserve">CapitalSim es una aplicacion de simulacion empresarial que modela el funcionamiento de una gestora de fondos de inversion. El proyecto utiliza activos ficticios para reproducir con fidelidad el comportamiento real de los distintos tipos de fondos del mercado financiero, permitiendo estudiar su dinamica interna sin exposicion a riesgo real.</w:t>
      </w:r>
    </w:p>
    <w:p>
      <w:pPr>
        <w:pBdr>
          <w:left w:val="single" w:color="2E86AB" w:sz="12"/>
        </w:pBdr>
        <w:shd w:fill="FDF6E3" w:val="clear"/>
        <w:spacing w:after="80" w:before="80"/>
        <w:ind w:left="200" w:right="200"/>
      </w:pPr>
      <w:r>
        <w:rPr>
          <w:rFonts w:ascii="Arial" w:cs="Arial" w:eastAsia="Arial" w:hAnsi="Arial"/>
          <w:i/>
          <w:iCs/>
          <w:color w:val="C9952A"/>
          <w:sz w:val="21"/>
          <w:szCs w:val="21"/>
        </w:rPr>
        <w:t xml:space="preserve">CapitalSim no realiza operaciones financieras reales. Todos los activos, valores y movimientos son ficticios y tienen unicamente proposito educativo y de simulacion.</w:t>
      </w:r>
    </w:p>
    <w:p>
      <w:pPr>
        <w:spacing w:after="40" w:before="40"/>
      </w:pPr>
      <w:r>
        <w:t xml:space="preserve"/>
      </w:r>
    </w:p>
    <w:p>
      <w:pPr>
        <w:pStyle w:val="Heading2"/>
        <w:spacing w:after="80" w:before="240"/>
      </w:pPr>
      <w:r>
        <w:rPr>
          <w:rFonts w:ascii="Arial" w:cs="Arial" w:eastAsia="Arial" w:hAnsi="Arial"/>
          <w:b/>
          <w:bCs/>
        </w:rPr>
        <w:t xml:space="preserve">1.1 Objetivos del Sistema</w:t>
      </w:r>
    </w:p>
    <w:p>
      <w:pPr>
        <w:pStyle w:val="ListParagraph"/>
        <w:numPr>
          <w:ilvl w:val="0"/>
          <w:numId w:val="2"/>
        </w:numPr>
        <w:spacing w:after="40" w:before="40"/>
      </w:pPr>
      <w:r>
        <w:rPr>
          <w:rFonts w:ascii="Arial" w:cs="Arial" w:eastAsia="Arial" w:hAnsi="Arial"/>
          <w:b w:val="false"/>
          <w:bCs w:val="false"/>
          <w:sz w:val="22"/>
          <w:szCs w:val="22"/>
        </w:rPr>
        <w:t xml:space="preserve">Simular el comportamiento de 9 tipos de fondos de inversion con sus caracteristicas propias</w:t>
      </w:r>
    </w:p>
    <w:p>
      <w:pPr>
        <w:pStyle w:val="ListParagraph"/>
        <w:numPr>
          <w:ilvl w:val="0"/>
          <w:numId w:val="2"/>
        </w:numPr>
        <w:spacing w:after="40" w:before="40"/>
      </w:pPr>
      <w:r>
        <w:rPr>
          <w:rFonts w:ascii="Arial" w:cs="Arial" w:eastAsia="Arial" w:hAnsi="Arial"/>
          <w:b w:val="false"/>
          <w:bCs w:val="false"/>
          <w:sz w:val="22"/>
          <w:szCs w:val="22"/>
        </w:rPr>
        <w:t xml:space="preserve">Modelar la variacion de activos mediante algoritmos basados en secuencias de Fibonacci</w:t>
      </w:r>
    </w:p>
    <w:p>
      <w:pPr>
        <w:pStyle w:val="ListParagraph"/>
        <w:numPr>
          <w:ilvl w:val="0"/>
          <w:numId w:val="2"/>
        </w:numPr>
        <w:spacing w:after="40" w:before="40"/>
      </w:pPr>
      <w:r>
        <w:rPr>
          <w:rFonts w:ascii="Arial" w:cs="Arial" w:eastAsia="Arial" w:hAnsi="Arial"/>
          <w:b w:val="false"/>
          <w:bCs w:val="false"/>
          <w:sz w:val="22"/>
          <w:szCs w:val="22"/>
        </w:rPr>
        <w:t xml:space="preserve">Proporcionar una interfaz de administracion rica (JavaFX) para el control operativo</w:t>
      </w:r>
    </w:p>
    <w:p>
      <w:pPr>
        <w:pStyle w:val="ListParagraph"/>
        <w:numPr>
          <w:ilvl w:val="0"/>
          <w:numId w:val="2"/>
        </w:numPr>
        <w:spacing w:after="40" w:before="40"/>
      </w:pPr>
      <w:r>
        <w:rPr>
          <w:rFonts w:ascii="Arial" w:cs="Arial" w:eastAsia="Arial" w:hAnsi="Arial"/>
          <w:b w:val="false"/>
          <w:bCs w:val="false"/>
          <w:sz w:val="22"/>
          <w:szCs w:val="22"/>
        </w:rPr>
        <w:t xml:space="preserve">Exponer una landing publica (HTML/CSS) para la presentacion comercial del producto</w:t>
      </w:r>
    </w:p>
    <w:p>
      <w:pPr>
        <w:pStyle w:val="ListParagraph"/>
        <w:numPr>
          <w:ilvl w:val="0"/>
          <w:numId w:val="2"/>
        </w:numPr>
        <w:spacing w:after="40" w:before="40"/>
      </w:pPr>
      <w:r>
        <w:rPr>
          <w:rFonts w:ascii="Arial" w:cs="Arial" w:eastAsia="Arial" w:hAnsi="Arial"/>
          <w:b w:val="false"/>
          <w:bCs w:val="false"/>
          <w:sz w:val="22"/>
          <w:szCs w:val="22"/>
        </w:rPr>
        <w:t xml:space="preserve">Implementar las variables financieras clave que gobiernan cada tipo de fondo</w:t>
      </w:r>
    </w:p>
    <w:p>
      <w:pPr>
        <w:spacing w:after="40" w:before="40"/>
      </w:pPr>
      <w:r>
        <w:t xml:space="preserve"/>
      </w:r>
    </w:p>
    <w:p>
      <w:pPr>
        <w:pStyle w:val="Heading2"/>
        <w:spacing w:after="80" w:before="240"/>
      </w:pPr>
      <w:r>
        <w:rPr>
          <w:rFonts w:ascii="Arial" w:cs="Arial" w:eastAsia="Arial" w:hAnsi="Arial"/>
          <w:b/>
          <w:bCs/>
        </w:rPr>
        <w:t xml:space="preserve">1.2 Organizacion de Modulos</w:t>
      </w:r>
    </w:p>
    <w:p>
      <w:pPr>
        <w:spacing w:after="80" w:before="60"/>
        <w:jc w:val="left"/>
      </w:pPr>
      <w:r>
        <w:rPr>
          <w:rFonts w:ascii="Arial" w:cs="Arial" w:eastAsia="Arial" w:hAnsi="Arial"/>
          <w:b w:val="false"/>
          <w:bCs w:val="false"/>
          <w:i w:val="false"/>
          <w:iCs w:val="false"/>
          <w:color w:val="1A1A2E"/>
          <w:sz w:val="22"/>
          <w:szCs w:val="22"/>
        </w:rPr>
        <w:t xml:space="preserve">El proyecto se articula en tres capas diferenciadas: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w:t>
            </w:r>
          </w:p>
        </w:tc>
        <w:tc>
          <w:tcPr>
            <w:tcW w:type="dxa" w:w="25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Tecnologia</w:t>
            </w:r>
          </w:p>
        </w:tc>
        <w:tc>
          <w:tcPr>
            <w:tcW w:type="dxa" w:w="486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Descripcion</w:t>
            </w:r>
          </w:p>
        </w:tc>
      </w:tr>
      <w:tr>
        <w:tc>
          <w:tcPr>
            <w:tcW w:type="dxa" w:w="200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Presentacion publica</w:t>
            </w:r>
          </w:p>
        </w:tc>
        <w:tc>
          <w:tcPr>
            <w:tcW w:type="dxa" w:w="25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HTML5 / CSS3 / JS</w:t>
            </w:r>
          </w:p>
        </w:tc>
        <w:tc>
          <w:tcPr>
            <w:tcW w:type="dxa" w:w="48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Landing page orientada al cliente final con informacion comercial de los fondos disponibles</w:t>
            </w:r>
          </w:p>
        </w:tc>
      </w:tr>
      <w:tr>
        <w:tc>
          <w:tcPr>
            <w:tcW w:type="dxa" w:w="200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Panel de administracion</w:t>
            </w:r>
          </w:p>
        </w:tc>
        <w:tc>
          <w:tcPr>
            <w:tcW w:type="dxa" w:w="25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Java / JavaFX</w:t>
            </w:r>
          </w:p>
        </w:tc>
        <w:tc>
          <w:tcPr>
            <w:tcW w:type="dxa" w:w="48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Interfaz de escritorio para gestores: visualizacion de carteras, simulacion de movimientos y analisis de variables</w:t>
            </w:r>
          </w:p>
        </w:tc>
      </w:tr>
      <w:tr>
        <w:tc>
          <w:tcPr>
            <w:tcW w:type="dxa" w:w="200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Motor de simulacion</w:t>
            </w:r>
          </w:p>
        </w:tc>
        <w:tc>
          <w:tcPr>
            <w:tcW w:type="dxa" w:w="25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Java (core)</w:t>
            </w:r>
          </w:p>
        </w:tc>
        <w:tc>
          <w:tcPr>
            <w:tcW w:type="dxa" w:w="48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Logica de negocio: calculo de rentabilidades, aplicacion de variables por tipo de fondo y algoritmo Fibonacci recursivo</w:t>
            </w:r>
          </w:p>
        </w:tc>
      </w:tr>
    </w:tbl>
    <w:p>
      <w:pPr>
        <w:spacing w:after="40" w:before="40"/>
      </w:pPr>
      <w:r>
        <w:t xml:space="preserve"/>
      </w:r>
    </w:p>
    <w:p>
      <w:r>
        <w:br/>
      </w:r>
    </w:p>
    <w:p>
      <w:pPr>
        <w:pStyle w:val="Heading1"/>
        <w:spacing w:after="120" w:before="360"/>
      </w:pPr>
      <w:r>
        <w:rPr>
          <w:rFonts w:ascii="Arial" w:cs="Arial" w:eastAsia="Arial" w:hAnsi="Arial"/>
          <w:b/>
          <w:bCs/>
        </w:rPr>
        <w:t xml:space="preserve">2. Funcionamiento Interno de la Empresa</w:t>
      </w:r>
    </w:p>
    <w:p>
      <w:pPr>
        <w:spacing w:after="80" w:before="60"/>
        <w:jc w:val="left"/>
      </w:pPr>
      <w:r>
        <w:rPr>
          <w:rFonts w:ascii="Arial" w:cs="Arial" w:eastAsia="Arial" w:hAnsi="Arial"/>
          <w:b w:val="false"/>
          <w:bCs w:val="false"/>
          <w:i w:val="false"/>
          <w:iCs w:val="false"/>
          <w:color w:val="1A1A2E"/>
          <w:sz w:val="22"/>
          <w:szCs w:val="22"/>
        </w:rPr>
        <w:t xml:space="preserve">Esta seccion describe la logica de negocio central de CapitalSim: como se estructuran los fondos, que variables los gobiernan y como se producen los movimientos de los activos en el tiempo.</w:t>
      </w:r>
    </w:p>
    <w:p>
      <w:pPr>
        <w:spacing w:after="40" w:before="40"/>
      </w:pPr>
      <w:r>
        <w:t xml:space="preserve"/>
      </w:r>
    </w:p>
    <w:p>
      <w:pPr>
        <w:pStyle w:val="Heading2"/>
        <w:spacing w:after="80" w:before="240"/>
      </w:pPr>
      <w:r>
        <w:rPr>
          <w:rFonts w:ascii="Arial" w:cs="Arial" w:eastAsia="Arial" w:hAnsi="Arial"/>
          <w:b/>
          <w:bCs/>
        </w:rPr>
        <w:t xml:space="preserve">2.1 Estructura de la Gestora</w:t>
      </w:r>
    </w:p>
    <w:p>
      <w:pPr>
        <w:spacing w:after="80" w:before="60"/>
        <w:jc w:val="left"/>
      </w:pPr>
      <w:r>
        <w:rPr>
          <w:rFonts w:ascii="Arial" w:cs="Arial" w:eastAsia="Arial" w:hAnsi="Arial"/>
          <w:b w:val="false"/>
          <w:bCs w:val="false"/>
          <w:i w:val="false"/>
          <w:iCs w:val="false"/>
          <w:color w:val="1A1A2E"/>
          <w:sz w:val="22"/>
          <w:szCs w:val="22"/>
        </w:rPr>
        <w:t xml:space="preserve">La empresa ficticia gestiona un portfolio compuesto por nueve fondos de inversion, uno por cada categoria del mercado. Cada fondo es una entidad independiente con sus propias caracteristicas de riesgo, rentabilidad y comportamiento. Los fondos comparten un conjunto de variables comunes pero reaccionan de forma distinta a cada una de ellas.</w:t>
      </w:r>
    </w:p>
    <w:p>
      <w:pPr>
        <w:spacing w:after="40" w:before="40"/>
      </w:pPr>
      <w:r>
        <w:t xml:space="preserve"/>
      </w:r>
    </w:p>
    <w:p>
      <w:pPr>
        <w:pBdr>
          <w:left w:val="single" w:color="2E86AB" w:sz="12"/>
        </w:pBdr>
        <w:shd w:fill="EAF2FB" w:val="clear"/>
        <w:spacing w:after="80" w:before="80"/>
        <w:ind w:left="200" w:right="200"/>
      </w:pPr>
      <w:r>
        <w:rPr>
          <w:rFonts w:ascii="Arial" w:cs="Arial" w:eastAsia="Arial" w:hAnsi="Arial"/>
          <w:i/>
          <w:iCs/>
          <w:color w:val="1B3A6B"/>
          <w:sz w:val="21"/>
          <w:szCs w:val="21"/>
        </w:rPr>
        <w:t xml:space="preserve">Cada fondo mantiene un estado interno actualizado en cada ciclo de simulacion. El motor calcula la variacion de cada activo aplicando las variables especificas del fondo y la escala Fibonacci para determinar la magnitud del movimiento.</w:t>
      </w:r>
    </w:p>
    <w:p>
      <w:pPr>
        <w:spacing w:after="40" w:before="40"/>
      </w:pPr>
      <w:r>
        <w:t xml:space="preserve"/>
      </w:r>
    </w:p>
    <w:p>
      <w:pPr>
        <w:pStyle w:val="Heading2"/>
        <w:spacing w:after="80" w:before="240"/>
      </w:pPr>
      <w:r>
        <w:rPr>
          <w:rFonts w:ascii="Arial" w:cs="Arial" w:eastAsia="Arial" w:hAnsi="Arial"/>
          <w:b/>
          <w:bCs/>
        </w:rPr>
        <w:t xml:space="preserve">2.2 Las Doce Variables Universales</w:t>
      </w:r>
    </w:p>
    <w:p>
      <w:pPr>
        <w:spacing w:after="80" w:before="60"/>
        <w:jc w:val="left"/>
      </w:pPr>
      <w:r>
        <w:rPr>
          <w:rFonts w:ascii="Arial" w:cs="Arial" w:eastAsia="Arial" w:hAnsi="Arial"/>
          <w:b w:val="false"/>
          <w:bCs w:val="false"/>
          <w:i w:val="false"/>
          <w:iCs w:val="false"/>
          <w:color w:val="1A1A2E"/>
          <w:sz w:val="22"/>
          <w:szCs w:val="22"/>
        </w:rPr>
        <w:t xml:space="preserve">Todos los fondos del sistema estan gobernados por las mismas doce variables, aunque con pesos y sensibilidades distintos segun la tipologia del fondo. Estas variables son: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200"/>
        <w:gridCol w:w="4360"/>
      </w:tblGrid>
      <w:tr>
        <w:tc>
          <w:tcPr>
            <w:tcW w:type="dxa" w:w="4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4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22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Metrica Principal</w:t>
            </w:r>
          </w:p>
        </w:tc>
        <w:tc>
          <w:tcPr>
            <w:tcW w:type="dxa" w:w="436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 Mide en la Simulacion</w:t>
            </w:r>
          </w:p>
        </w:tc>
      </w:tr>
      <w:tr>
        <w:tc>
          <w:tcPr>
            <w:tcW w:type="dxa" w:w="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bCs/>
                <w:color w:val="2E86AB"/>
                <w:sz w:val="20"/>
                <w:szCs w:val="20"/>
              </w:rPr>
              <w:t xml:space="preserve">1</w:t>
            </w:r>
          </w:p>
        </w:tc>
        <w:tc>
          <w:tcPr>
            <w:tcW w:type="dxa" w:w="2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Rentabilidad (return)</w:t>
            </w:r>
          </w:p>
        </w:tc>
        <w:tc>
          <w:tcPr>
            <w:tcW w:type="dxa" w:w="2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 ganancia / perdida</w:t>
            </w:r>
          </w:p>
        </w:tc>
        <w:tc>
          <w:tcPr>
            <w:tcW w:type="dxa" w:w="43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Cuanto gana o pierde el fondo en cada ciclo</w:t>
            </w:r>
          </w:p>
        </w:tc>
      </w:tr>
      <w:tr>
        <w:tc>
          <w:tcPr>
            <w:tcW w:type="dxa" w:w="40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bCs/>
                <w:color w:val="2E86AB"/>
                <w:sz w:val="20"/>
                <w:szCs w:val="20"/>
              </w:rPr>
              <w:t xml:space="preserve">2</w:t>
            </w:r>
          </w:p>
        </w:tc>
        <w:tc>
          <w:tcPr>
            <w:tcW w:type="dxa" w:w="240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Riesgo / Volatilidad</w:t>
            </w:r>
          </w:p>
        </w:tc>
        <w:tc>
          <w:tcPr>
            <w:tcW w:type="dxa" w:w="220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Desviacion estandar</w:t>
            </w:r>
          </w:p>
        </w:tc>
        <w:tc>
          <w:tcPr>
            <w:tcW w:type="dxa" w:w="436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Amplitud de fluctuacion del valor liquidativo</w:t>
            </w:r>
          </w:p>
        </w:tc>
      </w:tr>
      <w:tr>
        <w:tc>
          <w:tcPr>
            <w:tcW w:type="dxa" w:w="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bCs/>
                <w:color w:val="2E86AB"/>
                <w:sz w:val="20"/>
                <w:szCs w:val="20"/>
              </w:rPr>
              <w:t xml:space="preserve">3</w:t>
            </w:r>
          </w:p>
        </w:tc>
        <w:tc>
          <w:tcPr>
            <w:tcW w:type="dxa" w:w="2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Relacion riesgo-rentabilidad</w:t>
            </w:r>
          </w:p>
        </w:tc>
        <w:tc>
          <w:tcPr>
            <w:tcW w:type="dxa" w:w="2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Ratio de Sharpe / Sortino</w:t>
            </w:r>
          </w:p>
        </w:tc>
        <w:tc>
          <w:tcPr>
            <w:tcW w:type="dxa" w:w="43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Eficiencia del fondo: ganancia por unidad de riesgo asumido</w:t>
            </w:r>
          </w:p>
        </w:tc>
      </w:tr>
      <w:tr>
        <w:tc>
          <w:tcPr>
            <w:tcW w:type="dxa" w:w="40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bCs/>
                <w:color w:val="2E86AB"/>
                <w:sz w:val="20"/>
                <w:szCs w:val="20"/>
              </w:rPr>
              <w:t xml:space="preserve">4</w:t>
            </w:r>
          </w:p>
        </w:tc>
        <w:tc>
          <w:tcPr>
            <w:tcW w:type="dxa" w:w="240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Benchmark</w:t>
            </w:r>
          </w:p>
        </w:tc>
        <w:tc>
          <w:tcPr>
            <w:tcW w:type="dxa" w:w="220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Indice de referencia</w:t>
            </w:r>
          </w:p>
        </w:tc>
        <w:tc>
          <w:tcPr>
            <w:tcW w:type="dxa" w:w="436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Si el fondo supera o queda por debajo del mercado</w:t>
            </w:r>
          </w:p>
        </w:tc>
      </w:tr>
      <w:tr>
        <w:tc>
          <w:tcPr>
            <w:tcW w:type="dxa" w:w="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bCs/>
                <w:color w:val="2E86AB"/>
                <w:sz w:val="20"/>
                <w:szCs w:val="20"/>
              </w:rPr>
              <w:t xml:space="preserve">5</w:t>
            </w:r>
          </w:p>
        </w:tc>
        <w:tc>
          <w:tcPr>
            <w:tcW w:type="dxa" w:w="2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Correlacion</w:t>
            </w:r>
          </w:p>
        </w:tc>
        <w:tc>
          <w:tcPr>
            <w:tcW w:type="dxa" w:w="2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Coef. de correlacion</w:t>
            </w:r>
          </w:p>
        </w:tc>
        <w:tc>
          <w:tcPr>
            <w:tcW w:type="dxa" w:w="43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Grado en que el fondo sigue o diverge del mercado general</w:t>
            </w:r>
          </w:p>
        </w:tc>
      </w:tr>
      <w:tr>
        <w:tc>
          <w:tcPr>
            <w:tcW w:type="dxa" w:w="40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bCs/>
                <w:color w:val="2E86AB"/>
                <w:sz w:val="20"/>
                <w:szCs w:val="20"/>
              </w:rPr>
              <w:t xml:space="preserve">6</w:t>
            </w:r>
          </w:p>
        </w:tc>
        <w:tc>
          <w:tcPr>
            <w:tcW w:type="dxa" w:w="240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Drawdown</w:t>
            </w:r>
          </w:p>
        </w:tc>
        <w:tc>
          <w:tcPr>
            <w:tcW w:type="dxa" w:w="220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Caida maxima historica</w:t>
            </w:r>
          </w:p>
        </w:tc>
        <w:tc>
          <w:tcPr>
            <w:tcW w:type="dxa" w:w="436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Peor perdida posible desde un maximo previo</w:t>
            </w:r>
          </w:p>
        </w:tc>
      </w:tr>
      <w:tr>
        <w:tc>
          <w:tcPr>
            <w:tcW w:type="dxa" w:w="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bCs/>
                <w:color w:val="2E86AB"/>
                <w:sz w:val="20"/>
                <w:szCs w:val="20"/>
              </w:rPr>
              <w:t xml:space="preserve">7</w:t>
            </w:r>
          </w:p>
        </w:tc>
        <w:tc>
          <w:tcPr>
            <w:tcW w:type="dxa" w:w="2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Liquidez</w:t>
            </w:r>
          </w:p>
        </w:tc>
        <w:tc>
          <w:tcPr>
            <w:tcW w:type="dxa" w:w="2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Frecuencia de rescate</w:t>
            </w:r>
          </w:p>
        </w:tc>
        <w:tc>
          <w:tcPr>
            <w:tcW w:type="dxa" w:w="43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Facilidad para entrar o salir del fondo</w:t>
            </w:r>
          </w:p>
        </w:tc>
      </w:tr>
      <w:tr>
        <w:tc>
          <w:tcPr>
            <w:tcW w:type="dxa" w:w="40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bCs/>
                <w:color w:val="2E86AB"/>
                <w:sz w:val="20"/>
                <w:szCs w:val="20"/>
              </w:rPr>
              <w:t xml:space="preserve">8</w:t>
            </w:r>
          </w:p>
        </w:tc>
        <w:tc>
          <w:tcPr>
            <w:tcW w:type="dxa" w:w="240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Comisiones</w:t>
            </w:r>
          </w:p>
        </w:tc>
        <w:tc>
          <w:tcPr>
            <w:tcW w:type="dxa" w:w="220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TER / Comision de exito</w:t>
            </w:r>
          </w:p>
        </w:tc>
        <w:tc>
          <w:tcPr>
            <w:tcW w:type="dxa" w:w="436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Coste que resta a la rentabilidad bruta del inversor</w:t>
            </w:r>
          </w:p>
        </w:tc>
      </w:tr>
      <w:tr>
        <w:tc>
          <w:tcPr>
            <w:tcW w:type="dxa" w:w="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bCs/>
                <w:color w:val="2E86AB"/>
                <w:sz w:val="20"/>
                <w:szCs w:val="20"/>
              </w:rPr>
              <w:t xml:space="preserve">9</w:t>
            </w:r>
          </w:p>
        </w:tc>
        <w:tc>
          <w:tcPr>
            <w:tcW w:type="dxa" w:w="2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Exposicion a activos</w:t>
            </w:r>
          </w:p>
        </w:tc>
        <w:tc>
          <w:tcPr>
            <w:tcW w:type="dxa" w:w="2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Asset allocation (%)</w:t>
            </w:r>
          </w:p>
        </w:tc>
        <w:tc>
          <w:tcPr>
            <w:tcW w:type="dxa" w:w="43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Distribucion interna entre clases de activos</w:t>
            </w:r>
          </w:p>
        </w:tc>
      </w:tr>
      <w:tr>
        <w:tc>
          <w:tcPr>
            <w:tcW w:type="dxa" w:w="40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bCs/>
                <w:color w:val="2E86AB"/>
                <w:sz w:val="20"/>
                <w:szCs w:val="20"/>
              </w:rPr>
              <w:t xml:space="preserve">10</w:t>
            </w:r>
          </w:p>
        </w:tc>
        <w:tc>
          <w:tcPr>
            <w:tcW w:type="dxa" w:w="240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Exposicion geografica</w:t>
            </w:r>
          </w:p>
        </w:tc>
        <w:tc>
          <w:tcPr>
            <w:tcW w:type="dxa" w:w="220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Pais / region / sector</w:t>
            </w:r>
          </w:p>
        </w:tc>
        <w:tc>
          <w:tcPr>
            <w:tcW w:type="dxa" w:w="436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Concentracion de riesgo por zona o industria</w:t>
            </w:r>
          </w:p>
        </w:tc>
      </w:tr>
      <w:tr>
        <w:tc>
          <w:tcPr>
            <w:tcW w:type="dxa" w:w="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bCs/>
                <w:color w:val="2E86AB"/>
                <w:sz w:val="20"/>
                <w:szCs w:val="20"/>
              </w:rPr>
              <w:t xml:space="preserve">11</w:t>
            </w:r>
          </w:p>
        </w:tc>
        <w:tc>
          <w:tcPr>
            <w:tcW w:type="dxa" w:w="2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Horizonte temporal</w:t>
            </w:r>
          </w:p>
        </w:tc>
        <w:tc>
          <w:tcPr>
            <w:tcW w:type="dxa" w:w="2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Escala de ciclo</w:t>
            </w:r>
          </w:p>
        </w:tc>
        <w:tc>
          <w:tcPr>
            <w:tcW w:type="dxa" w:w="43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 que plazo se evalua el comportamiento del fondo</w:t>
            </w:r>
          </w:p>
        </w:tc>
      </w:tr>
      <w:tr>
        <w:tc>
          <w:tcPr>
            <w:tcW w:type="dxa" w:w="40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bCs/>
                <w:color w:val="2E86AB"/>
                <w:sz w:val="20"/>
                <w:szCs w:val="20"/>
              </w:rPr>
              <w:t xml:space="preserve">12</w:t>
            </w:r>
          </w:p>
        </w:tc>
        <w:tc>
          <w:tcPr>
            <w:tcW w:type="dxa" w:w="240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Flujos de capital</w:t>
            </w:r>
          </w:p>
        </w:tc>
        <w:tc>
          <w:tcPr>
            <w:tcW w:type="dxa" w:w="220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Inflows / Outflows</w:t>
            </w:r>
          </w:p>
        </w:tc>
        <w:tc>
          <w:tcPr>
            <w:tcW w:type="dxa" w:w="436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Entradas y salidas de dinero que presionan el precio</w:t>
            </w:r>
          </w:p>
        </w:tc>
      </w:tr>
    </w:tbl>
    <w:p>
      <w:pPr>
        <w:spacing w:after="40" w:before="40"/>
      </w:pPr>
      <w:r>
        <w:t xml:space="preserve"/>
      </w:r>
    </w:p>
    <w:p>
      <w:r>
        <w:br/>
      </w:r>
    </w:p>
    <w:p>
      <w:pPr>
        <w:pStyle w:val="Heading1"/>
        <w:spacing w:after="120" w:before="360"/>
      </w:pPr>
      <w:r>
        <w:rPr>
          <w:rFonts w:ascii="Arial" w:cs="Arial" w:eastAsia="Arial" w:hAnsi="Arial"/>
          <w:b/>
          <w:bCs/>
        </w:rPr>
        <w:t xml:space="preserve">3. Catalogo de Fondos de Inversion</w:t>
      </w:r>
    </w:p>
    <w:p>
      <w:pPr>
        <w:spacing w:after="80" w:before="60"/>
        <w:jc w:val="left"/>
      </w:pPr>
      <w:r>
        <w:rPr>
          <w:rFonts w:ascii="Arial" w:cs="Arial" w:eastAsia="Arial" w:hAnsi="Arial"/>
          <w:b w:val="false"/>
          <w:bCs w:val="false"/>
          <w:i w:val="false"/>
          <w:iCs w:val="false"/>
          <w:color w:val="1A1A2E"/>
          <w:sz w:val="22"/>
          <w:szCs w:val="22"/>
        </w:rPr>
        <w:t xml:space="preserve">A continuacion se describe en detalle cada uno de los nueve fondos gestionados por CapitalSim, incluyendo su comportamiento caracteristico, las variables que mas les afectan y los rangos operativos de la simulacion.</w:t>
      </w:r>
    </w:p>
    <w:p>
      <w:pPr>
        <w:spacing w:after="40" w:before="40"/>
      </w:pPr>
      <w:r>
        <w:t xml:space="preserve"/>
      </w:r>
    </w:p>
    <w:p>
      <w:pPr>
        <w:shd w:fill="B22222" w:val="clear"/>
        <w:spacing w:after="80" w:before="0"/>
        <w:ind w:left="120" w:right="120"/>
      </w:pPr>
      <w:r>
        <w:rPr>
          <w:rFonts w:ascii="Arial" w:cs="Arial" w:eastAsia="Arial" w:hAnsi="Arial"/>
          <w:b/>
          <w:bCs/>
          <w:color w:val="FFFFFF"/>
          <w:sz w:val="28"/>
          <w:szCs w:val="28"/>
        </w:rPr>
        <w:t xml:space="preserve">📈  RENTA VARIABLE</w:t>
      </w:r>
    </w:p>
    <w:p>
      <w:pPr>
        <w:spacing w:after="80" w:before="60"/>
        <w:jc w:val="left"/>
      </w:pPr>
      <w:r>
        <w:rPr>
          <w:rFonts w:ascii="Arial" w:cs="Arial" w:eastAsia="Arial" w:hAnsi="Arial"/>
          <w:b w:val="false"/>
          <w:bCs w:val="false"/>
          <w:i w:val="false"/>
          <w:iCs w:val="false"/>
          <w:color w:val="1A1A2E"/>
          <w:sz w:val="22"/>
          <w:szCs w:val="22"/>
        </w:rPr>
        <w:t xml:space="preserve">Acciones de empresas cotizadas. Alta volatilidad con mayor potencial de crecimiento a largo plazo.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Volatilidad</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Riesgo</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Horizonte</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Rent. Tipica</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Drawdown Max.</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Sharpe Ratio</w:t>
            </w:r>
          </w:p>
        </w:tc>
      </w:tr>
      <w:tr>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B22222"/>
                <w:sz w:val="20"/>
                <w:szCs w:val="20"/>
              </w:rPr>
              <w:t xml:space="preserve">Alta</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B22222"/>
                <w:sz w:val="20"/>
                <w:szCs w:val="20"/>
              </w:rPr>
              <w:t xml:space="preserve">Alto</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B22222"/>
                <w:sz w:val="20"/>
                <w:szCs w:val="20"/>
              </w:rPr>
              <w:t xml:space="preserve">Largo plazo</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B22222"/>
                <w:sz w:val="20"/>
                <w:szCs w:val="20"/>
              </w:rPr>
              <w:t xml:space="preserve">+8% a +15% anual</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B22222"/>
                <w:sz w:val="20"/>
                <w:szCs w:val="20"/>
              </w:rPr>
              <w:t xml:space="preserve">-30% a -60%</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B22222"/>
                <w:sz w:val="20"/>
                <w:szCs w:val="20"/>
              </w:rPr>
              <w:t xml:space="preserve">0.4 – 0.8</w:t>
            </w:r>
          </w:p>
        </w:tc>
      </w:tr>
    </w:tbl>
    <w:p>
      <w:pPr>
        <w:spacing w:after="40" w:before="40"/>
      </w:pPr>
      <w:r>
        <w:t xml:space="preserve"/>
      </w:r>
    </w:p>
    <w:p>
      <w:pPr>
        <w:spacing w:after="40" w:before="40"/>
      </w:pPr>
      <w:r>
        <w:rPr>
          <w:rFonts w:ascii="Arial" w:cs="Arial" w:eastAsia="Arial" w:hAnsi="Arial"/>
          <w:b/>
          <w:bCs/>
          <w:color w:val="1B3A6B"/>
          <w:sz w:val="22"/>
          <w:szCs w:val="22"/>
        </w:rPr>
        <w:t xml:space="preserve">Comportamiento Clave:</w:t>
      </w:r>
    </w:p>
    <w:p>
      <w:pPr>
        <w:pStyle w:val="ListParagraph"/>
        <w:numPr>
          <w:ilvl w:val="0"/>
          <w:numId w:val="2"/>
        </w:numPr>
        <w:spacing w:after="40" w:before="40"/>
      </w:pPr>
      <w:r>
        <w:rPr>
          <w:rFonts w:ascii="Arial" w:cs="Arial" w:eastAsia="Arial" w:hAnsi="Arial"/>
          <w:b w:val="false"/>
          <w:bCs w:val="false"/>
          <w:sz w:val="22"/>
          <w:szCs w:val="22"/>
        </w:rPr>
        <w:t xml:space="preserve">Muy sensible al ciclo económico</w:t>
      </w:r>
    </w:p>
    <w:p>
      <w:pPr>
        <w:pStyle w:val="ListParagraph"/>
        <w:numPr>
          <w:ilvl w:val="0"/>
          <w:numId w:val="2"/>
        </w:numPr>
        <w:spacing w:after="40" w:before="40"/>
      </w:pPr>
      <w:r>
        <w:rPr>
          <w:rFonts w:ascii="Arial" w:cs="Arial" w:eastAsia="Arial" w:hAnsi="Arial"/>
          <w:b w:val="false"/>
          <w:bCs w:val="false"/>
          <w:sz w:val="22"/>
          <w:szCs w:val="22"/>
        </w:rPr>
        <w:t xml:space="preserve">Influida por tipos de interés y sentimiento de mercado</w:t>
      </w:r>
    </w:p>
    <w:p>
      <w:pPr>
        <w:pStyle w:val="ListParagraph"/>
        <w:numPr>
          <w:ilvl w:val="0"/>
          <w:numId w:val="2"/>
        </w:numPr>
        <w:spacing w:after="40" w:before="40"/>
      </w:pPr>
      <w:r>
        <w:rPr>
          <w:rFonts w:ascii="Arial" w:cs="Arial" w:eastAsia="Arial" w:hAnsi="Arial"/>
          <w:b w:val="false"/>
          <w:bCs w:val="false"/>
          <w:sz w:val="22"/>
          <w:szCs w:val="22"/>
        </w:rPr>
        <w:t xml:space="preserve">Caídas profundas en periodos de crisis</w:t>
      </w:r>
    </w:p>
    <w:p>
      <w:pPr>
        <w:spacing w:after="40" w:before="40"/>
      </w:pPr>
      <w:r>
        <w:t xml:space="preserve"/>
      </w:r>
    </w:p>
    <w:p>
      <w:pPr>
        <w:shd w:fill="1E7C4D" w:val="clear"/>
        <w:spacing w:after="80" w:before="300"/>
        <w:ind w:left="120" w:right="120"/>
      </w:pPr>
      <w:r>
        <w:rPr>
          <w:rFonts w:ascii="Arial" w:cs="Arial" w:eastAsia="Arial" w:hAnsi="Arial"/>
          <w:b/>
          <w:bCs/>
          <w:color w:val="FFFFFF"/>
          <w:sz w:val="28"/>
          <w:szCs w:val="28"/>
        </w:rPr>
        <w:t xml:space="preserve">💰  RENTA FIJA</w:t>
      </w:r>
    </w:p>
    <w:p>
      <w:pPr>
        <w:spacing w:after="80" w:before="60"/>
        <w:jc w:val="left"/>
      </w:pPr>
      <w:r>
        <w:rPr>
          <w:rFonts w:ascii="Arial" w:cs="Arial" w:eastAsia="Arial" w:hAnsi="Arial"/>
          <w:b w:val="false"/>
          <w:bCs w:val="false"/>
          <w:i w:val="false"/>
          <w:iCs w:val="false"/>
          <w:color w:val="1A1A2E"/>
          <w:sz w:val="22"/>
          <w:szCs w:val="22"/>
        </w:rPr>
        <w:t xml:space="preserve">Bonos gubernamentales y corporativos. Flujos predecibles con relación inversa a tipos de interés.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Volatilidad</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Riesgo</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Horizonte</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Rent. Tipica</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Drawdown Max.</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Sharpe Ratio</w:t>
            </w:r>
          </w:p>
        </w:tc>
      </w:tr>
      <w:tr>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1E7C4D"/>
                <w:sz w:val="20"/>
                <w:szCs w:val="20"/>
              </w:rPr>
              <w:t xml:space="preserve">Baja</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1E7C4D"/>
                <w:sz w:val="20"/>
                <w:szCs w:val="20"/>
              </w:rPr>
              <w:t xml:space="preserve">Bajo-Medio</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1E7C4D"/>
                <w:sz w:val="20"/>
                <w:szCs w:val="20"/>
              </w:rPr>
              <w:t xml:space="preserve">Medio plazo</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1E7C4D"/>
                <w:sz w:val="20"/>
                <w:szCs w:val="20"/>
              </w:rPr>
              <w:t xml:space="preserve">+1% a +5% anual</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1E7C4D"/>
                <w:sz w:val="20"/>
                <w:szCs w:val="20"/>
              </w:rPr>
              <w:t xml:space="preserve">-5% a -20%</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1E7C4D"/>
                <w:sz w:val="20"/>
                <w:szCs w:val="20"/>
              </w:rPr>
              <w:t xml:space="preserve">0.5 – 1.2</w:t>
            </w:r>
          </w:p>
        </w:tc>
      </w:tr>
    </w:tbl>
    <w:p>
      <w:pPr>
        <w:spacing w:after="40" w:before="40"/>
      </w:pPr>
      <w:r>
        <w:t xml:space="preserve"/>
      </w:r>
    </w:p>
    <w:p>
      <w:pPr>
        <w:spacing w:after="40" w:before="40"/>
      </w:pPr>
      <w:r>
        <w:rPr>
          <w:rFonts w:ascii="Arial" w:cs="Arial" w:eastAsia="Arial" w:hAnsi="Arial"/>
          <w:b/>
          <w:bCs/>
          <w:color w:val="1B3A6B"/>
          <w:sz w:val="22"/>
          <w:szCs w:val="22"/>
        </w:rPr>
        <w:t xml:space="preserve">Comportamiento Clave:</w:t>
      </w:r>
    </w:p>
    <w:p>
      <w:pPr>
        <w:pStyle w:val="ListParagraph"/>
        <w:numPr>
          <w:ilvl w:val="0"/>
          <w:numId w:val="2"/>
        </w:numPr>
        <w:spacing w:after="40" w:before="40"/>
      </w:pPr>
      <w:r>
        <w:rPr>
          <w:rFonts w:ascii="Arial" w:cs="Arial" w:eastAsia="Arial" w:hAnsi="Arial"/>
          <w:b w:val="false"/>
          <w:bCs w:val="false"/>
          <w:sz w:val="22"/>
          <w:szCs w:val="22"/>
        </w:rPr>
        <w:t xml:space="preserve">Relación inversa con tipos de interés</w:t>
      </w:r>
    </w:p>
    <w:p>
      <w:pPr>
        <w:pStyle w:val="ListParagraph"/>
        <w:numPr>
          <w:ilvl w:val="0"/>
          <w:numId w:val="2"/>
        </w:numPr>
        <w:spacing w:after="40" w:before="40"/>
      </w:pPr>
      <w:r>
        <w:rPr>
          <w:rFonts w:ascii="Arial" w:cs="Arial" w:eastAsia="Arial" w:hAnsi="Arial"/>
          <w:b w:val="false"/>
          <w:bCs w:val="false"/>
          <w:sz w:val="22"/>
          <w:szCs w:val="22"/>
        </w:rPr>
        <w:t xml:space="preserve">Flujos predecibles mediante cupones</w:t>
      </w:r>
    </w:p>
    <w:p>
      <w:pPr>
        <w:pStyle w:val="ListParagraph"/>
        <w:numPr>
          <w:ilvl w:val="0"/>
          <w:numId w:val="2"/>
        </w:numPr>
        <w:spacing w:after="40" w:before="40"/>
      </w:pPr>
      <w:r>
        <w:rPr>
          <w:rFonts w:ascii="Arial" w:cs="Arial" w:eastAsia="Arial" w:hAnsi="Arial"/>
          <w:b w:val="false"/>
          <w:bCs w:val="false"/>
          <w:sz w:val="22"/>
          <w:szCs w:val="22"/>
        </w:rPr>
        <w:t xml:space="preserve">Riesgo dependiente del emisor (Estado vs empresa)</w:t>
      </w:r>
    </w:p>
    <w:p>
      <w:pPr>
        <w:spacing w:after="40" w:before="40"/>
      </w:pPr>
      <w:r>
        <w:t xml:space="preserve"/>
      </w:r>
    </w:p>
    <w:p>
      <w:pPr>
        <w:shd w:fill="2E86AB" w:val="clear"/>
        <w:spacing w:after="80" w:before="300"/>
        <w:ind w:left="120" w:right="120"/>
      </w:pPr>
      <w:r>
        <w:rPr>
          <w:rFonts w:ascii="Arial" w:cs="Arial" w:eastAsia="Arial" w:hAnsi="Arial"/>
          <w:b/>
          <w:bCs/>
          <w:color w:val="FFFFFF"/>
          <w:sz w:val="28"/>
          <w:szCs w:val="28"/>
        </w:rPr>
        <w:t xml:space="preserve">⚖️  FONDOS MIXTOS</w:t>
      </w:r>
    </w:p>
    <w:p>
      <w:pPr>
        <w:spacing w:after="80" w:before="60"/>
        <w:jc w:val="left"/>
      </w:pPr>
      <w:r>
        <w:rPr>
          <w:rFonts w:ascii="Arial" w:cs="Arial" w:eastAsia="Arial" w:hAnsi="Arial"/>
          <w:b w:val="false"/>
          <w:bCs w:val="false"/>
          <w:i w:val="false"/>
          <w:iCs w:val="false"/>
          <w:color w:val="1A1A2E"/>
          <w:sz w:val="22"/>
          <w:szCs w:val="22"/>
        </w:rPr>
        <w:t xml:space="preserve">Combinación de renta variable y fija. Amortiguan los extremos del mercado.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Volatilidad</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Riesgo</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Horizonte</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Rent. Tipica</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Drawdown Max.</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Sharpe Ratio</w:t>
            </w:r>
          </w:p>
        </w:tc>
      </w:tr>
      <w:tr>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2E86AB"/>
                <w:sz w:val="20"/>
                <w:szCs w:val="20"/>
              </w:rPr>
              <w:t xml:space="preserve">Media</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2E86AB"/>
                <w:sz w:val="20"/>
                <w:szCs w:val="20"/>
              </w:rPr>
              <w:t xml:space="preserve">Moderado</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2E86AB"/>
                <w:sz w:val="20"/>
                <w:szCs w:val="20"/>
              </w:rPr>
              <w:t xml:space="preserve">Medio-Largo</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2E86AB"/>
                <w:sz w:val="20"/>
                <w:szCs w:val="20"/>
              </w:rPr>
              <w:t xml:space="preserve">+3% a +8% anual</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2E86AB"/>
                <w:sz w:val="20"/>
                <w:szCs w:val="20"/>
              </w:rPr>
              <w:t xml:space="preserve">-15% a -35%</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2E86AB"/>
                <w:sz w:val="20"/>
                <w:szCs w:val="20"/>
              </w:rPr>
              <w:t xml:space="preserve">0.5 – 1.0</w:t>
            </w:r>
          </w:p>
        </w:tc>
      </w:tr>
    </w:tbl>
    <w:p>
      <w:pPr>
        <w:spacing w:after="40" w:before="40"/>
      </w:pPr>
      <w:r>
        <w:t xml:space="preserve"/>
      </w:r>
    </w:p>
    <w:p>
      <w:pPr>
        <w:spacing w:after="40" w:before="40"/>
      </w:pPr>
      <w:r>
        <w:rPr>
          <w:rFonts w:ascii="Arial" w:cs="Arial" w:eastAsia="Arial" w:hAnsi="Arial"/>
          <w:b/>
          <w:bCs/>
          <w:color w:val="1B3A6B"/>
          <w:sz w:val="22"/>
          <w:szCs w:val="22"/>
        </w:rPr>
        <w:t xml:space="preserve">Comportamiento Clave:</w:t>
      </w:r>
    </w:p>
    <w:p>
      <w:pPr>
        <w:pStyle w:val="ListParagraph"/>
        <w:numPr>
          <w:ilvl w:val="0"/>
          <w:numId w:val="2"/>
        </w:numPr>
        <w:spacing w:after="40" w:before="40"/>
      </w:pPr>
      <w:r>
        <w:rPr>
          <w:rFonts w:ascii="Arial" w:cs="Arial" w:eastAsia="Arial" w:hAnsi="Arial"/>
          <w:b w:val="false"/>
          <w:bCs w:val="false"/>
          <w:sz w:val="22"/>
          <w:szCs w:val="22"/>
        </w:rPr>
        <w:t xml:space="preserve">Combina crecimiento y estabilidad</w:t>
      </w:r>
    </w:p>
    <w:p>
      <w:pPr>
        <w:pStyle w:val="ListParagraph"/>
        <w:numPr>
          <w:ilvl w:val="0"/>
          <w:numId w:val="2"/>
        </w:numPr>
        <w:spacing w:after="40" w:before="40"/>
      </w:pPr>
      <w:r>
        <w:rPr>
          <w:rFonts w:ascii="Arial" w:cs="Arial" w:eastAsia="Arial" w:hAnsi="Arial"/>
          <w:b w:val="false"/>
          <w:bCs w:val="false"/>
          <w:sz w:val="22"/>
          <w:szCs w:val="22"/>
        </w:rPr>
        <w:t xml:space="preserve">Volatilidad depende del % de cada componente</w:t>
      </w:r>
    </w:p>
    <w:p>
      <w:pPr>
        <w:pStyle w:val="ListParagraph"/>
        <w:numPr>
          <w:ilvl w:val="0"/>
          <w:numId w:val="2"/>
        </w:numPr>
        <w:spacing w:after="40" w:before="40"/>
      </w:pPr>
      <w:r>
        <w:rPr>
          <w:rFonts w:ascii="Arial" w:cs="Arial" w:eastAsia="Arial" w:hAnsi="Arial"/>
          <w:b w:val="false"/>
          <w:bCs w:val="false"/>
          <w:sz w:val="22"/>
          <w:szCs w:val="22"/>
        </w:rPr>
        <w:t xml:space="preserve">Suavizan las caídas del mercado</w:t>
      </w:r>
    </w:p>
    <w:p>
      <w:pPr>
        <w:spacing w:after="40" w:before="40"/>
      </w:pPr>
      <w:r>
        <w:t xml:space="preserve"/>
      </w:r>
    </w:p>
    <w:p>
      <w:pPr>
        <w:shd w:fill="5A6478" w:val="clear"/>
        <w:spacing w:after="80" w:before="300"/>
        <w:ind w:left="120" w:right="120"/>
      </w:pPr>
      <w:r>
        <w:rPr>
          <w:rFonts w:ascii="Arial" w:cs="Arial" w:eastAsia="Arial" w:hAnsi="Arial"/>
          <w:b/>
          <w:bCs/>
          <w:color w:val="FFFFFF"/>
          <w:sz w:val="28"/>
          <w:szCs w:val="28"/>
        </w:rPr>
        <w:t xml:space="preserve">🧊  MONETARIOS</w:t>
      </w:r>
    </w:p>
    <w:p>
      <w:pPr>
        <w:spacing w:after="80" w:before="60"/>
        <w:jc w:val="left"/>
      </w:pPr>
      <w:r>
        <w:rPr>
          <w:rFonts w:ascii="Arial" w:cs="Arial" w:eastAsia="Arial" w:hAnsi="Arial"/>
          <w:b w:val="false"/>
          <w:bCs w:val="false"/>
          <w:i w:val="false"/>
          <w:iCs w:val="false"/>
          <w:color w:val="1A1A2E"/>
          <w:sz w:val="22"/>
          <w:szCs w:val="22"/>
        </w:rPr>
        <w:t xml:space="preserve">Instrumentos del mercado monetario. Capital estacionado con mínimo riesgo y alta liquidez.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Volatilidad</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Riesgo</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Horizonte</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Rent. Tipica</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Drawdown Max.</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Sharpe Ratio</w:t>
            </w:r>
          </w:p>
        </w:tc>
      </w:tr>
      <w:tr>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5A6478"/>
                <w:sz w:val="20"/>
                <w:szCs w:val="20"/>
              </w:rPr>
              <w:t xml:space="preserve">Mínima</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5A6478"/>
                <w:sz w:val="20"/>
                <w:szCs w:val="20"/>
              </w:rPr>
              <w:t xml:space="preserve">Muy bajo</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5A6478"/>
                <w:sz w:val="20"/>
                <w:szCs w:val="20"/>
              </w:rPr>
              <w:t xml:space="preserve">Corto plazo</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5A6478"/>
                <w:sz w:val="20"/>
                <w:szCs w:val="20"/>
              </w:rPr>
              <w:t xml:space="preserve">+0.5% a +3% anual</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5A6478"/>
                <w:sz w:val="20"/>
                <w:szCs w:val="20"/>
              </w:rPr>
              <w:t xml:space="preserve">&lt; -1%</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5A6478"/>
                <w:sz w:val="20"/>
                <w:szCs w:val="20"/>
              </w:rPr>
              <w:t xml:space="preserve">0.2 – 0.5</w:t>
            </w:r>
          </w:p>
        </w:tc>
      </w:tr>
    </w:tbl>
    <w:p>
      <w:pPr>
        <w:spacing w:after="40" w:before="40"/>
      </w:pPr>
      <w:r>
        <w:t xml:space="preserve"/>
      </w:r>
    </w:p>
    <w:p>
      <w:pPr>
        <w:spacing w:after="40" w:before="40"/>
      </w:pPr>
      <w:r>
        <w:rPr>
          <w:rFonts w:ascii="Arial" w:cs="Arial" w:eastAsia="Arial" w:hAnsi="Arial"/>
          <w:b/>
          <w:bCs/>
          <w:color w:val="1B3A6B"/>
          <w:sz w:val="22"/>
          <w:szCs w:val="22"/>
        </w:rPr>
        <w:t xml:space="preserve">Comportamiento Clave:</w:t>
      </w:r>
    </w:p>
    <w:p>
      <w:pPr>
        <w:pStyle w:val="ListParagraph"/>
        <w:numPr>
          <w:ilvl w:val="0"/>
          <w:numId w:val="2"/>
        </w:numPr>
        <w:spacing w:after="40" w:before="40"/>
      </w:pPr>
      <w:r>
        <w:rPr>
          <w:rFonts w:ascii="Arial" w:cs="Arial" w:eastAsia="Arial" w:hAnsi="Arial"/>
          <w:b w:val="false"/>
          <w:bCs w:val="false"/>
          <w:sz w:val="22"/>
          <w:szCs w:val="22"/>
        </w:rPr>
        <w:t xml:space="preserve">Rendimientos ligados a tipos a corto plazo</w:t>
      </w:r>
    </w:p>
    <w:p>
      <w:pPr>
        <w:pStyle w:val="ListParagraph"/>
        <w:numPr>
          <w:ilvl w:val="0"/>
          <w:numId w:val="2"/>
        </w:numPr>
        <w:spacing w:after="40" w:before="40"/>
      </w:pPr>
      <w:r>
        <w:rPr>
          <w:rFonts w:ascii="Arial" w:cs="Arial" w:eastAsia="Arial" w:hAnsi="Arial"/>
          <w:b w:val="false"/>
          <w:bCs w:val="false"/>
          <w:sz w:val="22"/>
          <w:szCs w:val="22"/>
        </w:rPr>
        <w:t xml:space="preserve">Muy líquidos</w:t>
      </w:r>
    </w:p>
    <w:p>
      <w:pPr>
        <w:pStyle w:val="ListParagraph"/>
        <w:numPr>
          <w:ilvl w:val="0"/>
          <w:numId w:val="2"/>
        </w:numPr>
        <w:spacing w:after="40" w:before="40"/>
      </w:pPr>
      <w:r>
        <w:rPr>
          <w:rFonts w:ascii="Arial" w:cs="Arial" w:eastAsia="Arial" w:hAnsi="Arial"/>
          <w:b w:val="false"/>
          <w:bCs w:val="false"/>
          <w:sz w:val="22"/>
          <w:szCs w:val="22"/>
        </w:rPr>
        <w:t xml:space="preserve">No protegen contra inflación alta</w:t>
      </w:r>
    </w:p>
    <w:p>
      <w:pPr>
        <w:spacing w:after="40" w:before="40"/>
      </w:pPr>
      <w:r>
        <w:t xml:space="preserve"/>
      </w:r>
    </w:p>
    <w:p>
      <w:pPr>
        <w:shd w:fill="1B3A6B" w:val="clear"/>
        <w:spacing w:after="80" w:before="300"/>
        <w:ind w:left="120" w:right="120"/>
      </w:pPr>
      <w:r>
        <w:rPr>
          <w:rFonts w:ascii="Arial" w:cs="Arial" w:eastAsia="Arial" w:hAnsi="Arial"/>
          <w:b/>
          <w:bCs/>
          <w:color w:val="FFFFFF"/>
          <w:sz w:val="28"/>
          <w:szCs w:val="28"/>
        </w:rPr>
        <w:t xml:space="preserve">📊  INDEXADOS</w:t>
      </w:r>
    </w:p>
    <w:p>
      <w:pPr>
        <w:spacing w:after="80" w:before="60"/>
        <w:jc w:val="left"/>
      </w:pPr>
      <w:r>
        <w:rPr>
          <w:rFonts w:ascii="Arial" w:cs="Arial" w:eastAsia="Arial" w:hAnsi="Arial"/>
          <w:b w:val="false"/>
          <w:bCs w:val="false"/>
          <w:i w:val="false"/>
          <w:iCs w:val="false"/>
          <w:color w:val="1A1A2E"/>
          <w:sz w:val="22"/>
          <w:szCs w:val="22"/>
        </w:rPr>
        <w:t xml:space="preserve">Replican índices bursátiles. Son el mercado puro sin intervención activa del gestor.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Volatilidad</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Riesgo</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Horizonte</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Rent. Tipica</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Drawdown Max.</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Sharpe Ratio</w:t>
            </w:r>
          </w:p>
        </w:tc>
      </w:tr>
      <w:tr>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Media</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Moderado</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Largo plazo</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+7% a +12% anual</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-20% a -50%</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0.6 – 1.0</w:t>
            </w:r>
          </w:p>
        </w:tc>
      </w:tr>
    </w:tbl>
    <w:p>
      <w:pPr>
        <w:spacing w:after="40" w:before="40"/>
      </w:pPr>
      <w:r>
        <w:t xml:space="preserve"/>
      </w:r>
    </w:p>
    <w:p>
      <w:pPr>
        <w:spacing w:after="40" w:before="40"/>
      </w:pPr>
      <w:r>
        <w:rPr>
          <w:rFonts w:ascii="Arial" w:cs="Arial" w:eastAsia="Arial" w:hAnsi="Arial"/>
          <w:b/>
          <w:bCs/>
          <w:color w:val="1B3A6B"/>
          <w:sz w:val="22"/>
          <w:szCs w:val="22"/>
        </w:rPr>
        <w:t xml:space="preserve">Comportamiento Clave:</w:t>
      </w:r>
    </w:p>
    <w:p>
      <w:pPr>
        <w:pStyle w:val="ListParagraph"/>
        <w:numPr>
          <w:ilvl w:val="0"/>
          <w:numId w:val="2"/>
        </w:numPr>
        <w:spacing w:after="40" w:before="40"/>
      </w:pPr>
      <w:r>
        <w:rPr>
          <w:rFonts w:ascii="Arial" w:cs="Arial" w:eastAsia="Arial" w:hAnsi="Arial"/>
          <w:b w:val="false"/>
          <w:bCs w:val="false"/>
          <w:sz w:val="22"/>
          <w:szCs w:val="22"/>
        </w:rPr>
        <w:t xml:space="preserve">Replican exactamente el índice de referencia</w:t>
      </w:r>
    </w:p>
    <w:p>
      <w:pPr>
        <w:pStyle w:val="ListParagraph"/>
        <w:numPr>
          <w:ilvl w:val="0"/>
          <w:numId w:val="2"/>
        </w:numPr>
        <w:spacing w:after="40" w:before="40"/>
      </w:pPr>
      <w:r>
        <w:rPr>
          <w:rFonts w:ascii="Arial" w:cs="Arial" w:eastAsia="Arial" w:hAnsi="Arial"/>
          <w:b w:val="false"/>
          <w:bCs w:val="false"/>
          <w:sz w:val="22"/>
          <w:szCs w:val="22"/>
        </w:rPr>
        <w:t xml:space="preserve">Muy eficientes en costes (sin gestión activa)</w:t>
      </w:r>
    </w:p>
    <w:p>
      <w:pPr>
        <w:pStyle w:val="ListParagraph"/>
        <w:numPr>
          <w:ilvl w:val="0"/>
          <w:numId w:val="2"/>
        </w:numPr>
        <w:spacing w:after="40" w:before="40"/>
      </w:pPr>
      <w:r>
        <w:rPr>
          <w:rFonts w:ascii="Arial" w:cs="Arial" w:eastAsia="Arial" w:hAnsi="Arial"/>
          <w:b w:val="false"/>
          <w:bCs w:val="false"/>
          <w:sz w:val="22"/>
          <w:szCs w:val="22"/>
        </w:rPr>
        <w:t xml:space="preserve">Sesgo estructural al mercado global o sectorial</w:t>
      </w:r>
    </w:p>
    <w:p>
      <w:pPr>
        <w:spacing w:after="40" w:before="40"/>
      </w:pPr>
      <w:r>
        <w:t xml:space="preserve"/>
      </w:r>
    </w:p>
    <w:p>
      <w:pPr>
        <w:shd w:fill="D4650A" w:val="clear"/>
        <w:spacing w:after="80" w:before="300"/>
        <w:ind w:left="120" w:right="120"/>
      </w:pPr>
      <w:r>
        <w:rPr>
          <w:rFonts w:ascii="Arial" w:cs="Arial" w:eastAsia="Arial" w:hAnsi="Arial"/>
          <w:b/>
          <w:bCs/>
          <w:color w:val="FFFFFF"/>
          <w:sz w:val="28"/>
          <w:szCs w:val="28"/>
        </w:rPr>
        <w:t xml:space="preserve">🏭  SECTORIALES</w:t>
      </w:r>
    </w:p>
    <w:p>
      <w:pPr>
        <w:spacing w:after="80" w:before="60"/>
        <w:jc w:val="left"/>
      </w:pPr>
      <w:r>
        <w:rPr>
          <w:rFonts w:ascii="Arial" w:cs="Arial" w:eastAsia="Arial" w:hAnsi="Arial"/>
          <w:b w:val="false"/>
          <w:bCs w:val="false"/>
          <w:i w:val="false"/>
          <w:iCs w:val="false"/>
          <w:color w:val="1A1A2E"/>
          <w:sz w:val="22"/>
          <w:szCs w:val="22"/>
        </w:rPr>
        <w:t xml:space="preserve">Concentrados en un sector concreto (tecnología, salud, energía). Alta correlación interna.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Volatilidad</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Riesgo</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Horizonte</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Rent. Tipica</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Drawdown Max.</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Sharpe Ratio</w:t>
            </w:r>
          </w:p>
        </w:tc>
      </w:tr>
      <w:tr>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D4650A"/>
                <w:sz w:val="20"/>
                <w:szCs w:val="20"/>
              </w:rPr>
              <w:t xml:space="preserve">Muy alta</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D4650A"/>
                <w:sz w:val="20"/>
                <w:szCs w:val="20"/>
              </w:rPr>
              <w:t xml:space="preserve">Alto</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D4650A"/>
                <w:sz w:val="20"/>
                <w:szCs w:val="20"/>
              </w:rPr>
              <w:t xml:space="preserve">Largo plazo</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D4650A"/>
                <w:sz w:val="20"/>
                <w:szCs w:val="20"/>
              </w:rPr>
              <w:t xml:space="preserve">+10% a +30%+ anual</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D4650A"/>
                <w:sz w:val="20"/>
                <w:szCs w:val="20"/>
              </w:rPr>
              <w:t xml:space="preserve">-40% a -70%</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D4650A"/>
                <w:sz w:val="20"/>
                <w:szCs w:val="20"/>
              </w:rPr>
              <w:t xml:space="preserve">0.2 – 0.7</w:t>
            </w:r>
          </w:p>
        </w:tc>
      </w:tr>
    </w:tbl>
    <w:p>
      <w:pPr>
        <w:spacing w:after="40" w:before="40"/>
      </w:pPr>
      <w:r>
        <w:t xml:space="preserve"/>
      </w:r>
    </w:p>
    <w:p>
      <w:pPr>
        <w:spacing w:after="40" w:before="40"/>
      </w:pPr>
      <w:r>
        <w:rPr>
          <w:rFonts w:ascii="Arial" w:cs="Arial" w:eastAsia="Arial" w:hAnsi="Arial"/>
          <w:b/>
          <w:bCs/>
          <w:color w:val="1B3A6B"/>
          <w:sz w:val="22"/>
          <w:szCs w:val="22"/>
        </w:rPr>
        <w:t xml:space="preserve">Comportamiento Clave:</w:t>
      </w:r>
    </w:p>
    <w:p>
      <w:pPr>
        <w:pStyle w:val="ListParagraph"/>
        <w:numPr>
          <w:ilvl w:val="0"/>
          <w:numId w:val="2"/>
        </w:numPr>
        <w:spacing w:after="40" w:before="40"/>
      </w:pPr>
      <w:r>
        <w:rPr>
          <w:rFonts w:ascii="Arial" w:cs="Arial" w:eastAsia="Arial" w:hAnsi="Arial"/>
          <w:b w:val="false"/>
          <w:bCs w:val="false"/>
          <w:sz w:val="22"/>
          <w:szCs w:val="22"/>
        </w:rPr>
        <w:t xml:space="preserve">Ciclicidad fuerte según el sector</w:t>
      </w:r>
    </w:p>
    <w:p>
      <w:pPr>
        <w:pStyle w:val="ListParagraph"/>
        <w:numPr>
          <w:ilvl w:val="0"/>
          <w:numId w:val="2"/>
        </w:numPr>
        <w:spacing w:after="40" w:before="40"/>
      </w:pPr>
      <w:r>
        <w:rPr>
          <w:rFonts w:ascii="Arial" w:cs="Arial" w:eastAsia="Arial" w:hAnsi="Arial"/>
          <w:b w:val="false"/>
          <w:bCs w:val="false"/>
          <w:sz w:val="22"/>
          <w:szCs w:val="22"/>
        </w:rPr>
        <w:t xml:space="preserve">Alta correlación interna entre activos del fondo</w:t>
      </w:r>
    </w:p>
    <w:p>
      <w:pPr>
        <w:pStyle w:val="ListParagraph"/>
        <w:numPr>
          <w:ilvl w:val="0"/>
          <w:numId w:val="2"/>
        </w:numPr>
        <w:spacing w:after="40" w:before="40"/>
      </w:pPr>
      <w:r>
        <w:rPr>
          <w:rFonts w:ascii="Arial" w:cs="Arial" w:eastAsia="Arial" w:hAnsi="Arial"/>
          <w:b w:val="false"/>
          <w:bCs w:val="false"/>
          <w:sz w:val="22"/>
          <w:szCs w:val="22"/>
        </w:rPr>
        <w:t xml:space="preserve">Más potencial de rentabilidad, menos diversificación</w:t>
      </w:r>
    </w:p>
    <w:p>
      <w:pPr>
        <w:spacing w:after="40" w:before="40"/>
      </w:pPr>
      <w:r>
        <w:t xml:space="preserve"/>
      </w:r>
    </w:p>
    <w:p>
      <w:pPr>
        <w:shd w:fill="C9952A" w:val="clear"/>
        <w:spacing w:after="80" w:before="300"/>
        <w:ind w:left="120" w:right="120"/>
      </w:pPr>
      <w:r>
        <w:rPr>
          <w:rFonts w:ascii="Arial" w:cs="Arial" w:eastAsia="Arial" w:hAnsi="Arial"/>
          <w:b/>
          <w:bCs/>
          <w:color w:val="FFFFFF"/>
          <w:sz w:val="28"/>
          <w:szCs w:val="28"/>
        </w:rPr>
        <w:t xml:space="preserve">🪙  MATERIAS PRIMAS</w:t>
      </w:r>
    </w:p>
    <w:p>
      <w:pPr>
        <w:spacing w:after="80" w:before="60"/>
        <w:jc w:val="left"/>
      </w:pPr>
      <w:r>
        <w:rPr>
          <w:rFonts w:ascii="Arial" w:cs="Arial" w:eastAsia="Arial" w:hAnsi="Arial"/>
          <w:b w:val="false"/>
          <w:bCs w:val="false"/>
          <w:i w:val="false"/>
          <w:iCs w:val="false"/>
          <w:color w:val="1A1A2E"/>
          <w:sz w:val="22"/>
          <w:szCs w:val="22"/>
        </w:rPr>
        <w:t xml:space="preserve">Commodities físicas (oro, petróleo, metales). No generan flujos, protegen contra inflación.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Volatilidad</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Riesgo</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Horizonte</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Rent. Tipica</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Drawdown Max.</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Sharpe Ratio</w:t>
            </w:r>
          </w:p>
        </w:tc>
      </w:tr>
      <w:tr>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C9952A"/>
                <w:sz w:val="20"/>
                <w:szCs w:val="20"/>
              </w:rPr>
              <w:t xml:space="preserve">Alta</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C9952A"/>
                <w:sz w:val="20"/>
                <w:szCs w:val="20"/>
              </w:rPr>
              <w:t xml:space="preserve">Alto</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C9952A"/>
                <w:sz w:val="20"/>
                <w:szCs w:val="20"/>
              </w:rPr>
              <w:t xml:space="preserve">Medio-Largo</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C9952A"/>
                <w:sz w:val="20"/>
                <w:szCs w:val="20"/>
              </w:rPr>
              <w:t xml:space="preserve">+2% a +20% anual</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C9952A"/>
                <w:sz w:val="20"/>
                <w:szCs w:val="20"/>
              </w:rPr>
              <w:t xml:space="preserve">-30% a -60%</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C9952A"/>
                <w:sz w:val="20"/>
                <w:szCs w:val="20"/>
              </w:rPr>
              <w:t xml:space="preserve">0.1 – 0.5</w:t>
            </w:r>
          </w:p>
        </w:tc>
      </w:tr>
    </w:tbl>
    <w:p>
      <w:pPr>
        <w:spacing w:after="40" w:before="40"/>
      </w:pPr>
      <w:r>
        <w:t xml:space="preserve"/>
      </w:r>
    </w:p>
    <w:p>
      <w:pPr>
        <w:spacing w:after="40" w:before="40"/>
      </w:pPr>
      <w:r>
        <w:rPr>
          <w:rFonts w:ascii="Arial" w:cs="Arial" w:eastAsia="Arial" w:hAnsi="Arial"/>
          <w:b/>
          <w:bCs/>
          <w:color w:val="1B3A6B"/>
          <w:sz w:val="22"/>
          <w:szCs w:val="22"/>
        </w:rPr>
        <w:t xml:space="preserve">Comportamiento Clave:</w:t>
      </w:r>
    </w:p>
    <w:p>
      <w:pPr>
        <w:pStyle w:val="ListParagraph"/>
        <w:numPr>
          <w:ilvl w:val="0"/>
          <w:numId w:val="2"/>
        </w:numPr>
        <w:spacing w:after="40" w:before="40"/>
      </w:pPr>
      <w:r>
        <w:rPr>
          <w:rFonts w:ascii="Arial" w:cs="Arial" w:eastAsia="Arial" w:hAnsi="Arial"/>
          <w:b w:val="false"/>
          <w:bCs w:val="false"/>
          <w:sz w:val="22"/>
          <w:szCs w:val="22"/>
        </w:rPr>
        <w:t xml:space="preserve">Muy cíclicas y dependientes de oferta/demanda global</w:t>
      </w:r>
    </w:p>
    <w:p>
      <w:pPr>
        <w:pStyle w:val="ListParagraph"/>
        <w:numPr>
          <w:ilvl w:val="0"/>
          <w:numId w:val="2"/>
        </w:numPr>
        <w:spacing w:after="40" w:before="40"/>
      </w:pPr>
      <w:r>
        <w:rPr>
          <w:rFonts w:ascii="Arial" w:cs="Arial" w:eastAsia="Arial" w:hAnsi="Arial"/>
          <w:b w:val="false"/>
          <w:bCs w:val="false"/>
          <w:sz w:val="22"/>
          <w:szCs w:val="22"/>
        </w:rPr>
        <w:t xml:space="preserve">El oro sube con inflación como refugio</w:t>
      </w:r>
    </w:p>
    <w:p>
      <w:pPr>
        <w:pStyle w:val="ListParagraph"/>
        <w:numPr>
          <w:ilvl w:val="0"/>
          <w:numId w:val="2"/>
        </w:numPr>
        <w:spacing w:after="40" w:before="40"/>
      </w:pPr>
      <w:r>
        <w:rPr>
          <w:rFonts w:ascii="Arial" w:cs="Arial" w:eastAsia="Arial" w:hAnsi="Arial"/>
          <w:b w:val="false"/>
          <w:bCs w:val="false"/>
          <w:sz w:val="22"/>
          <w:szCs w:val="22"/>
        </w:rPr>
        <w:t xml:space="preserve">No generan ingresos por sí solas</w:t>
      </w:r>
    </w:p>
    <w:p>
      <w:pPr>
        <w:spacing w:after="40" w:before="40"/>
      </w:pPr>
      <w:r>
        <w:t xml:space="preserve"/>
      </w:r>
    </w:p>
    <w:p>
      <w:pPr>
        <w:shd w:fill="8B4513" w:val="clear"/>
        <w:spacing w:after="80" w:before="300"/>
        <w:ind w:left="120" w:right="120"/>
      </w:pPr>
      <w:r>
        <w:rPr>
          <w:rFonts w:ascii="Arial" w:cs="Arial" w:eastAsia="Arial" w:hAnsi="Arial"/>
          <w:b/>
          <w:bCs/>
          <w:color w:val="FFFFFF"/>
          <w:sz w:val="28"/>
          <w:szCs w:val="28"/>
        </w:rPr>
        <w:t xml:space="preserve">🏠  INMOBILIARIO (REITS)</w:t>
      </w:r>
    </w:p>
    <w:p>
      <w:pPr>
        <w:spacing w:after="80" w:before="60"/>
        <w:jc w:val="left"/>
      </w:pPr>
      <w:r>
        <w:rPr>
          <w:rFonts w:ascii="Arial" w:cs="Arial" w:eastAsia="Arial" w:hAnsi="Arial"/>
          <w:b w:val="false"/>
          <w:bCs w:val="false"/>
          <w:i w:val="false"/>
          <w:iCs w:val="false"/>
          <w:color w:val="1A1A2E"/>
          <w:sz w:val="22"/>
          <w:szCs w:val="22"/>
        </w:rPr>
        <w:t xml:space="preserve">Fondos de inversión inmobiliaria. Híbrido entre renta fija y variable con ingresos por alquileres.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Volatilidad</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Riesgo</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Horizonte</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Rent. Tipica</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Drawdown Max.</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Sharpe Ratio</w:t>
            </w:r>
          </w:p>
        </w:tc>
      </w:tr>
      <w:tr>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8B4513"/>
                <w:sz w:val="20"/>
                <w:szCs w:val="20"/>
              </w:rPr>
              <w:t xml:space="preserve">Media-Alta</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8B4513"/>
                <w:sz w:val="20"/>
                <w:szCs w:val="20"/>
              </w:rPr>
              <w:t xml:space="preserve">Moderado-Alto</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8B4513"/>
                <w:sz w:val="20"/>
                <w:szCs w:val="20"/>
              </w:rPr>
              <w:t xml:space="preserve">Largo plazo</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8B4513"/>
                <w:sz w:val="20"/>
                <w:szCs w:val="20"/>
              </w:rPr>
              <w:t xml:space="preserve">+4% a +10% anual</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8B4513"/>
                <w:sz w:val="20"/>
                <w:szCs w:val="20"/>
              </w:rPr>
              <w:t xml:space="preserve">-20% a -45%</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8B4513"/>
                <w:sz w:val="20"/>
                <w:szCs w:val="20"/>
              </w:rPr>
              <w:t xml:space="preserve">0.4 – 0.8</w:t>
            </w:r>
          </w:p>
        </w:tc>
      </w:tr>
    </w:tbl>
    <w:p>
      <w:pPr>
        <w:spacing w:after="40" w:before="40"/>
      </w:pPr>
      <w:r>
        <w:t xml:space="preserve"/>
      </w:r>
    </w:p>
    <w:p>
      <w:pPr>
        <w:spacing w:after="40" w:before="40"/>
      </w:pPr>
      <w:r>
        <w:rPr>
          <w:rFonts w:ascii="Arial" w:cs="Arial" w:eastAsia="Arial" w:hAnsi="Arial"/>
          <w:b/>
          <w:bCs/>
          <w:color w:val="1B3A6B"/>
          <w:sz w:val="22"/>
          <w:szCs w:val="22"/>
        </w:rPr>
        <w:t xml:space="preserve">Comportamiento Clave:</w:t>
      </w:r>
    </w:p>
    <w:p>
      <w:pPr>
        <w:pStyle w:val="ListParagraph"/>
        <w:numPr>
          <w:ilvl w:val="0"/>
          <w:numId w:val="2"/>
        </w:numPr>
        <w:spacing w:after="40" w:before="40"/>
      </w:pPr>
      <w:r>
        <w:rPr>
          <w:rFonts w:ascii="Arial" w:cs="Arial" w:eastAsia="Arial" w:hAnsi="Arial"/>
          <w:b w:val="false"/>
          <w:bCs w:val="false"/>
          <w:sz w:val="22"/>
          <w:szCs w:val="22"/>
        </w:rPr>
        <w:t xml:space="preserve">Sube cuando bajan los tipos de interés</w:t>
      </w:r>
    </w:p>
    <w:p>
      <w:pPr>
        <w:pStyle w:val="ListParagraph"/>
        <w:numPr>
          <w:ilvl w:val="0"/>
          <w:numId w:val="2"/>
        </w:numPr>
        <w:spacing w:after="40" w:before="40"/>
      </w:pPr>
      <w:r>
        <w:rPr>
          <w:rFonts w:ascii="Arial" w:cs="Arial" w:eastAsia="Arial" w:hAnsi="Arial"/>
          <w:b w:val="false"/>
          <w:bCs w:val="false"/>
          <w:sz w:val="22"/>
          <w:szCs w:val="22"/>
        </w:rPr>
        <w:t xml:space="preserve">Genera ingresos por rentas inmobiliarias</w:t>
      </w:r>
    </w:p>
    <w:p>
      <w:pPr>
        <w:pStyle w:val="ListParagraph"/>
        <w:numPr>
          <w:ilvl w:val="0"/>
          <w:numId w:val="2"/>
        </w:numPr>
        <w:spacing w:after="40" w:before="40"/>
      </w:pPr>
      <w:r>
        <w:rPr>
          <w:rFonts w:ascii="Arial" w:cs="Arial" w:eastAsia="Arial" w:hAnsi="Arial"/>
          <w:b w:val="false"/>
          <w:bCs w:val="false"/>
          <w:sz w:val="22"/>
          <w:szCs w:val="22"/>
        </w:rPr>
        <w:t xml:space="preserve">Menos líquido que las acciones tradicionales</w:t>
      </w:r>
    </w:p>
    <w:p>
      <w:pPr>
        <w:spacing w:after="40" w:before="40"/>
      </w:pPr>
      <w:r>
        <w:t xml:space="preserve"/>
      </w:r>
    </w:p>
    <w:p>
      <w:pPr>
        <w:shd w:fill="5B2C8D" w:val="clear"/>
        <w:spacing w:after="80" w:before="300"/>
        <w:ind w:left="120" w:right="120"/>
      </w:pPr>
      <w:r>
        <w:rPr>
          <w:rFonts w:ascii="Arial" w:cs="Arial" w:eastAsia="Arial" w:hAnsi="Arial"/>
          <w:b/>
          <w:bCs/>
          <w:color w:val="FFFFFF"/>
          <w:sz w:val="28"/>
          <w:szCs w:val="28"/>
        </w:rPr>
        <w:t xml:space="preserve">⚡  ALTERNATIVOS / HEDGE</w:t>
      </w:r>
    </w:p>
    <w:p>
      <w:pPr>
        <w:spacing w:after="80" w:before="60"/>
        <w:jc w:val="left"/>
      </w:pPr>
      <w:r>
        <w:rPr>
          <w:rFonts w:ascii="Arial" w:cs="Arial" w:eastAsia="Arial" w:hAnsi="Arial"/>
          <w:b w:val="false"/>
          <w:bCs w:val="false"/>
          <w:i w:val="false"/>
          <w:iCs w:val="false"/>
          <w:color w:val="1A1A2E"/>
          <w:sz w:val="22"/>
          <w:szCs w:val="22"/>
        </w:rPr>
        <w:t xml:space="preserve">Fondos de estrategias complejas. Buscan rentabilidad en cualquier escenario de mercado.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Volatilidad</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Riesgo</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Horizonte</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Rent. Tipica</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Drawdown Max.</w:t>
            </w:r>
          </w:p>
        </w:tc>
        <w:tc>
          <w:tcPr>
            <w:tcW w:type="dxa" w:w="1560"/>
            <w:tcBorders>
              <w:top w:val="single" w:color="C5D5E8" w:sz="1"/>
              <w:left w:val="single" w:color="C5D5E8" w:sz="1"/>
              <w:bottom w:val="single" w:color="C5D5E8" w:sz="1"/>
              <w:right w:val="single" w:color="C5D5E8" w:sz="1"/>
            </w:tcBorders>
            <w:shd w:fill="5A64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Sharpe Ratio</w:t>
            </w:r>
          </w:p>
        </w:tc>
      </w:tr>
      <w:tr>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5B2C8D"/>
                <w:sz w:val="20"/>
                <w:szCs w:val="20"/>
              </w:rPr>
              <w:t xml:space="preserve">Variable</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5B2C8D"/>
                <w:sz w:val="20"/>
                <w:szCs w:val="20"/>
              </w:rPr>
              <w:t xml:space="preserve">Variable</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5B2C8D"/>
                <w:sz w:val="20"/>
                <w:szCs w:val="20"/>
              </w:rPr>
              <w:t xml:space="preserve">Cualquiera</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5B2C8D"/>
                <w:sz w:val="20"/>
                <w:szCs w:val="20"/>
              </w:rPr>
              <w:t xml:space="preserve">+5% a +25% anual</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5B2C8D"/>
                <w:sz w:val="20"/>
                <w:szCs w:val="20"/>
              </w:rPr>
              <w:t xml:space="preserve">-20% a -40%</w:t>
            </w:r>
          </w:p>
        </w:tc>
        <w:tc>
          <w:tcPr>
            <w:tcW w:type="dxa" w:w="156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5B2C8D"/>
                <w:sz w:val="20"/>
                <w:szCs w:val="20"/>
              </w:rPr>
              <w:t xml:space="preserve">0.8 – 2.0</w:t>
            </w:r>
          </w:p>
        </w:tc>
      </w:tr>
    </w:tbl>
    <w:p>
      <w:pPr>
        <w:spacing w:after="40" w:before="40"/>
      </w:pPr>
      <w:r>
        <w:t xml:space="preserve"/>
      </w:r>
    </w:p>
    <w:p>
      <w:pPr>
        <w:spacing w:after="40" w:before="40"/>
      </w:pPr>
      <w:r>
        <w:rPr>
          <w:rFonts w:ascii="Arial" w:cs="Arial" w:eastAsia="Arial" w:hAnsi="Arial"/>
          <w:b/>
          <w:bCs/>
          <w:color w:val="1B3A6B"/>
          <w:sz w:val="22"/>
          <w:szCs w:val="22"/>
        </w:rPr>
        <w:t xml:space="preserve">Comportamiento Clave:</w:t>
      </w:r>
    </w:p>
    <w:p>
      <w:pPr>
        <w:pStyle w:val="ListParagraph"/>
        <w:numPr>
          <w:ilvl w:val="0"/>
          <w:numId w:val="2"/>
        </w:numPr>
        <w:spacing w:after="40" w:before="40"/>
      </w:pPr>
      <w:r>
        <w:rPr>
          <w:rFonts w:ascii="Arial" w:cs="Arial" w:eastAsia="Arial" w:hAnsi="Arial"/>
          <w:b w:val="false"/>
          <w:bCs w:val="false"/>
          <w:sz w:val="22"/>
          <w:szCs w:val="22"/>
        </w:rPr>
        <w:t xml:space="preserve">Baja correlación con mercados tradicionales</w:t>
      </w:r>
    </w:p>
    <w:p>
      <w:pPr>
        <w:pStyle w:val="ListParagraph"/>
        <w:numPr>
          <w:ilvl w:val="0"/>
          <w:numId w:val="2"/>
        </w:numPr>
        <w:spacing w:after="40" w:before="40"/>
      </w:pPr>
      <w:r>
        <w:rPr>
          <w:rFonts w:ascii="Arial" w:cs="Arial" w:eastAsia="Arial" w:hAnsi="Arial"/>
          <w:b w:val="false"/>
          <w:bCs w:val="false"/>
          <w:sz w:val="22"/>
          <w:szCs w:val="22"/>
        </w:rPr>
        <w:t xml:space="preserve">Estrategias long/short, arbitraje y derivados</w:t>
      </w:r>
    </w:p>
    <w:p>
      <w:pPr>
        <w:pStyle w:val="ListParagraph"/>
        <w:numPr>
          <w:ilvl w:val="0"/>
          <w:numId w:val="2"/>
        </w:numPr>
        <w:spacing w:after="40" w:before="40"/>
      </w:pPr>
      <w:r>
        <w:rPr>
          <w:rFonts w:ascii="Arial" w:cs="Arial" w:eastAsia="Arial" w:hAnsi="Arial"/>
          <w:b w:val="false"/>
          <w:bCs w:val="false"/>
          <w:sz w:val="22"/>
          <w:szCs w:val="22"/>
        </w:rPr>
        <w:t xml:space="preserve">Resultados muy dependientes del gestor</w:t>
      </w:r>
    </w:p>
    <w:p>
      <w:pPr>
        <w:spacing w:after="40" w:before="40"/>
      </w:pPr>
      <w:r>
        <w:t xml:space="preserve"/>
      </w:r>
    </w:p>
    <w:p>
      <w:r>
        <w:br/>
      </w:r>
    </w:p>
    <w:p>
      <w:pPr>
        <w:pStyle w:val="Heading1"/>
        <w:spacing w:after="120" w:before="360"/>
      </w:pPr>
      <w:r>
        <w:rPr>
          <w:rFonts w:ascii="Arial" w:cs="Arial" w:eastAsia="Arial" w:hAnsi="Arial"/>
          <w:b/>
          <w:bCs/>
        </w:rPr>
        <w:t xml:space="preserve">4. Ranking de Impacto por Variable</w:t>
      </w:r>
    </w:p>
    <w:p>
      <w:pPr>
        <w:spacing w:after="80" w:before="60"/>
        <w:jc w:val="left"/>
      </w:pPr>
      <w:r>
        <w:rPr>
          <w:rFonts w:ascii="Arial" w:cs="Arial" w:eastAsia="Arial" w:hAnsi="Arial"/>
          <w:b w:val="false"/>
          <w:bCs w:val="false"/>
          <w:i w:val="false"/>
          <w:iCs w:val="false"/>
          <w:color w:val="1A1A2E"/>
          <w:sz w:val="22"/>
          <w:szCs w:val="22"/>
        </w:rPr>
        <w:t xml:space="preserve">El siguiente cuadro muestra como se ordenan los fondos de mayor a menor impacto para cada una de las variables principales. Este ranking determina los pesos aplicados en el motor de simulacion.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7060"/>
      </w:tblGrid>
      <w:tr>
        <w:tc>
          <w:tcPr>
            <w:tcW w:type="dxa" w:w="3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0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706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Ranking (mayor impacto a menor)</w:t>
            </w:r>
          </w:p>
        </w:tc>
      </w:tr>
      <w:tr>
        <w:tc>
          <w:tcPr>
            <w:tcW w:type="dxa" w:w="3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Rentabilidad</w:t>
            </w:r>
          </w:p>
        </w:tc>
        <w:tc>
          <w:tcPr>
            <w:tcW w:type="dxa" w:w="70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A6478"/>
                <w:sz w:val="20"/>
                <w:szCs w:val="20"/>
              </w:rPr>
              <w:t xml:space="preserve">Sectoriales &gt; Renta Variable &gt; Indexados &gt; Hedge &gt; Mixtos &gt; Renta Fija &gt; Monetarios</w:t>
            </w:r>
          </w:p>
        </w:tc>
      </w:tr>
      <w:tr>
        <w:tc>
          <w:tcPr>
            <w:tcW w:type="dxa" w:w="30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c>
          <w:tcPr>
            <w:tcW w:type="dxa" w:w="200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Volatilidad</w:t>
            </w:r>
          </w:p>
        </w:tc>
        <w:tc>
          <w:tcPr>
            <w:tcW w:type="dxa" w:w="706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val="false"/>
                <w:bCs w:val="false"/>
                <w:color w:val="5A6478"/>
                <w:sz w:val="20"/>
                <w:szCs w:val="20"/>
              </w:rPr>
              <w:t xml:space="preserve">Sectoriales &gt; Renta Variable &gt; Indexados &gt; Mixtos &gt; Hedge &gt; Renta Fija &gt; Monetarios</w:t>
            </w:r>
          </w:p>
        </w:tc>
      </w:tr>
      <w:tr>
        <w:tc>
          <w:tcPr>
            <w:tcW w:type="dxa" w:w="3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Drawdown</w:t>
            </w:r>
          </w:p>
        </w:tc>
        <w:tc>
          <w:tcPr>
            <w:tcW w:type="dxa" w:w="70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A6478"/>
                <w:sz w:val="20"/>
                <w:szCs w:val="20"/>
              </w:rPr>
              <w:t xml:space="preserve">Sectoriales &gt; Renta Variable &gt; Indexados &gt; Mixtos &gt; Hedge &gt; Renta Fija &gt; Monetarios</w:t>
            </w:r>
          </w:p>
        </w:tc>
      </w:tr>
      <w:tr>
        <w:tc>
          <w:tcPr>
            <w:tcW w:type="dxa" w:w="30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c>
          <w:tcPr>
            <w:tcW w:type="dxa" w:w="200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Correlación</w:t>
            </w:r>
          </w:p>
        </w:tc>
        <w:tc>
          <w:tcPr>
            <w:tcW w:type="dxa" w:w="706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val="false"/>
                <w:bCs w:val="false"/>
                <w:color w:val="5A6478"/>
                <w:sz w:val="20"/>
                <w:szCs w:val="20"/>
              </w:rPr>
              <w:t xml:space="preserve">Monetarios (min) &gt; Hedge &gt; Renta Fija &gt; Inmobiliario &gt; Mixtos &gt; Sectoriales &gt; RV</w:t>
            </w:r>
          </w:p>
        </w:tc>
      </w:tr>
      <w:tr>
        <w:tc>
          <w:tcPr>
            <w:tcW w:type="dxa" w:w="3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Comisiones</w:t>
            </w:r>
          </w:p>
        </w:tc>
        <w:tc>
          <w:tcPr>
            <w:tcW w:type="dxa" w:w="70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A6478"/>
                <w:sz w:val="20"/>
                <w:szCs w:val="20"/>
              </w:rPr>
              <w:t xml:space="preserve">Hedge (max) &gt; Sectoriales &gt; Renta Variable &gt; Mixtos &gt; Renta Fija &gt; Monetarios &gt; Indexados</w:t>
            </w:r>
          </w:p>
        </w:tc>
      </w:tr>
      <w:tr>
        <w:tc>
          <w:tcPr>
            <w:tcW w:type="dxa" w:w="30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c>
          <w:tcPr>
            <w:tcW w:type="dxa" w:w="200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Liquidez</w:t>
            </w:r>
          </w:p>
        </w:tc>
        <w:tc>
          <w:tcPr>
            <w:tcW w:type="dxa" w:w="706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val="false"/>
                <w:bCs w:val="false"/>
                <w:color w:val="5A6478"/>
                <w:sz w:val="20"/>
                <w:szCs w:val="20"/>
              </w:rPr>
              <w:t xml:space="preserve">Monetarios (max) &gt; Indexados &gt; Renta Variable &gt; Renta Fija &gt; Mixtos &gt; Inmobiliario &gt; Hedge</w:t>
            </w:r>
          </w:p>
        </w:tc>
      </w:tr>
      <w:tr>
        <w:tc>
          <w:tcPr>
            <w:tcW w:type="dxa" w:w="3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Sharpe</w:t>
            </w:r>
          </w:p>
        </w:tc>
        <w:tc>
          <w:tcPr>
            <w:tcW w:type="dxa" w:w="70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A6478"/>
                <w:sz w:val="20"/>
                <w:szCs w:val="20"/>
              </w:rPr>
              <w:t xml:space="preserve">Hedge &gt; Indexados &gt; Renta Fija IG &gt; Mixtos &gt; Renta Variable &gt; Sectoriales &gt; Monetarios</w:t>
            </w:r>
          </w:p>
        </w:tc>
      </w:tr>
    </w:tbl>
    <w:p>
      <w:pPr>
        <w:spacing w:after="40" w:before="40"/>
      </w:pPr>
      <w:r>
        <w:t xml:space="preserve"/>
      </w:r>
    </w:p>
    <w:p>
      <w:r>
        <w:br/>
      </w:r>
    </w:p>
    <w:p>
      <w:pPr>
        <w:pStyle w:val="Heading1"/>
        <w:spacing w:after="120" w:before="360"/>
      </w:pPr>
      <w:r>
        <w:rPr>
          <w:rFonts w:ascii="Arial" w:cs="Arial" w:eastAsia="Arial" w:hAnsi="Arial"/>
          <w:b/>
          <w:bCs/>
        </w:rPr>
        <w:t xml:space="preserve">5. Motor de Simulacion: Recursividad Fibonacci</w:t>
      </w:r>
    </w:p>
    <w:p>
      <w:pPr>
        <w:spacing w:after="80" w:before="60"/>
        <w:jc w:val="left"/>
      </w:pPr>
      <w:r>
        <w:rPr>
          <w:rFonts w:ascii="Arial" w:cs="Arial" w:eastAsia="Arial" w:hAnsi="Arial"/>
          <w:b w:val="false"/>
          <w:bCs w:val="false"/>
          <w:i w:val="false"/>
          <w:iCs w:val="false"/>
          <w:color w:val="1A1A2E"/>
          <w:sz w:val="22"/>
          <w:szCs w:val="22"/>
        </w:rPr>
        <w:t xml:space="preserve">El motor de simulacion de CapitalSim utiliza la secuencia de Fibonacci como base matematica para modelar los movimientos de los activos de cada fondo. Esta eleccion no es arbitraria: la sucesion de Fibonacci aparece de forma natural en fenomenos de crecimiento y expansion, y su relacion con la proporcion aurea (phi) esta bien documentada en el analisis tecnico de mercados financieros.</w:t>
      </w:r>
    </w:p>
    <w:p>
      <w:pPr>
        <w:spacing w:after="40" w:before="40"/>
      </w:pPr>
      <w:r>
        <w:t xml:space="preserve"/>
      </w:r>
    </w:p>
    <w:p>
      <w:pPr>
        <w:pStyle w:val="Heading2"/>
        <w:spacing w:after="80" w:before="240"/>
      </w:pPr>
      <w:r>
        <w:rPr>
          <w:rFonts w:ascii="Arial" w:cs="Arial" w:eastAsia="Arial" w:hAnsi="Arial"/>
          <w:b/>
          <w:bCs/>
        </w:rPr>
        <w:t xml:space="preserve">5.1 Fundamento Matematico</w:t>
      </w:r>
    </w:p>
    <w:p>
      <w:pPr>
        <w:spacing w:after="80" w:before="60"/>
        <w:jc w:val="left"/>
      </w:pPr>
      <w:r>
        <w:rPr>
          <w:rFonts w:ascii="Arial" w:cs="Arial" w:eastAsia="Arial" w:hAnsi="Arial"/>
          <w:b w:val="false"/>
          <w:bCs w:val="false"/>
          <w:i w:val="false"/>
          <w:iCs w:val="false"/>
          <w:color w:val="1A1A2E"/>
          <w:sz w:val="22"/>
          <w:szCs w:val="22"/>
        </w:rPr>
        <w:t xml:space="preserve">La sucesion de Fibonacci se define recursivamente como:</w:t>
      </w:r>
    </w:p>
    <w:p>
      <w:pPr>
        <w:spacing w:after="40" w:before="40"/>
      </w:pPr>
      <w:r>
        <w:t xml:space="preserve"/>
      </w:r>
    </w:p>
    <w:p>
      <w:pPr>
        <w:shd w:fill="EAF2FB" w:val="clear"/>
        <w:spacing w:after="40" w:before="80"/>
        <w:jc w:val="center"/>
      </w:pPr>
      <w:r>
        <w:rPr>
          <w:rFonts w:ascii="Courier New" w:cs="Courier New" w:eastAsia="Courier New" w:hAnsi="Courier New"/>
          <w:b/>
          <w:bCs/>
          <w:color w:val="1B3A6B"/>
          <w:sz w:val="28"/>
          <w:szCs w:val="28"/>
        </w:rPr>
        <w:t xml:space="preserve">F(n) = F(n-1) + F(n-2)</w:t>
      </w:r>
    </w:p>
    <w:p>
      <w:pPr>
        <w:shd w:fill="EAF2FB" w:val="clear"/>
        <w:spacing w:after="100" w:before="0"/>
        <w:jc w:val="center"/>
      </w:pPr>
      <w:r>
        <w:rPr>
          <w:rFonts w:ascii="Courier New" w:cs="Courier New" w:eastAsia="Courier New" w:hAnsi="Courier New"/>
          <w:color w:val="5A6478"/>
          <w:sz w:val="22"/>
          <w:szCs w:val="22"/>
        </w:rPr>
        <w:t xml:space="preserve">donde  F(0) = 0  y  F(1) = 1</w:t>
      </w:r>
    </w:p>
    <w:p>
      <w:pPr>
        <w:spacing w:after="40" w:before="40"/>
      </w:pPr>
      <w:r>
        <w:t xml:space="preserve"/>
      </w:r>
    </w:p>
    <w:p>
      <w:pPr>
        <w:spacing w:after="80" w:before="60"/>
        <w:jc w:val="left"/>
      </w:pPr>
      <w:r>
        <w:rPr>
          <w:rFonts w:ascii="Arial" w:cs="Arial" w:eastAsia="Arial" w:hAnsi="Arial"/>
          <w:b w:val="false"/>
          <w:bCs w:val="false"/>
          <w:i w:val="false"/>
          <w:iCs w:val="false"/>
          <w:color w:val="1A1A2E"/>
          <w:sz w:val="22"/>
          <w:szCs w:val="22"/>
        </w:rPr>
        <w:t xml:space="preserve">Los primeros terminos de la secuencia son:</w:t>
      </w:r>
    </w:p>
    <w:p>
      <w:pPr>
        <w:spacing w:after="100" w:before="60"/>
        <w:jc w:val="center"/>
      </w:pPr>
      <w:r>
        <w:rPr>
          <w:rFonts w:ascii="Courier New" w:cs="Courier New" w:eastAsia="Courier New" w:hAnsi="Courier New"/>
          <w:b/>
          <w:bCs/>
          <w:color w:val="2E86AB"/>
          <w:sz w:val="22"/>
          <w:szCs w:val="22"/>
        </w:rPr>
        <w:t xml:space="preserve">0, 1, 1, 2, 3, 5, 8, 13, 21, 34, 55, 89, 144, 233, 377 ...</w:t>
      </w:r>
    </w:p>
    <w:p>
      <w:pPr>
        <w:spacing w:after="40" w:before="40"/>
      </w:pPr>
      <w:r>
        <w:t xml:space="preserve"/>
      </w:r>
    </w:p>
    <w:p>
      <w:pPr>
        <w:pBdr>
          <w:left w:val="single" w:color="2E86AB" w:sz="12"/>
        </w:pBdr>
        <w:shd w:fill="FDF6E3" w:val="clear"/>
        <w:spacing w:after="80" w:before="80"/>
        <w:ind w:left="200" w:right="200"/>
      </w:pPr>
      <w:r>
        <w:rPr>
          <w:rFonts w:ascii="Arial" w:cs="Arial" w:eastAsia="Arial" w:hAnsi="Arial"/>
          <w:i/>
          <w:iCs/>
          <w:color w:val="8B6914"/>
          <w:sz w:val="21"/>
          <w:szCs w:val="21"/>
        </w:rPr>
        <w:t xml:space="preserve">En el analisis tecnico, los niveles de Fibonacci (23.6%, 38.2%, 50%, 61.8%, 100%) se usan para identificar zonas de soporte y resistencia. CapitalSim aprovecha esta logica para simular impulsos y correcciones en los activos.</w:t>
      </w:r>
    </w:p>
    <w:p>
      <w:pPr>
        <w:spacing w:after="40" w:before="40"/>
      </w:pPr>
      <w:r>
        <w:t xml:space="preserve"/>
      </w:r>
    </w:p>
    <w:p>
      <w:pPr>
        <w:pStyle w:val="Heading2"/>
        <w:spacing w:after="80" w:before="240"/>
      </w:pPr>
      <w:r>
        <w:rPr>
          <w:rFonts w:ascii="Arial" w:cs="Arial" w:eastAsia="Arial" w:hAnsi="Arial"/>
          <w:b/>
          <w:bCs/>
        </w:rPr>
        <w:t xml:space="preserve">5.2 Implementacion Recursiva en el Motor</w:t>
      </w:r>
    </w:p>
    <w:p>
      <w:pPr>
        <w:spacing w:after="80" w:before="60"/>
        <w:jc w:val="left"/>
      </w:pPr>
      <w:r>
        <w:rPr>
          <w:rFonts w:ascii="Arial" w:cs="Arial" w:eastAsia="Arial" w:hAnsi="Arial"/>
          <w:b w:val="false"/>
          <w:bCs w:val="false"/>
          <w:i w:val="false"/>
          <w:iCs w:val="false"/>
          <w:color w:val="1A1A2E"/>
          <w:sz w:val="22"/>
          <w:szCs w:val="22"/>
        </w:rPr>
        <w:t xml:space="preserve">El algoritmo recursivo de Fibonacci se implementa en Java como nucleo del motor de movimientos. En cada ciclo de simulacion, el motor:</w:t>
      </w:r>
    </w:p>
    <w:p>
      <w:pPr>
        <w:spacing w:after="40" w:before="40"/>
      </w:pPr>
      <w:r>
        <w:t xml:space="preserve"/>
      </w:r>
    </w:p>
    <w:p>
      <w:pPr>
        <w:pStyle w:val="ListParagraph"/>
        <w:numPr>
          <w:ilvl w:val="0"/>
          <w:numId w:val="3"/>
        </w:numPr>
        <w:spacing w:after="40" w:before="40"/>
      </w:pPr>
      <w:r>
        <w:rPr>
          <w:rFonts w:ascii="Arial" w:cs="Arial" w:eastAsia="Arial" w:hAnsi="Arial"/>
          <w:sz w:val="22"/>
          <w:szCs w:val="22"/>
        </w:rPr>
        <w:t xml:space="preserve">Calcula el termino Fibonacci correspondiente al ciclo actual mediante llamada recursiva</w:t>
      </w:r>
    </w:p>
    <w:p>
      <w:pPr>
        <w:pStyle w:val="ListParagraph"/>
        <w:numPr>
          <w:ilvl w:val="0"/>
          <w:numId w:val="3"/>
        </w:numPr>
        <w:spacing w:after="40" w:before="40"/>
      </w:pPr>
      <w:r>
        <w:rPr>
          <w:rFonts w:ascii="Arial" w:cs="Arial" w:eastAsia="Arial" w:hAnsi="Arial"/>
          <w:sz w:val="22"/>
          <w:szCs w:val="22"/>
        </w:rPr>
        <w:t xml:space="preserve">Normaliza el valor obtenido segun el rango de volatilidad del fondo</w:t>
      </w:r>
    </w:p>
    <w:p>
      <w:pPr>
        <w:pStyle w:val="ListParagraph"/>
        <w:numPr>
          <w:ilvl w:val="0"/>
          <w:numId w:val="3"/>
        </w:numPr>
        <w:spacing w:after="40" w:before="40"/>
      </w:pPr>
      <w:r>
        <w:rPr>
          <w:rFonts w:ascii="Arial" w:cs="Arial" w:eastAsia="Arial" w:hAnsi="Arial"/>
          <w:sz w:val="22"/>
          <w:szCs w:val="22"/>
        </w:rPr>
        <w:t xml:space="preserve">Aplica la direccion del movimiento (positivo o negativo) segun el estado del ciclo economico simulado</w:t>
      </w:r>
    </w:p>
    <w:p>
      <w:pPr>
        <w:pStyle w:val="ListParagraph"/>
        <w:numPr>
          <w:ilvl w:val="0"/>
          <w:numId w:val="3"/>
        </w:numPr>
        <w:spacing w:after="40" w:before="40"/>
      </w:pPr>
      <w:r>
        <w:rPr>
          <w:rFonts w:ascii="Arial" w:cs="Arial" w:eastAsia="Arial" w:hAnsi="Arial"/>
          <w:sz w:val="22"/>
          <w:szCs w:val="22"/>
        </w:rPr>
        <w:t xml:space="preserve">Modula la magnitud final con los pesos de las 12 variables especificas del fondo</w:t>
      </w:r>
    </w:p>
    <w:p>
      <w:pPr>
        <w:pStyle w:val="ListParagraph"/>
        <w:numPr>
          <w:ilvl w:val="0"/>
          <w:numId w:val="3"/>
        </w:numPr>
        <w:spacing w:after="40" w:before="40"/>
      </w:pPr>
      <w:r>
        <w:rPr>
          <w:rFonts w:ascii="Arial" w:cs="Arial" w:eastAsia="Arial" w:hAnsi="Arial"/>
          <w:sz w:val="22"/>
          <w:szCs w:val="22"/>
        </w:rPr>
        <w:t xml:space="preserve">Actualiza el valor liquidativo (NAV) del fondo y registra el movimiento en el historial</w:t>
      </w:r>
    </w:p>
    <w:p>
      <w:pPr>
        <w:spacing w:after="40" w:before="40"/>
      </w:pPr>
      <w:r>
        <w:t xml:space="preserve"/>
      </w:r>
    </w:p>
    <w:p>
      <w:pPr>
        <w:pStyle w:val="Heading2"/>
        <w:spacing w:after="80" w:before="240"/>
      </w:pPr>
      <w:r>
        <w:rPr>
          <w:rFonts w:ascii="Arial" w:cs="Arial" w:eastAsia="Arial" w:hAnsi="Arial"/>
          <w:b/>
          <w:bCs/>
        </w:rPr>
        <w:t xml:space="preserve">5.3 Pseudocodigo del Motor</w:t>
      </w:r>
    </w:p>
    <w:p>
      <w:pPr>
        <w:spacing w:after="80" w:before="60"/>
        <w:jc w:val="left"/>
      </w:pPr>
      <w:r>
        <w:rPr>
          <w:rFonts w:ascii="Arial" w:cs="Arial" w:eastAsia="Arial" w:hAnsi="Arial"/>
          <w:b w:val="false"/>
          <w:bCs w:val="false"/>
          <w:i w:val="false"/>
          <w:iCs w:val="false"/>
          <w:color w:val="1A1A2E"/>
          <w:sz w:val="22"/>
          <w:szCs w:val="22"/>
        </w:rPr>
        <w:t xml:space="preserve">La estructura central del algoritmo es la siguiente:</w:t>
      </w:r>
    </w:p>
    <w:p>
      <w:pPr>
        <w:spacing w:after="40" w:before="40"/>
      </w:pPr>
      <w:r>
        <w:t xml:space="preserve"/>
      </w:r>
    </w:p>
    <w:p>
      <w:pPr>
        <w:shd w:fill="F0F4FA" w:val="clear"/>
        <w:spacing w:after="40" w:before="40"/>
        <w:ind w:left="360"/>
      </w:pPr>
      <w:r>
        <w:rPr>
          <w:rFonts w:ascii="Courier New" w:cs="Courier New" w:eastAsia="Courier New" w:hAnsi="Courier New"/>
          <w:color w:val="1B3A6B"/>
          <w:sz w:val="18"/>
          <w:szCs w:val="18"/>
        </w:rPr>
        <w:t xml:space="preserve">// Calculo recursivo del termino Fibonacci</w:t>
      </w:r>
    </w:p>
    <w:p>
      <w:pPr>
        <w:shd w:fill="F0F4FA" w:val="clear"/>
        <w:spacing w:after="40" w:before="40"/>
        <w:ind w:left="360"/>
      </w:pPr>
      <w:r>
        <w:rPr>
          <w:rFonts w:ascii="Courier New" w:cs="Courier New" w:eastAsia="Courier New" w:hAnsi="Courier New"/>
          <w:color w:val="1B3A6B"/>
          <w:sz w:val="18"/>
          <w:szCs w:val="18"/>
        </w:rPr>
        <w:t xml:space="preserve">int fibonacci(int n) {</w:t>
      </w:r>
    </w:p>
    <w:p>
      <w:pPr>
        <w:shd w:fill="F0F4FA" w:val="clear"/>
        <w:spacing w:after="40" w:before="40"/>
        <w:ind w:left="360"/>
      </w:pPr>
      <w:r>
        <w:rPr>
          <w:rFonts w:ascii="Courier New" w:cs="Courier New" w:eastAsia="Courier New" w:hAnsi="Courier New"/>
          <w:color w:val="1B3A6B"/>
          <w:sz w:val="18"/>
          <w:szCs w:val="18"/>
        </w:rPr>
        <w:t xml:space="preserve">    if (n &lt;= 0) return 0;</w:t>
      </w:r>
    </w:p>
    <w:p>
      <w:pPr>
        <w:shd w:fill="F0F4FA" w:val="clear"/>
        <w:spacing w:after="40" w:before="40"/>
        <w:ind w:left="360"/>
      </w:pPr>
      <w:r>
        <w:rPr>
          <w:rFonts w:ascii="Courier New" w:cs="Courier New" w:eastAsia="Courier New" w:hAnsi="Courier New"/>
          <w:color w:val="1B3A6B"/>
          <w:sz w:val="18"/>
          <w:szCs w:val="18"/>
        </w:rPr>
        <w:t xml:space="preserve">    if (n == 1) return 1;</w:t>
      </w:r>
    </w:p>
    <w:p>
      <w:pPr>
        <w:shd w:fill="F0F4FA" w:val="clear"/>
        <w:spacing w:after="40" w:before="40"/>
        <w:ind w:left="360"/>
      </w:pPr>
      <w:r>
        <w:rPr>
          <w:rFonts w:ascii="Courier New" w:cs="Courier New" w:eastAsia="Courier New" w:hAnsi="Courier New"/>
          <w:color w:val="1B3A6B"/>
          <w:sz w:val="18"/>
          <w:szCs w:val="18"/>
        </w:rPr>
        <w:t xml:space="preserve">    return fibonacci(n - 1) + fibonacci(n - 2);</w:t>
      </w:r>
    </w:p>
    <w:p>
      <w:pPr>
        <w:shd w:fill="F0F4FA" w:val="clear"/>
        <w:spacing w:after="40" w:before="40"/>
        <w:ind w:left="360"/>
      </w:pPr>
      <w:r>
        <w:rPr>
          <w:rFonts w:ascii="Courier New" w:cs="Courier New" w:eastAsia="Courier New" w:hAnsi="Courier New"/>
          <w:color w:val="1B3A6B"/>
          <w:sz w:val="18"/>
          <w:szCs w:val="18"/>
        </w:rPr>
        <w:t xml:space="preserve">}</w:t>
      </w:r>
    </w:p>
    <w:p>
      <w:pPr>
        <w:spacing w:after="40" w:before="40"/>
      </w:pPr>
      <w:r>
        <w:t xml:space="preserve"/>
      </w:r>
    </w:p>
    <w:p>
      <w:pPr>
        <w:shd w:fill="F0F4FA" w:val="clear"/>
        <w:spacing w:after="40" w:before="40"/>
        <w:ind w:left="360"/>
      </w:pPr>
      <w:r>
        <w:rPr>
          <w:rFonts w:ascii="Courier New" w:cs="Courier New" w:eastAsia="Courier New" w:hAnsi="Courier New"/>
          <w:color w:val="1B3A6B"/>
          <w:sz w:val="18"/>
          <w:szCs w:val="18"/>
        </w:rPr>
        <w:t xml:space="preserve">// Motor de variacion de activo en ciclo n</w:t>
      </w:r>
    </w:p>
    <w:p>
      <w:pPr>
        <w:shd w:fill="F0F4FA" w:val="clear"/>
        <w:spacing w:after="40" w:before="40"/>
        <w:ind w:left="360"/>
      </w:pPr>
      <w:r>
        <w:rPr>
          <w:rFonts w:ascii="Courier New" w:cs="Courier New" w:eastAsia="Courier New" w:hAnsi="Courier New"/>
          <w:color w:val="1B3A6B"/>
          <w:sz w:val="18"/>
          <w:szCs w:val="18"/>
        </w:rPr>
        <w:t xml:space="preserve">double calcularVariacion(Fondo fondo, int ciclo) {</w:t>
      </w:r>
    </w:p>
    <w:p>
      <w:pPr>
        <w:shd w:fill="F0F4FA" w:val="clear"/>
        <w:spacing w:after="40" w:before="40"/>
        <w:ind w:left="360"/>
      </w:pPr>
      <w:r>
        <w:rPr>
          <w:rFonts w:ascii="Courier New" w:cs="Courier New" w:eastAsia="Courier New" w:hAnsi="Courier New"/>
          <w:color w:val="1B3A6B"/>
          <w:sz w:val="18"/>
          <w:szCs w:val="18"/>
        </w:rPr>
        <w:t xml:space="preserve">    int fibVal = fibonacci(ciclo);</w:t>
      </w:r>
    </w:p>
    <w:p>
      <w:pPr>
        <w:shd w:fill="F0F4FA" w:val="clear"/>
        <w:spacing w:after="40" w:before="40"/>
        <w:ind w:left="360"/>
      </w:pPr>
      <w:r>
        <w:rPr>
          <w:rFonts w:ascii="Courier New" w:cs="Courier New" w:eastAsia="Courier New" w:hAnsi="Courier New"/>
          <w:color w:val="1B3A6B"/>
          <w:sz w:val="18"/>
          <w:szCs w:val="18"/>
        </w:rPr>
        <w:t xml:space="preserve">    double base = normalizarFibonacci(fibVal, fondo.getVolatilidadMax());</w:t>
      </w:r>
    </w:p>
    <w:p>
      <w:pPr>
        <w:shd w:fill="F0F4FA" w:val="clear"/>
        <w:spacing w:after="40" w:before="40"/>
        <w:ind w:left="360"/>
      </w:pPr>
      <w:r>
        <w:rPr>
          <w:rFonts w:ascii="Courier New" w:cs="Courier New" w:eastAsia="Courier New" w:hAnsi="Courier New"/>
          <w:color w:val="1B3A6B"/>
          <w:sz w:val="18"/>
          <w:szCs w:val="18"/>
        </w:rPr>
        <w:t xml:space="preserve">    double direccion = determinarDireccion(fondo, ciclo);</w:t>
      </w:r>
    </w:p>
    <w:p>
      <w:pPr>
        <w:shd w:fill="F0F4FA" w:val="clear"/>
        <w:spacing w:after="40" w:before="40"/>
        <w:ind w:left="360"/>
      </w:pPr>
      <w:r>
        <w:rPr>
          <w:rFonts w:ascii="Courier New" w:cs="Courier New" w:eastAsia="Courier New" w:hAnsi="Courier New"/>
          <w:color w:val="1B3A6B"/>
          <w:sz w:val="18"/>
          <w:szCs w:val="18"/>
        </w:rPr>
        <w:t xml:space="preserve">    double peso = fondo.calcularPesoVariables();</w:t>
      </w:r>
    </w:p>
    <w:p>
      <w:pPr>
        <w:shd w:fill="F0F4FA" w:val="clear"/>
        <w:spacing w:after="40" w:before="40"/>
        <w:ind w:left="360"/>
      </w:pPr>
      <w:r>
        <w:rPr>
          <w:rFonts w:ascii="Courier New" w:cs="Courier New" w:eastAsia="Courier New" w:hAnsi="Courier New"/>
          <w:color w:val="1B3A6B"/>
          <w:sz w:val="18"/>
          <w:szCs w:val="18"/>
        </w:rPr>
        <w:t xml:space="preserve">    return base * direccion * peso;</w:t>
      </w:r>
    </w:p>
    <w:p>
      <w:pPr>
        <w:shd w:fill="F0F4FA" w:val="clear"/>
        <w:spacing w:after="40" w:before="40"/>
        <w:ind w:left="360"/>
      </w:pPr>
      <w:r>
        <w:rPr>
          <w:rFonts w:ascii="Courier New" w:cs="Courier New" w:eastAsia="Courier New" w:hAnsi="Courier New"/>
          <w:color w:val="1B3A6B"/>
          <w:sz w:val="18"/>
          <w:szCs w:val="18"/>
        </w:rPr>
        <w:t xml:space="preserve">}</w:t>
      </w:r>
    </w:p>
    <w:p>
      <w:pPr>
        <w:spacing w:after="40" w:before="40"/>
      </w:pPr>
      <w:r>
        <w:t xml:space="preserve"/>
      </w:r>
    </w:p>
    <w:p>
      <w:pPr>
        <w:pStyle w:val="Heading2"/>
        <w:spacing w:after="80" w:before="240"/>
      </w:pPr>
      <w:r>
        <w:rPr>
          <w:rFonts w:ascii="Arial" w:cs="Arial" w:eastAsia="Arial" w:hAnsi="Arial"/>
          <w:b/>
          <w:bCs/>
        </w:rPr>
        <w:t xml:space="preserve">5.4 Normalizacion de la Secuencia</w:t>
      </w:r>
    </w:p>
    <w:p>
      <w:pPr>
        <w:spacing w:after="80" w:before="60"/>
        <w:jc w:val="left"/>
      </w:pPr>
      <w:r>
        <w:rPr>
          <w:rFonts w:ascii="Arial" w:cs="Arial" w:eastAsia="Arial" w:hAnsi="Arial"/>
          <w:b w:val="false"/>
          <w:bCs w:val="false"/>
          <w:i w:val="false"/>
          <w:iCs w:val="false"/>
          <w:color w:val="1A1A2E"/>
          <w:sz w:val="22"/>
          <w:szCs w:val="22"/>
        </w:rPr>
        <w:t xml:space="preserve">Los valores brutos de Fibonacci crecen exponencialmente, por lo que el motor aplica una normalizacion logaritmica para mantener los movimientos dentro de los rangos realistas de cada tipo de fondo:</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 de Fondo</w:t>
            </w:r>
          </w:p>
        </w:tc>
        <w:tc>
          <w:tcPr>
            <w:tcW w:type="dxa" w:w="312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Rango de Movimiento</w:t>
            </w:r>
          </w:p>
        </w:tc>
        <w:tc>
          <w:tcPr>
            <w:tcW w:type="dxa" w:w="312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Factor de Escala Fib.</w:t>
            </w:r>
          </w:p>
        </w:tc>
      </w:tr>
      <w:tr>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Monetarios</w:t>
            </w:r>
          </w:p>
        </w:tc>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86AB"/>
                <w:sz w:val="20"/>
                <w:szCs w:val="20"/>
              </w:rPr>
              <w:t xml:space="preserve">0.01% – 0.2%</w:t>
            </w:r>
          </w:p>
        </w:tc>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A6478"/>
                <w:sz w:val="20"/>
                <w:szCs w:val="20"/>
              </w:rPr>
              <w:t xml:space="preserve">0.001x</w:t>
            </w:r>
          </w:p>
        </w:tc>
      </w:tr>
      <w:tr>
        <w:tc>
          <w:tcPr>
            <w:tcW w:type="dxa" w:w="312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Renta Fija</w:t>
            </w:r>
          </w:p>
        </w:tc>
        <w:tc>
          <w:tcPr>
            <w:tcW w:type="dxa" w:w="312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val="false"/>
                <w:bCs w:val="false"/>
                <w:color w:val="2E86AB"/>
                <w:sz w:val="20"/>
                <w:szCs w:val="20"/>
              </w:rPr>
              <w:t xml:space="preserve">0.05% – 0.8%</w:t>
            </w:r>
          </w:p>
        </w:tc>
        <w:tc>
          <w:tcPr>
            <w:tcW w:type="dxa" w:w="312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val="false"/>
                <w:bCs w:val="false"/>
                <w:color w:val="5A6478"/>
                <w:sz w:val="20"/>
                <w:szCs w:val="20"/>
              </w:rPr>
              <w:t xml:space="preserve">0.005x</w:t>
            </w:r>
          </w:p>
        </w:tc>
      </w:tr>
      <w:tr>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Fondos Mixtos</w:t>
            </w:r>
          </w:p>
        </w:tc>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86AB"/>
                <w:sz w:val="20"/>
                <w:szCs w:val="20"/>
              </w:rPr>
              <w:t xml:space="preserve">0.1% – 2.0%</w:t>
            </w:r>
          </w:p>
        </w:tc>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A6478"/>
                <w:sz w:val="20"/>
                <w:szCs w:val="20"/>
              </w:rPr>
              <w:t xml:space="preserve">0.01x</w:t>
            </w:r>
          </w:p>
        </w:tc>
      </w:tr>
      <w:tr>
        <w:tc>
          <w:tcPr>
            <w:tcW w:type="dxa" w:w="312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Inmobiliario</w:t>
            </w:r>
          </w:p>
        </w:tc>
        <w:tc>
          <w:tcPr>
            <w:tcW w:type="dxa" w:w="312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val="false"/>
                <w:bCs w:val="false"/>
                <w:color w:val="2E86AB"/>
                <w:sz w:val="20"/>
                <w:szCs w:val="20"/>
              </w:rPr>
              <w:t xml:space="preserve">0.15% – 2.5%</w:t>
            </w:r>
          </w:p>
        </w:tc>
        <w:tc>
          <w:tcPr>
            <w:tcW w:type="dxa" w:w="312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val="false"/>
                <w:bCs w:val="false"/>
                <w:color w:val="5A6478"/>
                <w:sz w:val="20"/>
                <w:szCs w:val="20"/>
              </w:rPr>
              <w:t xml:space="preserve">0.015x</w:t>
            </w:r>
          </w:p>
        </w:tc>
      </w:tr>
      <w:tr>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Indexados</w:t>
            </w:r>
          </w:p>
        </w:tc>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86AB"/>
                <w:sz w:val="20"/>
                <w:szCs w:val="20"/>
              </w:rPr>
              <w:t xml:space="preserve">0.2% – 3.5%</w:t>
            </w:r>
          </w:p>
        </w:tc>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A6478"/>
                <w:sz w:val="20"/>
                <w:szCs w:val="20"/>
              </w:rPr>
              <w:t xml:space="preserve">0.02x</w:t>
            </w:r>
          </w:p>
        </w:tc>
      </w:tr>
      <w:tr>
        <w:tc>
          <w:tcPr>
            <w:tcW w:type="dxa" w:w="312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Renta Variable</w:t>
            </w:r>
          </w:p>
        </w:tc>
        <w:tc>
          <w:tcPr>
            <w:tcW w:type="dxa" w:w="312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val="false"/>
                <w:bCs w:val="false"/>
                <w:color w:val="2E86AB"/>
                <w:sz w:val="20"/>
                <w:szCs w:val="20"/>
              </w:rPr>
              <w:t xml:space="preserve">0.3% – 5.0%</w:t>
            </w:r>
          </w:p>
        </w:tc>
        <w:tc>
          <w:tcPr>
            <w:tcW w:type="dxa" w:w="312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val="false"/>
                <w:bCs w:val="false"/>
                <w:color w:val="5A6478"/>
                <w:sz w:val="20"/>
                <w:szCs w:val="20"/>
              </w:rPr>
              <w:t xml:space="preserve">0.03x</w:t>
            </w:r>
          </w:p>
        </w:tc>
      </w:tr>
      <w:tr>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Hedge / Alternativos</w:t>
            </w:r>
          </w:p>
        </w:tc>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86AB"/>
                <w:sz w:val="20"/>
                <w:szCs w:val="20"/>
              </w:rPr>
              <w:t xml:space="preserve">0.2% – 4.0%</w:t>
            </w:r>
          </w:p>
        </w:tc>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A6478"/>
                <w:sz w:val="20"/>
                <w:szCs w:val="20"/>
              </w:rPr>
              <w:t xml:space="preserve">0.025x</w:t>
            </w:r>
          </w:p>
        </w:tc>
      </w:tr>
      <w:tr>
        <w:tc>
          <w:tcPr>
            <w:tcW w:type="dxa" w:w="312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Materias Primas</w:t>
            </w:r>
          </w:p>
        </w:tc>
        <w:tc>
          <w:tcPr>
            <w:tcW w:type="dxa" w:w="312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val="false"/>
                <w:bCs w:val="false"/>
                <w:color w:val="2E86AB"/>
                <w:sz w:val="20"/>
                <w:szCs w:val="20"/>
              </w:rPr>
              <w:t xml:space="preserve">0.3% – 6.0%</w:t>
            </w:r>
          </w:p>
        </w:tc>
        <w:tc>
          <w:tcPr>
            <w:tcW w:type="dxa" w:w="312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val="false"/>
                <w:bCs w:val="false"/>
                <w:color w:val="5A6478"/>
                <w:sz w:val="20"/>
                <w:szCs w:val="20"/>
              </w:rPr>
              <w:t xml:space="preserve">0.035x</w:t>
            </w:r>
          </w:p>
        </w:tc>
      </w:tr>
      <w:tr>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Sectoriales</w:t>
            </w:r>
          </w:p>
        </w:tc>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86AB"/>
                <w:sz w:val="20"/>
                <w:szCs w:val="20"/>
              </w:rPr>
              <w:t xml:space="preserve">0.5% – 8.0%</w:t>
            </w:r>
          </w:p>
        </w:tc>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A6478"/>
                <w:sz w:val="20"/>
                <w:szCs w:val="20"/>
              </w:rPr>
              <w:t xml:space="preserve">0.05x</w:t>
            </w:r>
          </w:p>
        </w:tc>
      </w:tr>
    </w:tbl>
    <w:p>
      <w:pPr>
        <w:spacing w:after="40" w:before="40"/>
      </w:pPr>
      <w:r>
        <w:t xml:space="preserve"/>
      </w:r>
    </w:p>
    <w:p>
      <w:pPr>
        <w:pStyle w:val="Heading2"/>
        <w:spacing w:after="80" w:before="240"/>
      </w:pPr>
      <w:r>
        <w:rPr>
          <w:rFonts w:ascii="Arial" w:cs="Arial" w:eastAsia="Arial" w:hAnsi="Arial"/>
          <w:b/>
          <w:bCs/>
        </w:rPr>
        <w:t xml:space="preserve">5.5 Ciclos Economicos y Direccion del Movimiento</w:t>
      </w:r>
    </w:p>
    <w:p>
      <w:pPr>
        <w:spacing w:after="80" w:before="60"/>
        <w:jc w:val="left"/>
      </w:pPr>
      <w:r>
        <w:rPr>
          <w:rFonts w:ascii="Arial" w:cs="Arial" w:eastAsia="Arial" w:hAnsi="Arial"/>
          <w:b w:val="false"/>
          <w:bCs w:val="false"/>
          <w:i w:val="false"/>
          <w:iCs w:val="false"/>
          <w:color w:val="1A1A2E"/>
          <w:sz w:val="22"/>
          <w:szCs w:val="22"/>
        </w:rPr>
        <w:t xml:space="preserve">El motor simula cuatro estados macroeconomicos que determinan la probabilidad de que cada movimiento Fibonacci sea alcista o bajista: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Ciclo</w:t>
            </w:r>
          </w:p>
        </w:tc>
        <w:tc>
          <w:tcPr>
            <w:tcW w:type="dxa" w:w="234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 Subida</w:t>
            </w:r>
          </w:p>
        </w:tc>
        <w:tc>
          <w:tcPr>
            <w:tcW w:type="dxa" w:w="234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 Bajada</w:t>
            </w:r>
          </w:p>
        </w:tc>
        <w:tc>
          <w:tcPr>
            <w:tcW w:type="dxa" w:w="234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Fondos Mas Afectados</w:t>
            </w:r>
          </w:p>
        </w:tc>
      </w:tr>
      <w:tr>
        <w:tc>
          <w:tcPr>
            <w:tcW w:type="dxa" w:w="2340"/>
            <w:tcBorders>
              <w:top w:val="single" w:color="C5D5E8" w:sz="1"/>
              <w:left w:val="single" w:color="C5D5E8" w:sz="1"/>
              <w:bottom w:val="single" w:color="C5D5E8" w:sz="1"/>
              <w:right w:val="single" w:color="C5D5E8" w:sz="1"/>
            </w:tcBorders>
            <w:shd w:fill="E8F5E9" w:val="clear"/>
            <w:tcMar>
              <w:top w:type="dxa" w:w="80"/>
              <w:left w:type="dxa" w:w="120"/>
              <w:bottom w:type="dxa" w:w="80"/>
              <w:right w:type="dxa" w:w="120"/>
            </w:tcMar>
            <w:vAlign w:val="center"/>
          </w:tcPr>
          <w:p>
            <w:pPr>
              <w:jc w:val="left"/>
            </w:pPr>
            <w:r>
              <w:rPr>
                <w:rFonts w:ascii="Arial" w:cs="Arial" w:eastAsia="Arial" w:hAnsi="Arial"/>
                <w:b/>
                <w:bCs/>
                <w:color w:val="1E7C4D"/>
                <w:sz w:val="20"/>
                <w:szCs w:val="20"/>
              </w:rPr>
              <w:t xml:space="preserve">Expansion</w:t>
            </w:r>
          </w:p>
        </w:tc>
        <w:tc>
          <w:tcPr>
            <w:tcW w:type="dxa" w:w="2340"/>
            <w:tcBorders>
              <w:top w:val="single" w:color="C5D5E8" w:sz="1"/>
              <w:left w:val="single" w:color="C5D5E8" w:sz="1"/>
              <w:bottom w:val="single" w:color="C5D5E8" w:sz="1"/>
              <w:right w:val="single" w:color="C5D5E8"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1E7C4D"/>
                <w:sz w:val="20"/>
                <w:szCs w:val="20"/>
              </w:rPr>
              <w:t xml:space="preserve">70% – 85%</w:t>
            </w:r>
          </w:p>
        </w:tc>
        <w:tc>
          <w:tcPr>
            <w:tcW w:type="dxa" w:w="2340"/>
            <w:tcBorders>
              <w:top w:val="single" w:color="C5D5E8" w:sz="1"/>
              <w:left w:val="single" w:color="C5D5E8" w:sz="1"/>
              <w:bottom w:val="single" w:color="C5D5E8" w:sz="1"/>
              <w:right w:val="single" w:color="C5D5E8"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15% – 30%</w:t>
            </w:r>
          </w:p>
        </w:tc>
        <w:tc>
          <w:tcPr>
            <w:tcW w:type="dxa" w:w="2340"/>
            <w:tcBorders>
              <w:top w:val="single" w:color="C5D5E8" w:sz="1"/>
              <w:left w:val="single" w:color="C5D5E8" w:sz="1"/>
              <w:bottom w:val="single" w:color="C5D5E8" w:sz="1"/>
              <w:right w:val="single" w:color="C5D5E8"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Renta Variable, Sectoriales, Indexados</w:t>
            </w:r>
          </w:p>
        </w:tc>
      </w:tr>
      <w:tr>
        <w:tc>
          <w:tcPr>
            <w:tcW w:type="dxa" w:w="234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bCs/>
                <w:color w:val="2E86AB"/>
                <w:sz w:val="20"/>
                <w:szCs w:val="20"/>
              </w:rPr>
              <w:t xml:space="preserve">Pico</w:t>
            </w:r>
          </w:p>
        </w:tc>
        <w:tc>
          <w:tcPr>
            <w:tcW w:type="dxa" w:w="234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 – 60%</w:t>
            </w:r>
          </w:p>
        </w:tc>
        <w:tc>
          <w:tcPr>
            <w:tcW w:type="dxa" w:w="234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40% – 50%</w:t>
            </w:r>
          </w:p>
        </w:tc>
        <w:tc>
          <w:tcPr>
            <w:tcW w:type="dxa" w:w="2340"/>
            <w:tcBorders>
              <w:top w:val="single" w:color="C5D5E8" w:sz="1"/>
              <w:left w:val="single" w:color="C5D5E8" w:sz="1"/>
              <w:bottom w:val="single" w:color="C5D5E8" w:sz="1"/>
              <w:right w:val="single" w:color="C5D5E8" w:sz="1"/>
            </w:tcBorders>
            <w:shd w:fill="EAF2FB"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Materias Primas, Inmobiliario</w:t>
            </w:r>
          </w:p>
        </w:tc>
      </w:tr>
      <w:tr>
        <w:tc>
          <w:tcPr>
            <w:tcW w:type="dxa" w:w="2340"/>
            <w:tcBorders>
              <w:top w:val="single" w:color="C5D5E8" w:sz="1"/>
              <w:left w:val="single" w:color="C5D5E8" w:sz="1"/>
              <w:bottom w:val="single" w:color="C5D5E8" w:sz="1"/>
              <w:right w:val="single" w:color="C5D5E8" w:sz="1"/>
            </w:tcBorders>
            <w:shd w:fill="FFF3E0" w:val="clear"/>
            <w:tcMar>
              <w:top w:type="dxa" w:w="80"/>
              <w:left w:type="dxa" w:w="120"/>
              <w:bottom w:type="dxa" w:w="80"/>
              <w:right w:type="dxa" w:w="120"/>
            </w:tcMar>
            <w:vAlign w:val="center"/>
          </w:tcPr>
          <w:p>
            <w:pPr>
              <w:jc w:val="left"/>
            </w:pPr>
            <w:r>
              <w:rPr>
                <w:rFonts w:ascii="Arial" w:cs="Arial" w:eastAsia="Arial" w:hAnsi="Arial"/>
                <w:b/>
                <w:bCs/>
                <w:color w:val="D4650A"/>
                <w:sz w:val="20"/>
                <w:szCs w:val="20"/>
              </w:rPr>
              <w:t xml:space="preserve">Contraccion</w:t>
            </w:r>
          </w:p>
        </w:tc>
        <w:tc>
          <w:tcPr>
            <w:tcW w:type="dxa" w:w="2340"/>
            <w:tcBorders>
              <w:top w:val="single" w:color="C5D5E8" w:sz="1"/>
              <w:left w:val="single" w:color="C5D5E8" w:sz="1"/>
              <w:bottom w:val="single" w:color="C5D5E8" w:sz="1"/>
              <w:right w:val="single" w:color="C5D5E8"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 – 40%</w:t>
            </w:r>
          </w:p>
        </w:tc>
        <w:tc>
          <w:tcPr>
            <w:tcW w:type="dxa" w:w="2340"/>
            <w:tcBorders>
              <w:top w:val="single" w:color="C5D5E8" w:sz="1"/>
              <w:left w:val="single" w:color="C5D5E8" w:sz="1"/>
              <w:bottom w:val="single" w:color="C5D5E8" w:sz="1"/>
              <w:right w:val="single" w:color="C5D5E8"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60% – 80%</w:t>
            </w:r>
          </w:p>
        </w:tc>
        <w:tc>
          <w:tcPr>
            <w:tcW w:type="dxa" w:w="2340"/>
            <w:tcBorders>
              <w:top w:val="single" w:color="C5D5E8" w:sz="1"/>
              <w:left w:val="single" w:color="C5D5E8" w:sz="1"/>
              <w:bottom w:val="single" w:color="C5D5E8" w:sz="1"/>
              <w:right w:val="single" w:color="C5D5E8"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Renta Variable, Sectoriales</w:t>
            </w:r>
          </w:p>
        </w:tc>
      </w:tr>
      <w:tr>
        <w:tc>
          <w:tcPr>
            <w:tcW w:type="dxa" w:w="2340"/>
            <w:tcBorders>
              <w:top w:val="single" w:color="C5D5E8" w:sz="1"/>
              <w:left w:val="single" w:color="C5D5E8" w:sz="1"/>
              <w:bottom w:val="single" w:color="C5D5E8" w:sz="1"/>
              <w:right w:val="single" w:color="C5D5E8" w:sz="1"/>
            </w:tcBorders>
            <w:shd w:fill="FFEBEE" w:val="clear"/>
            <w:tcMar>
              <w:top w:type="dxa" w:w="80"/>
              <w:left w:type="dxa" w:w="120"/>
              <w:bottom w:type="dxa" w:w="80"/>
              <w:right w:type="dxa" w:w="120"/>
            </w:tcMar>
            <w:vAlign w:val="center"/>
          </w:tcPr>
          <w:p>
            <w:pPr>
              <w:jc w:val="left"/>
            </w:pPr>
            <w:r>
              <w:rPr>
                <w:rFonts w:ascii="Arial" w:cs="Arial" w:eastAsia="Arial" w:hAnsi="Arial"/>
                <w:b/>
                <w:bCs/>
                <w:color w:val="B22222"/>
                <w:sz w:val="20"/>
                <w:szCs w:val="20"/>
              </w:rPr>
              <w:t xml:space="preserve">Recesion</w:t>
            </w:r>
          </w:p>
        </w:tc>
        <w:tc>
          <w:tcPr>
            <w:tcW w:type="dxa" w:w="2340"/>
            <w:tcBorders>
              <w:top w:val="single" w:color="C5D5E8" w:sz="1"/>
              <w:left w:val="single" w:color="C5D5E8" w:sz="1"/>
              <w:bottom w:val="single" w:color="C5D5E8" w:sz="1"/>
              <w:right w:val="single" w:color="C5D5E8"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 – 25%</w:t>
            </w:r>
          </w:p>
        </w:tc>
        <w:tc>
          <w:tcPr>
            <w:tcW w:type="dxa" w:w="2340"/>
            <w:tcBorders>
              <w:top w:val="single" w:color="C5D5E8" w:sz="1"/>
              <w:left w:val="single" w:color="C5D5E8" w:sz="1"/>
              <w:bottom w:val="single" w:color="C5D5E8" w:sz="1"/>
              <w:right w:val="single" w:color="C5D5E8"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75% – 90%</w:t>
            </w:r>
          </w:p>
        </w:tc>
        <w:tc>
          <w:tcPr>
            <w:tcW w:type="dxa" w:w="2340"/>
            <w:tcBorders>
              <w:top w:val="single" w:color="C5D5E8" w:sz="1"/>
              <w:left w:val="single" w:color="C5D5E8" w:sz="1"/>
              <w:bottom w:val="single" w:color="C5D5E8" w:sz="1"/>
              <w:right w:val="single" w:color="C5D5E8"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Todos menos Monetarios y RF</w:t>
            </w:r>
          </w:p>
        </w:tc>
      </w:tr>
    </w:tbl>
    <w:p>
      <w:pPr>
        <w:spacing w:after="40" w:before="40"/>
      </w:pPr>
      <w:r>
        <w:t xml:space="preserve"/>
      </w:r>
    </w:p>
    <w:p>
      <w:r>
        <w:br/>
      </w:r>
    </w:p>
    <w:p>
      <w:pPr>
        <w:pStyle w:val="Heading1"/>
        <w:spacing w:after="120" w:before="360"/>
      </w:pPr>
      <w:r>
        <w:rPr>
          <w:rFonts w:ascii="Arial" w:cs="Arial" w:eastAsia="Arial" w:hAnsi="Arial"/>
          <w:b/>
          <w:bCs/>
        </w:rPr>
        <w:t xml:space="preserve">6. Logica de Simulacion por Tipo de Fondo</w:t>
      </w:r>
    </w:p>
    <w:p>
      <w:pPr>
        <w:spacing w:after="80" w:before="60"/>
        <w:jc w:val="left"/>
      </w:pPr>
      <w:r>
        <w:rPr>
          <w:rFonts w:ascii="Arial" w:cs="Arial" w:eastAsia="Arial" w:hAnsi="Arial"/>
          <w:b w:val="false"/>
          <w:bCs w:val="false"/>
          <w:i w:val="false"/>
          <w:iCs w:val="false"/>
          <w:color w:val="1A1A2E"/>
          <w:sz w:val="22"/>
          <w:szCs w:val="22"/>
        </w:rPr>
        <w:t xml:space="preserve">Aunque todos los fondos comparten el mismo motor Fibonacci, cada tipologia tiene parametros propios que modifican la simulacion. A continuacion se detalla la logica especifica de los mas relevantes.</w:t>
      </w:r>
    </w:p>
    <w:p>
      <w:pPr>
        <w:spacing w:after="40" w:before="40"/>
      </w:pPr>
      <w:r>
        <w:t xml:space="preserve"/>
      </w:r>
    </w:p>
    <w:p>
      <w:pPr>
        <w:pStyle w:val="Heading2"/>
        <w:spacing w:after="80" w:before="240"/>
      </w:pPr>
      <w:r>
        <w:rPr>
          <w:rFonts w:ascii="Arial" w:cs="Arial" w:eastAsia="Arial" w:hAnsi="Arial"/>
          <w:b/>
          <w:bCs/>
        </w:rPr>
        <w:t xml:space="preserve">6.1 Renta Variable - Alta Volatilidad</w:t>
      </w:r>
    </w:p>
    <w:p>
      <w:pPr>
        <w:spacing w:after="80" w:before="60"/>
        <w:jc w:val="left"/>
      </w:pPr>
      <w:r>
        <w:rPr>
          <w:rFonts w:ascii="Arial" w:cs="Arial" w:eastAsia="Arial" w:hAnsi="Arial"/>
          <w:b w:val="false"/>
          <w:bCs w:val="false"/>
          <w:i w:val="false"/>
          <w:iCs w:val="false"/>
          <w:color w:val="1A1A2E"/>
          <w:sz w:val="22"/>
          <w:szCs w:val="22"/>
        </w:rPr>
        <w:t xml:space="preserve">La renta variable es la mas sensible al ciclo economico. En expansion, los terminos Fibonacci se aplican con el factor de escala maximo. En recesion, el motor activa un multiplicador adicional de caida (hasta x1.5) para simular el efecto de venta masiva y panico.</w:t>
      </w:r>
    </w:p>
    <w:p>
      <w:pPr>
        <w:pBdr>
          <w:left w:val="single" w:color="2E86AB" w:sz="12"/>
        </w:pBdr>
        <w:shd w:fill="EAF2FB" w:val="clear"/>
        <w:spacing w:after="80" w:before="80"/>
        <w:ind w:left="200" w:right="200"/>
      </w:pPr>
      <w:r>
        <w:rPr>
          <w:rFonts w:ascii="Arial" w:cs="Arial" w:eastAsia="Arial" w:hAnsi="Arial"/>
          <w:i/>
          <w:iCs/>
          <w:color w:val="1B3A6B"/>
          <w:sz w:val="21"/>
          <w:szCs w:val="21"/>
        </w:rPr>
        <w:t xml:space="preserve">Variable dominante: Volatilidad (desviacion estandar alta). El drawdown puede activar un mecanismo de stop automatico en la simulacion para evitar valores negativos.</w:t>
      </w:r>
    </w:p>
    <w:p>
      <w:pPr>
        <w:spacing w:after="40" w:before="40"/>
      </w:pPr>
      <w:r>
        <w:t xml:space="preserve"/>
      </w:r>
    </w:p>
    <w:p>
      <w:pPr>
        <w:pStyle w:val="Heading2"/>
        <w:spacing w:after="80" w:before="240"/>
      </w:pPr>
      <w:r>
        <w:rPr>
          <w:rFonts w:ascii="Arial" w:cs="Arial" w:eastAsia="Arial" w:hAnsi="Arial"/>
          <w:b/>
          <w:bCs/>
        </w:rPr>
        <w:t xml:space="preserve">6.2 Renta Fija - Sensibilidad a Tipos</w:t>
      </w:r>
    </w:p>
    <w:p>
      <w:pPr>
        <w:spacing w:after="80" w:before="60"/>
        <w:jc w:val="left"/>
      </w:pPr>
      <w:r>
        <w:rPr>
          <w:rFonts w:ascii="Arial" w:cs="Arial" w:eastAsia="Arial" w:hAnsi="Arial"/>
          <w:b w:val="false"/>
          <w:bCs w:val="false"/>
          <w:i w:val="false"/>
          <w:iCs w:val="false"/>
          <w:color w:val="1A1A2E"/>
          <w:sz w:val="22"/>
          <w:szCs w:val="22"/>
        </w:rPr>
        <w:t xml:space="preserve">La renta fija incorpora una variable adicional exclusiva: el tipo de interes simulado. Cuando el motor detecta un ciclo de subida de tipos (contraccion / pico), aplica una variacion inversa al precio del bono. La magnitud de esta inversion es proporcional a la duracion media de la cartera del fondo.</w:t>
      </w:r>
    </w:p>
    <w:p>
      <w:pPr>
        <w:pBdr>
          <w:left w:val="single" w:color="2E86AB" w:sz="12"/>
        </w:pBdr>
        <w:shd w:fill="EAF2FB" w:val="clear"/>
        <w:spacing w:after="80" w:before="80"/>
        <w:ind w:left="200" w:right="200"/>
      </w:pPr>
      <w:r>
        <w:rPr>
          <w:rFonts w:ascii="Arial" w:cs="Arial" w:eastAsia="Arial" w:hAnsi="Arial"/>
          <w:i/>
          <w:iCs/>
          <w:color w:val="1B3A6B"/>
          <w:sz w:val="21"/>
          <w:szCs w:val="21"/>
        </w:rPr>
        <w:t xml:space="preserve">Variable dominante: Correlacion inversa con tipos. El Fibonacci modula el ritmo de caida de precios cuando los tipos suben, no la magnitud total.</w:t>
      </w:r>
    </w:p>
    <w:p>
      <w:pPr>
        <w:spacing w:after="40" w:before="40"/>
      </w:pPr>
      <w:r>
        <w:t xml:space="preserve"/>
      </w:r>
    </w:p>
    <w:p>
      <w:pPr>
        <w:pStyle w:val="Heading2"/>
        <w:spacing w:after="80" w:before="240"/>
      </w:pPr>
      <w:r>
        <w:rPr>
          <w:rFonts w:ascii="Arial" w:cs="Arial" w:eastAsia="Arial" w:hAnsi="Arial"/>
          <w:b/>
          <w:bCs/>
        </w:rPr>
        <w:t xml:space="preserve">6.3 Fondos Mixtos - Ponderacion Dinamica</w:t>
      </w:r>
    </w:p>
    <w:p>
      <w:pPr>
        <w:spacing w:after="80" w:before="60"/>
        <w:jc w:val="left"/>
      </w:pPr>
      <w:r>
        <w:rPr>
          <w:rFonts w:ascii="Arial" w:cs="Arial" w:eastAsia="Arial" w:hAnsi="Arial"/>
          <w:b w:val="false"/>
          <w:bCs w:val="false"/>
          <w:i w:val="false"/>
          <w:iCs w:val="false"/>
          <w:color w:val="1A1A2E"/>
          <w:sz w:val="22"/>
          <w:szCs w:val="22"/>
        </w:rPr>
        <w:t xml:space="preserve">Los fondos mixtos calculan internamente dos sub-variaciones: una para su componente de renta variable y otra para su componente de renta fija. El resultado final es la media ponderada segun el porcentaje de cada componente declarado en el fondo. Esto produce el efecto de amortiguacion caracteristico.</w:t>
      </w:r>
    </w:p>
    <w:p>
      <w:pPr>
        <w:spacing w:after="40" w:before="40"/>
      </w:pPr>
      <w:r>
        <w:t xml:space="preserve"/>
      </w:r>
    </w:p>
    <w:p>
      <w:pPr>
        <w:pStyle w:val="Heading2"/>
        <w:spacing w:after="80" w:before="240"/>
      </w:pPr>
      <w:r>
        <w:rPr>
          <w:rFonts w:ascii="Arial" w:cs="Arial" w:eastAsia="Arial" w:hAnsi="Arial"/>
          <w:b/>
          <w:bCs/>
        </w:rPr>
        <w:t xml:space="preserve">6.4 Monetarios - Friccion Minima</w:t>
      </w:r>
    </w:p>
    <w:p>
      <w:pPr>
        <w:spacing w:after="80" w:before="60"/>
        <w:jc w:val="left"/>
      </w:pPr>
      <w:r>
        <w:rPr>
          <w:rFonts w:ascii="Arial" w:cs="Arial" w:eastAsia="Arial" w:hAnsi="Arial"/>
          <w:b w:val="false"/>
          <w:bCs w:val="false"/>
          <w:i w:val="false"/>
          <w:iCs w:val="false"/>
          <w:color w:val="1A1A2E"/>
          <w:sz w:val="22"/>
          <w:szCs w:val="22"/>
        </w:rPr>
        <w:t xml:space="preserve">Los fondos monetarios aplican el termino Fibonacci mas bajo de la secuencia (F(1) o F(2)) y un factor de escala minimo. La variacion resultante rara vez supera el 0.05% por ciclo. Su funcion en la simulacion es actuar como refugio de capital en ciclos de recesion.</w:t>
      </w:r>
    </w:p>
    <w:p>
      <w:pPr>
        <w:spacing w:after="40" w:before="40"/>
      </w:pPr>
      <w:r>
        <w:t xml:space="preserve"/>
      </w:r>
    </w:p>
    <w:p>
      <w:pPr>
        <w:pStyle w:val="Heading2"/>
        <w:spacing w:after="80" w:before="240"/>
      </w:pPr>
      <w:r>
        <w:rPr>
          <w:rFonts w:ascii="Arial" w:cs="Arial" w:eastAsia="Arial" w:hAnsi="Arial"/>
          <w:b/>
          <w:bCs/>
        </w:rPr>
        <w:t xml:space="preserve">6.5 Sectoriales - Amplificacion Ciclica</w:t>
      </w:r>
    </w:p>
    <w:p>
      <w:pPr>
        <w:spacing w:after="80" w:before="60"/>
        <w:jc w:val="left"/>
      </w:pPr>
      <w:r>
        <w:rPr>
          <w:rFonts w:ascii="Arial" w:cs="Arial" w:eastAsia="Arial" w:hAnsi="Arial"/>
          <w:b w:val="false"/>
          <w:bCs w:val="false"/>
          <w:i w:val="false"/>
          <w:iCs w:val="false"/>
          <w:color w:val="1A1A2E"/>
          <w:sz w:val="22"/>
          <w:szCs w:val="22"/>
        </w:rPr>
        <w:t xml:space="preserve">Los fondos sectoriales aplican el termino Fibonacci con el mayor factor de escala. Ademas, se les suma un multiplicador sectorial que varia segun el sector simulado (tecnologia, energia, salud...). En expansion, los movimientos alcistas se amplifican; en recesion, las caidas son proporcionalmente mayores.</w:t>
      </w:r>
    </w:p>
    <w:p>
      <w:pPr>
        <w:pBdr>
          <w:left w:val="single" w:color="2E86AB" w:sz="12"/>
        </w:pBdr>
        <w:shd w:fill="FDF6E3" w:val="clear"/>
        <w:spacing w:after="80" w:before="80"/>
        <w:ind w:left="200" w:right="200"/>
      </w:pPr>
      <w:r>
        <w:rPr>
          <w:rFonts w:ascii="Arial" w:cs="Arial" w:eastAsia="Arial" w:hAnsi="Arial"/>
          <w:i/>
          <w:iCs/>
          <w:color w:val="C9952A"/>
          <w:sz w:val="21"/>
          <w:szCs w:val="21"/>
        </w:rPr>
        <w:t xml:space="preserve">Los fondos sectoriales son los que mayor drawdown pueden sufrir y mayor rentabilidad potencial tienen. El motor aplica aqui los terminos Fibonacci mas altos de la secuencia.</w:t>
      </w:r>
    </w:p>
    <w:p>
      <w:pPr>
        <w:spacing w:after="40" w:before="40"/>
      </w:pPr>
      <w:r>
        <w:t xml:space="preserve"/>
      </w:r>
    </w:p>
    <w:p>
      <w:pPr>
        <w:pStyle w:val="Heading2"/>
        <w:spacing w:after="80" w:before="240"/>
      </w:pPr>
      <w:r>
        <w:rPr>
          <w:rFonts w:ascii="Arial" w:cs="Arial" w:eastAsia="Arial" w:hAnsi="Arial"/>
          <w:b/>
          <w:bCs/>
        </w:rPr>
        <w:t xml:space="preserve">6.6 Alternativos / Hedge - Decorrelacion</w:t>
      </w:r>
    </w:p>
    <w:p>
      <w:pPr>
        <w:spacing w:after="80" w:before="60"/>
        <w:jc w:val="left"/>
      </w:pPr>
      <w:r>
        <w:rPr>
          <w:rFonts w:ascii="Arial" w:cs="Arial" w:eastAsia="Arial" w:hAnsi="Arial"/>
          <w:b w:val="false"/>
          <w:bCs w:val="false"/>
          <w:i w:val="false"/>
          <w:iCs w:val="false"/>
          <w:color w:val="1A1A2E"/>
          <w:sz w:val="22"/>
          <w:szCs w:val="22"/>
        </w:rPr>
        <w:t xml:space="preserve">Los fondos alternativos tienen un parametro especial de correlacion negativa. En ciclos de caida de mercado general, el motor aplica una probabilidad adicional de movimiento positivo para simular las estrategias long/short. Esto hace que, en media, presenten mejor Sharpe ratio que los fondos tradicionales.</w:t>
      </w:r>
    </w:p>
    <w:p>
      <w:pPr>
        <w:spacing w:after="40" w:before="40"/>
      </w:pPr>
      <w:r>
        <w:t xml:space="preserve"/>
      </w:r>
    </w:p>
    <w:p>
      <w:r>
        <w:br/>
      </w:r>
    </w:p>
    <w:p>
      <w:pPr>
        <w:pStyle w:val="Heading1"/>
        <w:spacing w:after="120" w:before="360"/>
      </w:pPr>
      <w:r>
        <w:rPr>
          <w:rFonts w:ascii="Arial" w:cs="Arial" w:eastAsia="Arial" w:hAnsi="Arial"/>
          <w:b/>
          <w:bCs/>
        </w:rPr>
        <w:t xml:space="preserve">7. Flujo de Datos en la Simulacion</w:t>
      </w:r>
    </w:p>
    <w:p>
      <w:pPr>
        <w:spacing w:after="80" w:before="60"/>
        <w:jc w:val="left"/>
      </w:pPr>
      <w:r>
        <w:rPr>
          <w:rFonts w:ascii="Arial" w:cs="Arial" w:eastAsia="Arial" w:hAnsi="Arial"/>
          <w:b w:val="false"/>
          <w:bCs w:val="false"/>
          <w:i w:val="false"/>
          <w:iCs w:val="false"/>
          <w:color w:val="1A1A2E"/>
          <w:sz w:val="22"/>
          <w:szCs w:val="22"/>
        </w:rPr>
        <w:t xml:space="preserve">El siguiente esquema describe como fluye la informacion desde la configuracion inicial del fondo hasta la actualizacion del valor liquidativo en cada ciclo:</w:t>
      </w:r>
    </w:p>
    <w:p>
      <w:pPr>
        <w:spacing w:after="40" w:before="40"/>
      </w:pPr>
      <w:r>
        <w:t xml:space="preserve"/>
      </w:r>
    </w:p>
    <w:p>
      <w:pPr>
        <w:shd w:fill="EAF2FB" w:val="clear"/>
        <w:spacing w:after="20" w:before="60"/>
        <w:jc w:val="center"/>
      </w:pPr>
      <w:r>
        <w:rPr>
          <w:rFonts w:ascii="Courier New" w:cs="Courier New" w:eastAsia="Courier New" w:hAnsi="Courier New"/>
          <w:color w:val="1B3A6B"/>
          <w:sz w:val="20"/>
          <w:szCs w:val="20"/>
        </w:rPr>
        <w:t xml:space="preserve">[ Configuracion del Fondo ] --&gt; [ Variables Iniciales ] --&gt; [ Motor Fibonacci ]</w:t>
      </w:r>
    </w:p>
    <w:p>
      <w:pPr>
        <w:spacing w:after="20" w:before="0"/>
        <w:jc w:val="center"/>
      </w:pPr>
      <w:r>
        <w:rPr>
          <w:rFonts w:ascii="Courier New" w:cs="Courier New" w:eastAsia="Courier New" w:hAnsi="Courier New"/>
          <w:color w:val="C5D5E8"/>
          <w:sz w:val="20"/>
          <w:szCs w:val="20"/>
        </w:rPr>
        <w:t xml:space="preserve">        |                          |                          |</w:t>
      </w:r>
    </w:p>
    <w:p>
      <w:pPr>
        <w:shd w:fill="EAF2FB" w:val="clear"/>
        <w:spacing w:after="20" w:before="0"/>
        <w:jc w:val="center"/>
      </w:pPr>
      <w:r>
        <w:rPr>
          <w:rFonts w:ascii="Courier New" w:cs="Courier New" w:eastAsia="Courier New" w:hAnsi="Courier New"/>
          <w:color w:val="1B3A6B"/>
          <w:sz w:val="20"/>
          <w:szCs w:val="20"/>
        </w:rPr>
        <w:t xml:space="preserve">[ Tipo de Fondo ] --&gt; [ Ciclo Economico ] --&gt; [ Variacion del Activo ]</w:t>
      </w:r>
    </w:p>
    <w:p>
      <w:pPr>
        <w:spacing w:after="20" w:before="0"/>
        <w:jc w:val="center"/>
      </w:pPr>
      <w:r>
        <w:rPr>
          <w:rFonts w:ascii="Courier New" w:cs="Courier New" w:eastAsia="Courier New" w:hAnsi="Courier New"/>
          <w:color w:val="C5D5E8"/>
          <w:sz w:val="20"/>
          <w:szCs w:val="20"/>
        </w:rPr>
        <w:t xml:space="preserve">                                                      |</w:t>
      </w:r>
    </w:p>
    <w:p>
      <w:pPr>
        <w:shd w:fill="EAF2FB" w:val="clear"/>
        <w:spacing w:after="100" w:before="0"/>
        <w:jc w:val="center"/>
      </w:pPr>
      <w:r>
        <w:rPr>
          <w:rFonts w:ascii="Courier New" w:cs="Courier New" w:eastAsia="Courier New" w:hAnsi="Courier New"/>
          <w:color w:val="1B3A6B"/>
          <w:sz w:val="20"/>
          <w:szCs w:val="20"/>
        </w:rPr>
        <w:t xml:space="preserve">                              [ Actualizacion NAV ] --&gt; [ Historial ]</w:t>
      </w:r>
    </w:p>
    <w:p>
      <w:pPr>
        <w:spacing w:after="40" w:before="40"/>
      </w:pPr>
      <w:r>
        <w:t xml:space="preserve"/>
      </w:r>
    </w:p>
    <w:p>
      <w:pPr>
        <w:pStyle w:val="Heading2"/>
        <w:spacing w:after="80" w:before="240"/>
      </w:pPr>
      <w:r>
        <w:rPr>
          <w:rFonts w:ascii="Arial" w:cs="Arial" w:eastAsia="Arial" w:hAnsi="Arial"/>
          <w:b/>
          <w:bCs/>
        </w:rPr>
        <w:t xml:space="preserve">7.1 Entidades del Modelo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Entidad</w:t>
            </w:r>
          </w:p>
        </w:tc>
        <w:tc>
          <w:tcPr>
            <w:tcW w:type="dxa" w:w="20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 Java</w:t>
            </w:r>
          </w:p>
        </w:tc>
        <w:tc>
          <w:tcPr>
            <w:tcW w:type="dxa" w:w="486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Descripcion</w:t>
            </w:r>
          </w:p>
        </w:tc>
      </w:tr>
      <w:tr>
        <w:tc>
          <w:tcPr>
            <w:tcW w:type="dxa" w:w="25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Gestora</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86AB"/>
                <w:sz w:val="20"/>
                <w:szCs w:val="20"/>
              </w:rPr>
              <w:t xml:space="preserve">class Gestora</w:t>
            </w:r>
          </w:p>
        </w:tc>
        <w:tc>
          <w:tcPr>
            <w:tcW w:type="dxa" w:w="48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Entidad raiz. Contiene la coleccion de fondos y el estado del ciclo economico global</w:t>
            </w:r>
          </w:p>
        </w:tc>
      </w:tr>
      <w:tr>
        <w:tc>
          <w:tcPr>
            <w:tcW w:type="dxa" w:w="250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Fondo</w:t>
            </w:r>
          </w:p>
        </w:tc>
        <w:tc>
          <w:tcPr>
            <w:tcW w:type="dxa" w:w="200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val="false"/>
                <w:bCs w:val="false"/>
                <w:color w:val="2E86AB"/>
                <w:sz w:val="20"/>
                <w:szCs w:val="20"/>
              </w:rPr>
              <w:t xml:space="preserve">abstract class Fondo</w:t>
            </w:r>
          </w:p>
        </w:tc>
        <w:tc>
          <w:tcPr>
            <w:tcW w:type="dxa" w:w="486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Clase base con todas las variables comunes. Cada tipo extiende esta clase</w:t>
            </w:r>
          </w:p>
        </w:tc>
      </w:tr>
      <w:tr>
        <w:tc>
          <w:tcPr>
            <w:tcW w:type="dxa" w:w="25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Activo</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86AB"/>
                <w:sz w:val="20"/>
                <w:szCs w:val="20"/>
              </w:rPr>
              <w:t xml:space="preserve">class Activo</w:t>
            </w:r>
          </w:p>
        </w:tc>
        <w:tc>
          <w:tcPr>
            <w:tcW w:type="dxa" w:w="48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Representa un titulo o posicion dentro de un fondo, con su precio y cantidad</w:t>
            </w:r>
          </w:p>
        </w:tc>
      </w:tr>
      <w:tr>
        <w:tc>
          <w:tcPr>
            <w:tcW w:type="dxa" w:w="250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CicloEconomico</w:t>
            </w:r>
          </w:p>
        </w:tc>
        <w:tc>
          <w:tcPr>
            <w:tcW w:type="dxa" w:w="200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val="false"/>
                <w:bCs w:val="false"/>
                <w:color w:val="2E86AB"/>
                <w:sz w:val="20"/>
                <w:szCs w:val="20"/>
              </w:rPr>
              <w:t xml:space="preserve">enum CicloEconomico</w:t>
            </w:r>
          </w:p>
        </w:tc>
        <w:tc>
          <w:tcPr>
            <w:tcW w:type="dxa" w:w="486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Estado actual: EXPANSION, PICO, CONTRACCION, RECESION</w:t>
            </w:r>
          </w:p>
        </w:tc>
      </w:tr>
      <w:tr>
        <w:tc>
          <w:tcPr>
            <w:tcW w:type="dxa" w:w="25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MotorFibonacci</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86AB"/>
                <w:sz w:val="20"/>
                <w:szCs w:val="20"/>
              </w:rPr>
              <w:t xml:space="preserve">class MotorFibonacci</w:t>
            </w:r>
          </w:p>
        </w:tc>
        <w:tc>
          <w:tcPr>
            <w:tcW w:type="dxa" w:w="48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Calcula la variacion de cada activo usando la secuencia recursiva</w:t>
            </w:r>
          </w:p>
        </w:tc>
      </w:tr>
      <w:tr>
        <w:tc>
          <w:tcPr>
            <w:tcW w:type="dxa" w:w="250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HistorialMovimiento</w:t>
            </w:r>
          </w:p>
        </w:tc>
        <w:tc>
          <w:tcPr>
            <w:tcW w:type="dxa" w:w="200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val="false"/>
                <w:bCs w:val="false"/>
                <w:color w:val="2E86AB"/>
                <w:sz w:val="20"/>
                <w:szCs w:val="20"/>
              </w:rPr>
              <w:t xml:space="preserve">class HistorialMovimiento</w:t>
            </w:r>
          </w:p>
        </w:tc>
        <w:tc>
          <w:tcPr>
            <w:tcW w:type="dxa" w:w="4860"/>
            <w:tcBorders>
              <w:top w:val="single" w:color="C5D5E8" w:sz="1"/>
              <w:left w:val="single" w:color="C5D5E8" w:sz="1"/>
              <w:bottom w:val="single" w:color="C5D5E8" w:sz="1"/>
              <w:right w:val="single" w:color="C5D5E8" w:sz="1"/>
            </w:tcBorders>
            <w:shd w:fill="F7FAFD"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Registro inmutable de cada variacion aplicada, con timestamp y contexto</w:t>
            </w:r>
          </w:p>
        </w:tc>
      </w:tr>
      <w:tr>
        <w:tc>
          <w:tcPr>
            <w:tcW w:type="dxa" w:w="25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VariablesFondo</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86AB"/>
                <w:sz w:val="20"/>
                <w:szCs w:val="20"/>
              </w:rPr>
              <w:t xml:space="preserve">class VariablesFondo</w:t>
            </w:r>
          </w:p>
        </w:tc>
        <w:tc>
          <w:tcPr>
            <w:tcW w:type="dxa" w:w="48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Encapsula los 12 parametros configurables de cada tipo de fondo</w:t>
            </w:r>
          </w:p>
        </w:tc>
      </w:tr>
    </w:tbl>
    <w:p>
      <w:pPr>
        <w:spacing w:after="40" w:before="40"/>
      </w:pPr>
      <w:r>
        <w:t xml:space="preserve"/>
      </w:r>
    </w:p>
    <w:p>
      <w:r>
        <w:br/>
      </w:r>
    </w:p>
    <w:p>
      <w:pPr>
        <w:pStyle w:val="Heading1"/>
        <w:spacing w:after="120" w:before="360"/>
      </w:pPr>
      <w:r>
        <w:rPr>
          <w:rFonts w:ascii="Arial" w:cs="Arial" w:eastAsia="Arial" w:hAnsi="Arial"/>
          <w:b/>
          <w:bCs/>
        </w:rPr>
        <w:t xml:space="preserve">8. Glosario de Terminos</w:t>
      </w:r>
    </w:p>
    <w:p>
      <w:pPr>
        <w:pBdr>
          <w:bottom w:val="single" w:color="C5D5E8" w:sz="2"/>
        </w:pBdr>
        <w:spacing w:after="20" w:before="100"/>
      </w:pPr>
      <w:r>
        <w:rPr>
          <w:rFonts w:ascii="Arial" w:cs="Arial" w:eastAsia="Arial" w:hAnsi="Arial"/>
          <w:b/>
          <w:bCs/>
          <w:color w:val="1B3A6B"/>
          <w:sz w:val="22"/>
          <w:szCs w:val="22"/>
        </w:rPr>
        <w:t xml:space="preserve">NAV (Net Asset Value)</w:t>
      </w:r>
    </w:p>
    <w:p>
      <w:pPr>
        <w:spacing w:after="60" w:before="20"/>
        <w:ind w:left="360"/>
      </w:pPr>
      <w:r>
        <w:rPr>
          <w:rFonts w:ascii="Arial" w:cs="Arial" w:eastAsia="Arial" w:hAnsi="Arial"/>
          <w:color w:val="5A6478"/>
          <w:sz w:val="21"/>
          <w:szCs w:val="21"/>
        </w:rPr>
        <w:t xml:space="preserve">Valor liquidativo del fondo. Precio por participacion calculado como activos totales / participaciones en circulacion.</w:t>
      </w:r>
    </w:p>
    <w:p>
      <w:pPr>
        <w:pBdr>
          <w:bottom w:val="single" w:color="C5D5E8" w:sz="2"/>
        </w:pBdr>
        <w:spacing w:after="20" w:before="100"/>
      </w:pPr>
      <w:r>
        <w:rPr>
          <w:rFonts w:ascii="Arial" w:cs="Arial" w:eastAsia="Arial" w:hAnsi="Arial"/>
          <w:b/>
          <w:bCs/>
          <w:color w:val="1B3A6B"/>
          <w:sz w:val="22"/>
          <w:szCs w:val="22"/>
        </w:rPr>
        <w:t xml:space="preserve">Drawdown</w:t>
      </w:r>
    </w:p>
    <w:p>
      <w:pPr>
        <w:spacing w:after="60" w:before="20"/>
        <w:ind w:left="360"/>
      </w:pPr>
      <w:r>
        <w:rPr>
          <w:rFonts w:ascii="Arial" w:cs="Arial" w:eastAsia="Arial" w:hAnsi="Arial"/>
          <w:color w:val="5A6478"/>
          <w:sz w:val="21"/>
          <w:szCs w:val="21"/>
        </w:rPr>
        <w:t xml:space="preserve">Caida porcentual desde el ultimo maximo historico hasta el minimo actual. Mide el peor momento posible para un inversor.</w:t>
      </w:r>
    </w:p>
    <w:p>
      <w:pPr>
        <w:pBdr>
          <w:bottom w:val="single" w:color="C5D5E8" w:sz="2"/>
        </w:pBdr>
        <w:spacing w:after="20" w:before="100"/>
      </w:pPr>
      <w:r>
        <w:rPr>
          <w:rFonts w:ascii="Arial" w:cs="Arial" w:eastAsia="Arial" w:hAnsi="Arial"/>
          <w:b/>
          <w:bCs/>
          <w:color w:val="1B3A6B"/>
          <w:sz w:val="22"/>
          <w:szCs w:val="22"/>
        </w:rPr>
        <w:t xml:space="preserve">Ratio de Sharpe</w:t>
      </w:r>
    </w:p>
    <w:p>
      <w:pPr>
        <w:spacing w:after="60" w:before="20"/>
        <w:ind w:left="360"/>
      </w:pPr>
      <w:r>
        <w:rPr>
          <w:rFonts w:ascii="Arial" w:cs="Arial" w:eastAsia="Arial" w:hAnsi="Arial"/>
          <w:color w:val="5A6478"/>
          <w:sz w:val="21"/>
          <w:szCs w:val="21"/>
        </w:rPr>
        <w:t xml:space="preserve">Medida de eficiencia: rentabilidad extra respecto a la tasa libre de riesgo, dividida por la volatilidad del fondo.</w:t>
      </w:r>
    </w:p>
    <w:p>
      <w:pPr>
        <w:pBdr>
          <w:bottom w:val="single" w:color="C5D5E8" w:sz="2"/>
        </w:pBdr>
        <w:spacing w:after="20" w:before="100"/>
      </w:pPr>
      <w:r>
        <w:rPr>
          <w:rFonts w:ascii="Arial" w:cs="Arial" w:eastAsia="Arial" w:hAnsi="Arial"/>
          <w:b/>
          <w:bCs/>
          <w:color w:val="1B3A6B"/>
          <w:sz w:val="22"/>
          <w:szCs w:val="22"/>
        </w:rPr>
        <w:t xml:space="preserve">Benchmark</w:t>
      </w:r>
    </w:p>
    <w:p>
      <w:pPr>
        <w:spacing w:after="60" w:before="20"/>
        <w:ind w:left="360"/>
      </w:pPr>
      <w:r>
        <w:rPr>
          <w:rFonts w:ascii="Arial" w:cs="Arial" w:eastAsia="Arial" w:hAnsi="Arial"/>
          <w:color w:val="5A6478"/>
          <w:sz w:val="21"/>
          <w:szCs w:val="21"/>
        </w:rPr>
        <w:t xml:space="preserve">Indice de referencia con el que se compara el rendimiento del fondo (ej. S&amp;P 500 para renta variable EEUU).</w:t>
      </w:r>
    </w:p>
    <w:p>
      <w:pPr>
        <w:pBdr>
          <w:bottom w:val="single" w:color="C5D5E8" w:sz="2"/>
        </w:pBdr>
        <w:spacing w:after="20" w:before="100"/>
      </w:pPr>
      <w:r>
        <w:rPr>
          <w:rFonts w:ascii="Arial" w:cs="Arial" w:eastAsia="Arial" w:hAnsi="Arial"/>
          <w:b/>
          <w:bCs/>
          <w:color w:val="1B3A6B"/>
          <w:sz w:val="22"/>
          <w:szCs w:val="22"/>
        </w:rPr>
        <w:t xml:space="preserve">TER</w:t>
      </w:r>
    </w:p>
    <w:p>
      <w:pPr>
        <w:spacing w:after="60" w:before="20"/>
        <w:ind w:left="360"/>
      </w:pPr>
      <w:r>
        <w:rPr>
          <w:rFonts w:ascii="Arial" w:cs="Arial" w:eastAsia="Arial" w:hAnsi="Arial"/>
          <w:color w:val="5A6478"/>
          <w:sz w:val="21"/>
          <w:szCs w:val="21"/>
        </w:rPr>
        <w:t xml:space="preserve">Total Expense Ratio. Suma de todos los costes anuales del fondo expresada como porcentaje del patrimonio.</w:t>
      </w:r>
    </w:p>
    <w:p>
      <w:pPr>
        <w:pBdr>
          <w:bottom w:val="single" w:color="C5D5E8" w:sz="2"/>
        </w:pBdr>
        <w:spacing w:after="20" w:before="100"/>
      </w:pPr>
      <w:r>
        <w:rPr>
          <w:rFonts w:ascii="Arial" w:cs="Arial" w:eastAsia="Arial" w:hAnsi="Arial"/>
          <w:b/>
          <w:bCs/>
          <w:color w:val="1B3A6B"/>
          <w:sz w:val="22"/>
          <w:szCs w:val="22"/>
        </w:rPr>
        <w:t xml:space="preserve">Volatilidad</w:t>
      </w:r>
    </w:p>
    <w:p>
      <w:pPr>
        <w:spacing w:after="60" w:before="20"/>
        <w:ind w:left="360"/>
      </w:pPr>
      <w:r>
        <w:rPr>
          <w:rFonts w:ascii="Arial" w:cs="Arial" w:eastAsia="Arial" w:hAnsi="Arial"/>
          <w:color w:val="5A6478"/>
          <w:sz w:val="21"/>
          <w:szCs w:val="21"/>
        </w:rPr>
        <w:t xml:space="preserve">Desviacion tipica de los rendimientos del fondo en un periodo. Mayor volatilidad implica mayor incertidumbre.</w:t>
      </w:r>
    </w:p>
    <w:p>
      <w:pPr>
        <w:pBdr>
          <w:bottom w:val="single" w:color="C5D5E8" w:sz="2"/>
        </w:pBdr>
        <w:spacing w:after="20" w:before="100"/>
      </w:pPr>
      <w:r>
        <w:rPr>
          <w:rFonts w:ascii="Arial" w:cs="Arial" w:eastAsia="Arial" w:hAnsi="Arial"/>
          <w:b/>
          <w:bCs/>
          <w:color w:val="1B3A6B"/>
          <w:sz w:val="22"/>
          <w:szCs w:val="22"/>
        </w:rPr>
        <w:t xml:space="preserve">Asset Allocation</w:t>
      </w:r>
    </w:p>
    <w:p>
      <w:pPr>
        <w:spacing w:after="60" w:before="20"/>
        <w:ind w:left="360"/>
      </w:pPr>
      <w:r>
        <w:rPr>
          <w:rFonts w:ascii="Arial" w:cs="Arial" w:eastAsia="Arial" w:hAnsi="Arial"/>
          <w:color w:val="5A6478"/>
          <w:sz w:val="21"/>
          <w:szCs w:val="21"/>
        </w:rPr>
        <w:t xml:space="preserve">Distribucion porcentual del capital entre diferentes clases de activos dentro de un fondo.</w:t>
      </w:r>
    </w:p>
    <w:p>
      <w:pPr>
        <w:pBdr>
          <w:bottom w:val="single" w:color="C5D5E8" w:sz="2"/>
        </w:pBdr>
        <w:spacing w:after="20" w:before="100"/>
      </w:pPr>
      <w:r>
        <w:rPr>
          <w:rFonts w:ascii="Arial" w:cs="Arial" w:eastAsia="Arial" w:hAnsi="Arial"/>
          <w:b/>
          <w:bCs/>
          <w:color w:val="1B3A6B"/>
          <w:sz w:val="22"/>
          <w:szCs w:val="22"/>
        </w:rPr>
        <w:t xml:space="preserve">Long/Short</w:t>
      </w:r>
    </w:p>
    <w:p>
      <w:pPr>
        <w:spacing w:after="60" w:before="20"/>
        <w:ind w:left="360"/>
      </w:pPr>
      <w:r>
        <w:rPr>
          <w:rFonts w:ascii="Arial" w:cs="Arial" w:eastAsia="Arial" w:hAnsi="Arial"/>
          <w:color w:val="5A6478"/>
          <w:sz w:val="21"/>
          <w:szCs w:val="21"/>
        </w:rPr>
        <w:t xml:space="preserve">Estrategia de hedge funds que combina posiciones compradoras (long) y vendedoras (short) para obtener rendimiento independientemente de la direccion del mercado.</w:t>
      </w:r>
    </w:p>
    <w:p>
      <w:pPr>
        <w:pBdr>
          <w:bottom w:val="single" w:color="C5D5E8" w:sz="2"/>
        </w:pBdr>
        <w:spacing w:after="20" w:before="100"/>
      </w:pPr>
      <w:r>
        <w:rPr>
          <w:rFonts w:ascii="Arial" w:cs="Arial" w:eastAsia="Arial" w:hAnsi="Arial"/>
          <w:b/>
          <w:bCs/>
          <w:color w:val="1B3A6B"/>
          <w:sz w:val="22"/>
          <w:szCs w:val="22"/>
        </w:rPr>
        <w:t xml:space="preserve">Fibonacci Recursivo</w:t>
      </w:r>
    </w:p>
    <w:p>
      <w:pPr>
        <w:spacing w:after="60" w:before="20"/>
        <w:ind w:left="360"/>
      </w:pPr>
      <w:r>
        <w:rPr>
          <w:rFonts w:ascii="Arial" w:cs="Arial" w:eastAsia="Arial" w:hAnsi="Arial"/>
          <w:color w:val="5A6478"/>
          <w:sz w:val="21"/>
          <w:szCs w:val="21"/>
        </w:rPr>
        <w:t xml:space="preserve">Algoritmo de calculo de la sucesion donde cada termino se obtiene llamando recursivamente a la funcion con los dos terminos anteriores.</w:t>
      </w:r>
    </w:p>
    <w:p>
      <w:pPr>
        <w:pBdr>
          <w:bottom w:val="single" w:color="C5D5E8" w:sz="2"/>
        </w:pBdr>
        <w:spacing w:after="20" w:before="100"/>
      </w:pPr>
      <w:r>
        <w:rPr>
          <w:rFonts w:ascii="Arial" w:cs="Arial" w:eastAsia="Arial" w:hAnsi="Arial"/>
          <w:b/>
          <w:bCs/>
          <w:color w:val="1B3A6B"/>
          <w:sz w:val="22"/>
          <w:szCs w:val="22"/>
        </w:rPr>
        <w:t xml:space="preserve">Correlacion</w:t>
      </w:r>
    </w:p>
    <w:p>
      <w:pPr>
        <w:spacing w:after="60" w:before="20"/>
        <w:ind w:left="360"/>
      </w:pPr>
      <w:r>
        <w:rPr>
          <w:rFonts w:ascii="Arial" w:cs="Arial" w:eastAsia="Arial" w:hAnsi="Arial"/>
          <w:color w:val="5A6478"/>
          <w:sz w:val="21"/>
          <w:szCs w:val="21"/>
        </w:rPr>
        <w:t xml:space="preserve">Coeficiente estadistico (-1 a +1) que mide el grado de relacion entre el movimiento de dos activos o fondos.</w:t>
      </w:r>
    </w:p>
    <w:p>
      <w:pPr>
        <w:spacing w:after="40" w:before="40"/>
      </w:pPr>
      <w:r>
        <w:t xml:space="preserve"/>
      </w:r>
    </w:p>
    <w:p>
      <w:pPr>
        <w:spacing w:after="40" w:before="40"/>
      </w:pPr>
      <w:r>
        <w:t xml:space="preserve"/>
      </w:r>
    </w:p>
    <w:p>
      <w:pPr>
        <w:pBdr>
          <w:top w:val="single" w:color="C5D5E8" w:sz="4"/>
        </w:pBdr>
        <w:spacing w:after="0" w:before="200"/>
        <w:jc w:val="center"/>
      </w:pPr>
      <w:r>
        <w:rPr>
          <w:rFonts w:ascii="Arial" w:cs="Arial" w:eastAsia="Arial" w:hAnsi="Arial"/>
          <w:i/>
          <w:iCs/>
          <w:color w:val="5A6478"/>
          <w:sz w:val="18"/>
          <w:szCs w:val="18"/>
        </w:rPr>
        <w:t xml:space="preserve">Fin del Documento  |  CapitalSim v1.0  |  Confidencial</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5E8" w:sz="4"/>
      </w:pBdr>
      <w:spacing w:after="120"/>
    </w:pPr>
    <w:r>
      <w:rPr>
        <w:rFonts w:ascii="Arial" w:cs="Arial" w:eastAsia="Arial" w:hAnsi="Arial"/>
        <w:color w:val="5A6478"/>
        <w:sz w:val="18"/>
        <w:szCs w:val="18"/>
      </w:rPr>
      <w:t xml:space="preserve">CAPITALSIM  |  Documentacion Tecnica</w:t>
    </w:r>
    <w:r>
      <w:rPr>
        <w:rFonts w:ascii="Arial" w:cs="Arial" w:eastAsia="Arial" w:hAnsi="Arial"/>
        <w:color w:val="5A6478"/>
        <w:sz w:val="18"/>
        <w:szCs w:val="18"/>
      </w:rPr>
      <w:t xml:space="preserve">  Uso Interno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86AB"/>
      <w:sz w:val="28"/>
      <w:szCs w:val="28"/>
    </w:rPr>
  </w:style>
  <w:style w:type="paragraph" w:styleId="Heading3">
    <w:name w:val="Heading 3"/>
    <w:basedOn w:val="Normal"/>
    <w:next w:val="Normal"/>
    <w:qFormat/>
    <w:pPr>
      <w:spacing w:after="60" w:before="18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 Sistema de Gestión de Fondos de Inversión</dc:title>
  <dc:creator>CapitalSim Documentation</dc:creator>
  <dc:description>Documentación interna del funcionamiento de CapitalSim</dc:description>
  <cp:lastModifiedBy>Un-named</cp:lastModifiedBy>
  <cp:revision>1</cp:revision>
  <dcterms:created xsi:type="dcterms:W3CDTF">2026-04-17T07:27:16.463Z</dcterms:created>
  <dcterms:modified xsi:type="dcterms:W3CDTF">2026-04-17T07:27:16.464Z</dcterms:modified>
</cp:coreProperties>
</file>

<file path=docProps/custom.xml><?xml version="1.0" encoding="utf-8"?>
<Properties xmlns="http://schemas.openxmlformats.org/officeDocument/2006/custom-properties" xmlns:vt="http://schemas.openxmlformats.org/officeDocument/2006/docPropsVTypes"/>
</file>