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3.pdf" ContentType="application/pdf"/>
  <Override PartName="/word/media/rId49.pdf" ContentType="application/pdf"/>
  <Override PartName="/word/media/rId46.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forest-structure-variability-increases-resilience-to-wildfire-in-dry-western-u.s.-coniferous-forests"/>
      <w:bookmarkEnd w:id="21"/>
      <w:r>
        <w:t xml:space="preserve">Local forest structure variability increases resilience to wildfire in dry, western U.S. coniferous forests</w:t>
      </w:r>
    </w:p>
    <w:p>
      <w:pPr>
        <w:pStyle w:val="FirstParagraph"/>
      </w:pPr>
      <w:r>
        <w:t xml:space="preserve">Michael J. Koontz</w:t>
      </w:r>
      <w:r>
        <w:rPr>
          <w:vertAlign w:val="superscript"/>
        </w:rPr>
        <w:t xml:space="preserve">1,2,3*</w:t>
      </w:r>
      <w:r>
        <w:t xml:space="preserve">,</w:t>
      </w:r>
      <w:r>
        <w:t xml:space="preserve"> </w:t>
      </w:r>
      <w:r>
        <w:t xml:space="preserve">Malcolm P. North</w:t>
      </w:r>
      <w:r>
        <w:rPr>
          <w:vertAlign w:val="superscript"/>
        </w:rPr>
        <w:t xml:space="preserve">2,4</w:t>
      </w:r>
      <w:r>
        <w:t xml:space="preserve">,</w:t>
      </w:r>
      <w:r>
        <w:t xml:space="preserve"> </w:t>
      </w:r>
      <w:r>
        <w:t xml:space="preserve">Chhaya M. Werner</w:t>
      </w:r>
      <w:r>
        <w:rPr>
          <w:vertAlign w:val="superscript"/>
        </w:rPr>
        <w:t xml:space="preserve">2,5</w:t>
      </w:r>
      <w:r>
        <w:t xml:space="preserve">,</w:t>
      </w:r>
      <w:r>
        <w:t xml:space="preserve"> </w:t>
      </w:r>
      <w:r>
        <w:t xml:space="preserve">Stephen E. Fick</w:t>
      </w:r>
      <w:r>
        <w:rPr>
          <w:vertAlign w:val="superscript"/>
        </w:rPr>
        <w:t xml:space="preserve">6,7</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w:t>
      </w:r>
      <w:r>
        <w:br w:type="textWrapping"/>
      </w:r>
      <w:r>
        <w:rPr>
          <w:vertAlign w:val="superscript"/>
        </w:rPr>
        <w:t xml:space="preserve">2</w:t>
      </w:r>
      <w:r>
        <w:t xml:space="preserve">Department of Plant Sciences, University of California; Davis, CA</w:t>
      </w:r>
      <w:r>
        <w:br w:type="textWrapping"/>
      </w:r>
      <w:r>
        <w:rPr>
          <w:vertAlign w:val="superscript"/>
        </w:rPr>
        <w:t xml:space="preserve">3</w:t>
      </w:r>
      <w:r>
        <w:t xml:space="preserve">Earth Lab, University of Colorado-Boulder; Boulder, CO</w:t>
      </w:r>
      <w:r>
        <w:br w:type="textWrapping"/>
      </w:r>
      <w:r>
        <w:rPr>
          <w:vertAlign w:val="superscript"/>
        </w:rPr>
        <w:t xml:space="preserve">4</w:t>
      </w:r>
      <w:r>
        <w:t xml:space="preserve">Pacific Southwest Research Station, U.S.D.A. Forest Service; Mammoth Lakes, CA</w:t>
      </w:r>
      <w:r>
        <w:br w:type="textWrapping"/>
      </w:r>
      <w:r>
        <w:rPr>
          <w:vertAlign w:val="superscript"/>
        </w:rPr>
        <w:t xml:space="preserve">5</w:t>
      </w:r>
      <w:r>
        <w:t xml:space="preserve">Center for Population Biology, University of California; Davis, CA</w:t>
      </w:r>
      <w:r>
        <w:br w:type="textWrapping"/>
      </w:r>
      <w:r>
        <w:rPr>
          <w:vertAlign w:val="superscript"/>
        </w:rPr>
        <w:t xml:space="preserve">6</w:t>
      </w:r>
      <w:r>
        <w:t xml:space="preserve">U.S. Geological Survey, Southwest Biological Science Center</w:t>
      </w:r>
      <w:r>
        <w:br w:type="textWrapping"/>
      </w:r>
      <w:r>
        <w:rPr>
          <w:vertAlign w:val="superscript"/>
        </w:rPr>
        <w:t xml:space="preserve">7</w:t>
      </w:r>
      <w:r>
        <w:t xml:space="preserve">Department of Ecology and Evolutionary Biology, University of Colorado; Boulder, CO</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Keywords: resilience, wildfire, severity, texture, forest structure</w:t>
      </w:r>
    </w:p>
    <w:p>
      <w:pPr>
        <w:pStyle w:val="BodyText"/>
      </w:pPr>
      <w:r>
        <w:t xml:space="preserve">Date report generated: July 06, 2019</w:t>
      </w:r>
    </w:p>
    <w:p>
      <w:pPr>
        <w:pStyle w:val="Heading1"/>
      </w:pPr>
      <w:bookmarkStart w:id="22" w:name="abstract"/>
      <w:bookmarkEnd w:id="22"/>
      <w:r>
        <w:t xml:space="preserve">Abstract</w:t>
      </w:r>
    </w:p>
    <w:p>
      <w:pPr>
        <w:pStyle w:val="FirstParagraph"/>
      </w:pPr>
      <w:r>
        <w:t xml:space="preserve">The long-term persistence of forest ecosystems hinges on their resilience to ongoing disturbance, but quantification of resilience in these valuable ecosystems remains difficult due to their vast extent and the longevity of forest species. Resilience to wildfire may arise from feedback between fire behavior and vegetation structure. In semi-arid and seasonally dry conifer forests of the western United States, regular fire generates structural variability which may then enable forests to withstand future fires and retain their fundamental properties and functions– a hallmark of a resilient system. A century of fire suppression in the western United States has homogenized the structure of many of these forests, potentially upsetting these feedbacks and compromising forest resilience. We investigate the generality and scale of the effect of structural variability on wildfire behavior in one of these forest types, the extensive yellow pine/mixed-conifer forest of California’s Sierra Nevada using cloud computing and texture analysis of a 33-year time series of satellite imagery. We measure the association between wildfire severity and local forest structure for an unprecedented number and size range of wildfires, ensuring broad representation of fire effects to this forest type. We find that greater structural variability is strongly associated with a lower probability of fire-induced overstory tree mortality. This resistance to wildfire was most apparent at the smallest spatial extent of forest structure tested (90m x 90m). Local-scale structural variability thus links past and future fire behavior, and makes forests more resilient to wildfire disturbance. Management strategies that increase vegetation structural variability, such as allowing fires to burn under moderate fuel and weather conditions, could increase the probability of long-term forest persistence.</w:t>
      </w:r>
    </w:p>
    <w:p>
      <w:pPr>
        <w:pStyle w:val="Heading1"/>
      </w:pPr>
      <w:bookmarkStart w:id="23" w:name="significance"/>
      <w:bookmarkEnd w:id="23"/>
      <w:r>
        <w:t xml:space="preserve">Significance</w:t>
      </w:r>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4" w:name="introduction"/>
      <w:bookmarkEnd w:id="24"/>
      <w:r>
        <w:t xml:space="preserve">Introduction</w:t>
      </w:r>
    </w:p>
    <w:p>
      <w:pPr>
        <w:pStyle w:val="FirstParagraph"/>
      </w:pPr>
      <w:r>
        <w:t xml:space="preserve">Forests are essential components of the biosphere, and ensuring their persistence is of high management priority given their large carbon stores and other valued ecosystem services</w:t>
      </w:r>
      <w:r>
        <w:t xml:space="preserve"> </w:t>
      </w:r>
      <w:r>
        <w:t xml:space="preserve">(1–4)</w:t>
      </w:r>
      <w:r>
        <w:t xml:space="preserve">. Modern forests are subject to disturbances that are increasingly frequent, intense, and entangled with human society, which may compromise their resilience and their ability to persist</w:t>
      </w:r>
      <w:r>
        <w:t xml:space="preserve"> </w:t>
      </w:r>
      <w:r>
        <w:t xml:space="preserve">(3, 5, 6)</w:t>
      </w:r>
      <w:r>
        <w:t xml:space="preserve">. A resilient forest can absorb disturbances and may reorganize, but is unlikely to transition to an alternate vegetation type in the long run</w:t>
      </w:r>
      <w:r>
        <w:t xml:space="preserve"> </w:t>
      </w:r>
      <w:r>
        <w:t xml:space="preserve">(7–10)</w:t>
      </w:r>
      <w:r>
        <w:t xml:space="preserve">. Resilience can arise when interactions amongst heterogeneous elements within a system create stabilizing negative feedbacks, or interrupt positive feedbacks that would otherwise cause critical transitions</w:t>
      </w:r>
      <w:r>
        <w:t xml:space="preserve"> </w:t>
      </w:r>
      <w:r>
        <w:t xml:space="preserve">(10, 11)</w:t>
      </w:r>
      <w:r>
        <w:t xml:space="preserve">. System resilience can be generated by heterogeneity at a variety of organizational scales, including genetic diversity</w:t>
      </w:r>
      <w:r>
        <w:t xml:space="preserve"> </w:t>
      </w:r>
      <w:r>
        <w:t xml:space="preserve">(12–14)</w:t>
      </w:r>
      <w:r>
        <w:t xml:space="preserve">, species diversity</w:t>
      </w:r>
      <w:r>
        <w:t xml:space="preserve"> </w:t>
      </w:r>
      <w:r>
        <w:t xml:space="preserve">(15–17)</w:t>
      </w:r>
      <w:r>
        <w:t xml:space="preserve">, functional diversity</w:t>
      </w:r>
      <w:r>
        <w:t xml:space="preserve"> </w:t>
      </w:r>
      <w:r>
        <w:t xml:space="preserve">(18)</w:t>
      </w:r>
      <w:r>
        <w:t xml:space="preserve">, topoclimatic complexity</w:t>
      </w:r>
      <w:r>
        <w:t xml:space="preserve"> </w:t>
      </w:r>
      <w:r>
        <w:t xml:space="preserve">(19, 20)</w:t>
      </w:r>
      <w:r>
        <w:t xml:space="preserve">, and temporal environmental variation</w:t>
      </w:r>
      <w:r>
        <w:t xml:space="preserve"> </w:t>
      </w:r>
      <w:r>
        <w:t xml:space="preserve">(21)</w:t>
      </w:r>
      <w:r>
        <w:t xml:space="preserve">. Forest resilience mechanisms are fundamentally difficult to quantify because forests comprise long-lived species, span large geographic extents, and are affected by disturbances at a broad range of spatial scales</w:t>
      </w:r>
      <w:r>
        <w:t xml:space="preserve"> </w:t>
      </w:r>
      <w:r>
        <w:t xml:space="preserve">(10, 22)</w:t>
      </w:r>
      <w:r>
        <w:t xml:space="preserve">. It is therefore critical, but challenging, to understand the system-wide mechanisms underlying forest resilience and the extent to which humans have the capacity to influence them.</w:t>
      </w:r>
    </w:p>
    <w:p>
      <w:pPr>
        <w:pStyle w:val="BodyText"/>
      </w:pPr>
      <w:r>
        <w:t xml:space="preserve">Wildfire severity describes a fire’s effect on vegetation</w:t>
      </w:r>
      <w:r>
        <w:t xml:space="preserve"> </w:t>
      </w:r>
      <w:r>
        <w:t xml:space="preserve">(23)</w:t>
      </w:r>
      <w:r>
        <w:t xml:space="preserve"> </w:t>
      </w:r>
      <w:r>
        <w:t xml:space="preserve">and high-severity fire, in which all or nearly all overstory vegetation is killed, can be a precursor to state transitions in dry coniferous forests</w:t>
      </w:r>
      <w:r>
        <w:t xml:space="preserve"> </w:t>
      </w:r>
      <w:r>
        <w:t xml:space="preserve">(24, 25)</w:t>
      </w:r>
      <w:r>
        <w:t xml:space="preserve">. For several centuries prior to Euroamerican invasion, fire regimes in this ecosystem were variable, having primarily low- and moderate-severity fire, but localized patches of high-severity fire</w:t>
      </w:r>
      <w:r>
        <w:t xml:space="preserve"> </w:t>
      </w:r>
      <w:r>
        <w:t xml:space="preserve">(26)</w:t>
      </w:r>
      <w:r>
        <w:t xml:space="preserve">. Most dry coniferous tree species in frequent-fire forests did not evolve mechanisms to protect propagules (e.g., seeds, buds/stems that can resprout) through high-severity fire, so recruitment in large patches with few or no surviving trees is often highly limited by longer-distance dispersal of tree seeds from unburned or lower-severity areas</w:t>
      </w:r>
      <w:r>
        <w:t xml:space="preserve"> </w:t>
      </w:r>
      <w:r>
        <w:t xml:space="preserve">(24, 27, 28)</w:t>
      </w:r>
      <w:r>
        <w:t xml:space="preserve">. Absence of tree seeds after severe wildfire can lead to forest regeneration failure as resprouting shrubs outcompete slower-growing conifer seedlings and provide continuous cover of flammable fuel that makes future high-severity wildfire more likely</w:t>
      </w:r>
      <w:r>
        <w:t xml:space="preserve"> </w:t>
      </w:r>
      <w:r>
        <w:t xml:space="preserve">(29, 30)</w:t>
      </w:r>
      <w:r>
        <w:t xml:space="preserve">. Dry forest regeneration is especially imperiled after high-severity fire when post-fire climate conditions are suboptimal for conifer seedling establishment</w:t>
      </w:r>
      <w:r>
        <w:t xml:space="preserve"> </w:t>
      </w:r>
      <w:r>
        <w:t xml:space="preserve">(25)</w:t>
      </w:r>
      <w:r>
        <w:t xml:space="preserve"> </w:t>
      </w:r>
      <w:r>
        <w:t xml:space="preserve">or optimal for shrub regeneration</w:t>
      </w:r>
      <w:r>
        <w:t xml:space="preserve"> </w:t>
      </w:r>
      <w:r>
        <w:t xml:space="preserve">(28)</w:t>
      </w:r>
      <w:r>
        <w:t xml:space="preserve">.</w:t>
      </w:r>
    </w:p>
    <w:p>
      <w:pPr>
        <w:pStyle w:val="BodyText"/>
      </w:pPr>
      <w:r>
        <w:t xml:space="preserve">Many dry western U.S. forests are experiencing</w:t>
      </w:r>
      <w:r>
        <w:t xml:space="preserve"> </w:t>
      </w:r>
      <w:r>
        <w:t xml:space="preserve">“</w:t>
      </w:r>
      <w:r>
        <w:t xml:space="preserve">unhealthy</w:t>
      </w:r>
      <w:r>
        <w:t xml:space="preserve">”</w:t>
      </w:r>
      <w:r>
        <w:t xml:space="preserve"> </w:t>
      </w:r>
      <w:r>
        <w:t xml:space="preserve">conditions which leaves them prone to catastrophic shifts in ecosystem type</w:t>
      </w:r>
      <w:r>
        <w:t xml:space="preserve"> </w:t>
      </w:r>
      <w:r>
        <w:t xml:space="preserve">(3)</w:t>
      </w:r>
      <w:r>
        <w:t xml:space="preserve">. First,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(3, 31, 32)</w:t>
      </w:r>
      <w:r>
        <w:t xml:space="preserve">, producing conditions favorable for high-intensity fire</w:t>
      </w:r>
      <w:r>
        <w:t xml:space="preserve"> </w:t>
      </w:r>
      <w:r>
        <w:t xml:space="preserve">(33, 34)</w:t>
      </w:r>
      <w:r>
        <w:t xml:space="preserve"> </w:t>
      </w:r>
      <w:r>
        <w:t xml:space="preserve">and less suitable for post-fire conifer establishment</w:t>
      </w:r>
      <w:r>
        <w:t xml:space="preserve"> </w:t>
      </w:r>
      <w:r>
        <w:t xml:space="preserve">(25, 35)</w:t>
      </w:r>
      <w:r>
        <w:t xml:space="preserve">. Second, a century of fire suppression has drastically increased forest density and fuel connectivity</w:t>
      </w:r>
      <w:r>
        <w:t xml:space="preserve"> </w:t>
      </w:r>
      <w:r>
        <w:t xml:space="preserve">(26)</w:t>
      </w:r>
      <w:r>
        <w:t xml:space="preserve">, which favors modern wildfires with large, contiguous patches of tree mortality whose interiors are far from potential seed sources</w:t>
      </w:r>
      <w:r>
        <w:t xml:space="preserve"> </w:t>
      </w:r>
      <w:r>
        <w:t xml:space="preserve">(24, 26, 36, 37)</w:t>
      </w:r>
      <w:r>
        <w:t xml:space="preserve">. Thus, the presence of stabilizing feedbacks that limit high-severity fire may represent a fundamental resilience mechanism of dry coniferous forests, but anthropogenic climate and management impacts may be upsetting those feedbacks and eroding forest resilience.</w:t>
      </w:r>
    </w:p>
    <w:p>
      <w:pPr>
        <w:pStyle w:val="BodyText"/>
      </w:pPr>
      <w:r>
        <w:t xml:space="preserve">An emerging paradigm in forest ecology is that resilience to disturbances such as wildfire may derive from heterogeneity in vegetation structure</w:t>
      </w:r>
      <w:r>
        <w:t xml:space="preserve"> </w:t>
      </w:r>
      <w:r>
        <w:t xml:space="preserve">(38–40)</w:t>
      </w:r>
      <w:r>
        <w:t xml:space="preserve">. Forest structure– the size and spatial distribution of vegetation in a forest– links past and future fire disturbance via feedbacks with fire behavior</w:t>
      </w:r>
      <w:r>
        <w:t xml:space="preserve"> </w:t>
      </w:r>
      <w:r>
        <w:t xml:space="preserve">(41)</w:t>
      </w:r>
      <w:r>
        <w:t xml:space="preserve">. A structurally variable forest with horizontally and vertically discontinuous fuel may experience slower-moving surface fires, a lower probability of crown fire initiation and spread, and a reduced potential for self-propagating, eruptive behavior</w:t>
      </w:r>
      <w:r>
        <w:t xml:space="preserve"> </w:t>
      </w:r>
      <w:r>
        <w:t xml:space="preserve">(11, 42–45)</w:t>
      </w:r>
      <w:r>
        <w:t xml:space="preserve">. Feeding back to influence forest structure, this milder fire behavior, characteristic of pre-Euroamerican settlement conditions in dry western U.S. forests, generates a heterogeneous patchwork of fire effects including consumed understory vegetation, occasional overstory tree mortality, and highly variable structure at a fine scale</w:t>
      </w:r>
      <w:r>
        <w:t xml:space="preserve"> </w:t>
      </w:r>
      <w:r>
        <w:t xml:space="preserve">(26, 46, 47)</w:t>
      </w:r>
      <w:r>
        <w:t xml:space="preserve">. Thus, more structurally variable dry forests are often considered more resilient and are predicted to persist in the face of frequent wildfire disturbance</w:t>
      </w:r>
      <w:r>
        <w:t xml:space="preserve"> </w:t>
      </w:r>
      <w:r>
        <w:t xml:space="preserve">(38, 43, 48)</w:t>
      </w:r>
      <w:r>
        <w:t xml:space="preserve">.</w:t>
      </w:r>
    </w:p>
    <w:p>
      <w:pPr>
        <w:pStyle w:val="BodyText"/>
      </w:pPr>
      <w:r>
        <w:t xml:space="preserve">While the homogenizing effect of modern high-severity fire on forest structure is well-documented</w:t>
      </w:r>
      <w:r>
        <w:t xml:space="preserve"> </w:t>
      </w:r>
      <w:r>
        <w:t xml:space="preserve">(37)</w:t>
      </w:r>
      <w:r>
        <w:t xml:space="preserve">, the foundational concept of feedback between heterogeneity of forest structure and fire severity is underexplored, in part because of the challenge of measuring fine-scale heterogeneity at broad spatial extents</w:t>
      </w:r>
      <w:r>
        <w:t xml:space="preserve"> </w:t>
      </w:r>
      <w:r>
        <w:t xml:space="preserve">(49)</w:t>
      </w:r>
      <w:r>
        <w:t xml:space="preserve">. Furthermore, it has been difficult to empirically resolve the</w:t>
      </w:r>
      <w:r>
        <w:t xml:space="preserve"> </w:t>
      </w:r>
      <w:r>
        <w:t xml:space="preserve">“</w:t>
      </w:r>
      <w:r>
        <w:t xml:space="preserve">scale of effect</w:t>
      </w:r>
      <w:r>
        <w:t xml:space="preserve">”</w:t>
      </w:r>
      <w:r>
        <w:t xml:space="preserve"> </w:t>
      </w:r>
      <w:r>
        <w:t xml:space="preserve">(49)</w:t>
      </w:r>
      <w:r>
        <w:t xml:space="preserve"> </w:t>
      </w:r>
      <w:r>
        <w:t xml:space="preserve">for how variability in forest structure is meaningful for resilience</w:t>
      </w:r>
      <w:r>
        <w:t xml:space="preserve"> </w:t>
      </w:r>
      <w:r>
        <w:t xml:space="preserve">(50, 51)</w:t>
      </w:r>
      <w:r>
        <w:t xml:space="preserve">.</w:t>
      </w:r>
    </w:p>
    <w:p>
      <w:pPr>
        <w:pStyle w:val="BodyText"/>
      </w:pPr>
      <w:r>
        <w:t xml:space="preserve">Recent advances in the accessibility and tractability of spatiotemporally extensive Earth observation data</w:t>
      </w:r>
      <w:r>
        <w:t xml:space="preserve"> </w:t>
      </w:r>
      <w:r>
        <w:t xml:space="preserve">(52)</w:t>
      </w:r>
      <w:r>
        <w:t xml:space="preserve"> </w:t>
      </w:r>
      <w:r>
        <w:t xml:space="preserve">provide an avenue to insight into fundamental ecosystem properties at relevant scales, such as resilience mechanisms of vast, long-lived forests. We use Landsat satellite imagery and leverage a massively-parallel image processing approach to calculate wildfire severity for nearly 1,000 Sierra Nevada yellow pine/mixed-conifer wildfires encompassing a wide size range (4 to &gt;100,000 hectares) and long time series (1984 to 2017). We calibrate these spectral severity measures to ground assessments of fire effects on overstory trees from over 200 field plots. For each point within these ~1,000 fires, we use texture analysis</w:t>
      </w:r>
      <w:r>
        <w:t xml:space="preserve"> </w:t>
      </w:r>
      <w:r>
        <w:t xml:space="preserve">(53)</w:t>
      </w:r>
      <w:r>
        <w:t xml:space="preserve"> </w:t>
      </w:r>
      <w:r>
        <w:t xml:space="preserve">at multiple scales in order to characterize local variability in vegetation structure across broad spatial extents and determine its</w:t>
      </w:r>
      <w:r>
        <w:t xml:space="preserve"> </w:t>
      </w:r>
      <w:r>
        <w:t xml:space="preserve">“</w:t>
      </w:r>
      <w:r>
        <w:t xml:space="preserve">scale of effect</w:t>
      </w:r>
      <w:r>
        <w:t xml:space="preserve">”</w:t>
      </w:r>
      <w:r>
        <w:t xml:space="preserve"> </w:t>
      </w:r>
      <w:r>
        <w:t xml:space="preserve">(49)</w:t>
      </w:r>
      <w:r>
        <w:t xml:space="preserve">. We pair the resulting extensive database of wildfire severity and multiple scales of local forest variability to ask: (1) Does spatial variability in forest structure increase the resilience of California yellow pine/mixed-conifer forests by reducing the severity of wildfires? (2) What is the</w:t>
      </w:r>
      <w:r>
        <w:t xml:space="preserve"> </w:t>
      </w:r>
      <w:r>
        <w:t xml:space="preserve">“</w:t>
      </w:r>
      <w:r>
        <w:t xml:space="preserve">scale of effect</w:t>
      </w:r>
      <w:r>
        <w:t xml:space="preserve">”</w:t>
      </w:r>
      <w:r>
        <w:t xml:space="preserve"> </w:t>
      </w:r>
      <w:r>
        <w:t xml:space="preserve">of structural variability that influences wildfire severity? and (3) Does the influence of structural variability on fire severity depend on topography, regional climate, or other conditions?</w:t>
      </w:r>
    </w:p>
    <w:p>
      <w:pPr>
        <w:pStyle w:val="Heading1"/>
      </w:pPr>
      <w:bookmarkStart w:id="25" w:name="material-and-methods"/>
      <w:bookmarkEnd w:id="25"/>
      <w:r>
        <w:t xml:space="preserve">Material and Methods</w:t>
      </w:r>
    </w:p>
    <w:p>
      <w:pPr>
        <w:pStyle w:val="Heading2"/>
      </w:pPr>
      <w:bookmarkStart w:id="26" w:name="study-system"/>
      <w:bookmarkEnd w:id="26"/>
      <w:r>
        <w:t xml:space="preserve">Study system</w:t>
      </w:r>
    </w:p>
    <w:p>
      <w:pPr>
        <w:pStyle w:val="FigureWithCaption"/>
      </w:pPr>
      <w:r>
        <w:drawing>
          <wp:inline>
            <wp:extent cx="3810000" cy="2540000"/>
            <wp:effectExtent b="0" l="0" r="0" t="0"/>
            <wp:docPr descr="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 (</w:t>
      </w:r>
      <w:r>
        <w:rPr>
          <w:i/>
        </w:rPr>
        <w:t xml:space="preserve">Ceanothus</w:t>
      </w:r>
      <w:r>
        <w:t xml:space="preserve"> </w:t>
      </w:r>
      <w:r>
        <w:t xml:space="preserve">spp.,</w:t>
      </w:r>
      <w:r>
        <w:t xml:space="preserve"> </w:t>
      </w:r>
      <w:r>
        <w:rPr>
          <w:i/>
        </w:rPr>
        <w:t xml:space="preserve">Arctostaphylos</w:t>
      </w:r>
      <w:r>
        <w:t xml:space="preserve"> </w:t>
      </w:r>
      <w:r>
        <w:t xml:space="preserve">spp.)</w:t>
      </w:r>
      <w:r>
        <w:t xml:space="preserve"> </w:t>
      </w:r>
      <w:r>
        <w:t xml:space="preserve">(26)</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28">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(37)</w:t>
      </w:r>
      <w:r>
        <w:t xml:space="preserve">. We considered the Sierra Nevada region to be the area within the Sierra Nevada Foothills, the High Sierra Nevada, and the Tehachapi Mountain Area Jepson ecoregions</w:t>
      </w:r>
      <w:r>
        <w:t xml:space="preserve"> </w:t>
      </w:r>
      <w:r>
        <w:t xml:space="preserve">(54)</w:t>
      </w:r>
      <w:r>
        <w:t xml:space="preserve">. The fire regime for several centuries prior to Euroamerican settlement was dominated by frequent, low- to moderate-severity wildfires, but modern fires tend to burn larger areas per event, with a greater high-severity component</w:t>
      </w:r>
      <w:r>
        <w:t xml:space="preserve"> </w:t>
      </w:r>
      <w:r>
        <w:t xml:space="preserve">(26)</w:t>
      </w:r>
      <w:r>
        <w:t xml:space="preserve">.</w:t>
      </w:r>
    </w:p>
    <w:p>
      <w:pPr>
        <w:pStyle w:val="Heading2"/>
      </w:pPr>
      <w:bookmarkStart w:id="29" w:name="a-new-approach-to-remotely-sensing-wildfire-severity"/>
      <w:bookmarkEnd w:id="29"/>
      <w:r>
        <w:t xml:space="preserve">A new approach to remotely sensing wildfire severity</w:t>
      </w:r>
    </w:p>
    <w:p>
      <w:pPr>
        <w:pStyle w:val="FirstParagraph"/>
      </w:pPr>
      <w:r>
        <w:t xml:space="preserve">We measured forest vegetation characteristics and wildfire severity using imagery from the Landsat series of satellites</w:t>
      </w:r>
      <w:r>
        <w:t xml:space="preserve"> </w:t>
      </w:r>
      <w:r>
        <w:t xml:space="preserve">(36, 55)</w:t>
      </w:r>
      <w:r>
        <w:t xml:space="preserve"> </w:t>
      </w:r>
      <w:r>
        <w:t xml:space="preserve">with radiometric correction post-processing</w:t>
      </w:r>
      <w:r>
        <w:t xml:space="preserve"> </w:t>
      </w:r>
      <w:r>
        <w:t xml:space="preserve">(56–59)</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(52)</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30">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(36, 37, 60, 61)</w:t>
      </w:r>
      <w:r>
        <w:t xml:space="preserve">. Using the FRAP database of fire perimeters, we quantified fire severity within each perimeter of 972 wildfires in the Sierra Nevada yellow pine/mixed-conifer forest that burned between 1984 and 2017. Our approach more than doubles the number of fire events represented from 430 to 972, though only increases the total burned area represented from 7.44e+05 to 7.69e+05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31" w:name="fetching-and-processing-pre--and-postfire-imagery"/>
      <w:bookmarkEnd w:id="31"/>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(62)</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(63)</w:t>
      </w:r>
      <w:r>
        <w:t xml:space="preserve">. Normalized burn ratio (NBR) and normalized burn ratio version 2 (NBR2) respond strongly to fire effects on vegetation</w:t>
      </w:r>
      <w:r>
        <w:t xml:space="preserve"> </w:t>
      </w:r>
      <w:r>
        <w:t xml:space="preserve">(58, 59, 64–66)</w:t>
      </w:r>
      <w:r>
        <w:t xml:space="preserve"> </w:t>
      </w:r>
      <w:r>
        <w:t xml:space="preserve">(Equations in Supplemental Methods).</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(67)</w:t>
      </w:r>
      <w:r>
        <w:t xml:space="preserve">.</w:t>
      </w:r>
    </w:p>
    <w:p>
      <w:pPr>
        <w:pStyle w:val="Heading3"/>
      </w:pPr>
      <w:bookmarkStart w:id="32" w:name="calculating-wildfire-severity"/>
      <w:bookmarkEnd w:id="32"/>
      <w:r>
        <w:t xml:space="preserve">Calculating wildfire severity</w:t>
      </w:r>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(68)</w:t>
      </w:r>
      <w:r>
        <w:t xml:space="preserve">, the delta normalized burn ratio (dNBR)</w:t>
      </w:r>
      <w:r>
        <w:t xml:space="preserve"> </w:t>
      </w:r>
      <w:r>
        <w:t xml:space="preserve">(36, 55)</w:t>
      </w:r>
      <w:r>
        <w:t xml:space="preserve">, the relative delta normalized burn ratio (RdNBR)</w:t>
      </w:r>
      <w:r>
        <w:t xml:space="preserve"> </w:t>
      </w:r>
      <w:r>
        <w:t xml:space="preserve">(36, 61)</w:t>
      </w:r>
      <w:r>
        <w:t xml:space="preserve">, the delta normalized burn ratio 2 (dNBR2)</w:t>
      </w:r>
      <w:r>
        <w:t xml:space="preserve"> </w:t>
      </w:r>
      <w:r>
        <w:t xml:space="preserve">(66)</w:t>
      </w:r>
      <w:r>
        <w:t xml:space="preserve">, the relative delta normalized burn ratio 2 (RdNBR2), and the delta normalized difference vegetation index (dNDVI)</w:t>
      </w:r>
      <w:r>
        <w:t xml:space="preserve"> </w:t>
      </w:r>
      <w:r>
        <w:t xml:space="preserve">(55)</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(36)</w:t>
      </w:r>
      <w:r>
        <w:t xml:space="preserve">). Following</w:t>
      </w:r>
      <w:r>
        <w:t xml:space="preserve"> </w:t>
      </w:r>
      <w:r>
        <w:t xml:space="preserve">(69)</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2.</w:t>
      </w:r>
    </w:p>
    <w:p>
      <w:pPr>
        <w:pStyle w:val="FigureWithCaption"/>
      </w:pPr>
      <w:r>
        <w:drawing>
          <wp:inline>
            <wp:extent cx="3810000" cy="2540000"/>
            <wp:effectExtent b="0" l="0" r="0" t="0"/>
            <wp:docPr descr="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4" w:name="calibrating-remotely-sensed-wildfire-severity-with-field-measured-wildfire-severity"/>
      <w:bookmarkEnd w:id="34"/>
      <w:r>
        <w:t xml:space="preserve">Calibrating remotely-sensed wildfire severity with field-measured wildfire severity</w:t>
      </w:r>
    </w:p>
    <w:p>
      <w:pPr>
        <w:pStyle w:val="FirstParagraph"/>
      </w:pPr>
      <w:r>
        <w:t xml:space="preserve">We calibrated our remotely-sensed measure of wildfire severity with 208 field measures of overstory tree mortality from two previously published studies</w:t>
      </w:r>
      <w:r>
        <w:t xml:space="preserve"> </w:t>
      </w:r>
      <w:r>
        <w:t xml:space="preserve">(70, 71)</w:t>
      </w:r>
      <w:r>
        <w:t xml:space="preserve">. The Composite Burn Index (CBI) is a metric of vegetation mortality across several vertical vegetation strata within a 30m diameter field plot</w:t>
      </w:r>
      <w:r>
        <w:t xml:space="preserve"> </w:t>
      </w:r>
      <w:r>
        <w:t xml:space="preserve">(65)</w:t>
      </w:r>
      <w:r>
        <w:t xml:space="preserve">. The CBI ranges from 0 (no fire impacts) to 3 (very high fire impacts), and has a long history of use as a standard for calibrating remotely-sensed severity data</w:t>
      </w:r>
      <w:r>
        <w:t xml:space="preserve"> </w:t>
      </w:r>
      <w:r>
        <w:t xml:space="preserve">(36, 65, 67, 68, 72–74)</w:t>
      </w:r>
      <w:r>
        <w:t xml:space="preserve">. Following</w:t>
      </w:r>
      <w:r>
        <w:t xml:space="preserve"> </w:t>
      </w:r>
      <w:r>
        <w:t xml:space="preserve">(36)</w:t>
      </w:r>
      <w:r>
        <w:t xml:space="preserve">,</w:t>
      </w:r>
      <w:r>
        <w:t xml:space="preserve"> </w:t>
      </w:r>
      <w:r>
        <w:t xml:space="preserve">(72)</w:t>
      </w:r>
      <w:r>
        <w:t xml:space="preserve">,</w:t>
      </w:r>
      <w:r>
        <w:t xml:space="preserve"> </w:t>
      </w:r>
      <w:r>
        <w:t xml:space="preserve">(68)</w:t>
      </w:r>
      <w:r>
        <w:t xml:space="preserve">, and</w:t>
      </w:r>
      <w:r>
        <w:t xml:space="preserve"> </w:t>
      </w:r>
      <w:r>
        <w:t xml:space="preserve">(67)</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(73)</w:t>
      </w:r>
      <w:r>
        <w:t xml:space="preserve">,</w:t>
      </w:r>
      <w:r>
        <w:t xml:space="preserve"> </w:t>
      </w:r>
      <w:r>
        <w:t xml:space="preserve">(68)</w:t>
      </w:r>
      <w:r>
        <w:t xml:space="preserve">, and</w:t>
      </w:r>
      <w:r>
        <w:t xml:space="preserve"> </w:t>
      </w:r>
      <w:r>
        <w:t xml:space="preserve">(67)</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(75–77)</w:t>
      </w:r>
      <w:r>
        <w:t xml:space="preserve">. To compare goodness of model fits with</w:t>
      </w:r>
      <w:r>
        <w:t xml:space="preserve"> </w:t>
      </w:r>
      <w:r>
        <w:t xml:space="preserve">(36)</w:t>
      </w:r>
      <w:r>
        <w:t xml:space="preserve">,</w:t>
      </w:r>
      <w:r>
        <w:t xml:space="preserve"> </w:t>
      </w:r>
      <w:r>
        <w:t xml:space="preserve">(72)</w:t>
      </w:r>
      <w:r>
        <w:t xml:space="preserve">, and</w:t>
      </w:r>
      <w:r>
        <w:t xml:space="preserve"> </w:t>
      </w:r>
      <w:r>
        <w:t xml:space="preserve">(68)</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35" w:name="remotely-sensing-local-variability-in-forest-structure-at-broad-extents"/>
      <w:bookmarkEnd w:id="35"/>
      <w:r>
        <w:t xml:space="preserve">Remotely sensing local variability in forest structure at broad extents</w:t>
      </w:r>
    </w:p>
    <w:p>
      <w:pPr>
        <w:pStyle w:val="FirstParagraph"/>
      </w:pPr>
      <w:r>
        <w:t xml:space="preserve">We used texture analysis to calculate a remotely-sensed measure of local forest variability</w:t>
      </w:r>
      <w:r>
        <w:t xml:space="preserve"> </w:t>
      </w:r>
      <w:r>
        <w:t xml:space="preserve">(53, 78)</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(63)</w:t>
      </w:r>
      <w:r>
        <w:t xml:space="preserve">, so a higher standard deviation of NDVI within a given local neighborhood corresponds to discontinuous canopy cover and abrupt vegetation edges (see Fig. 3)</w:t>
      </w:r>
      <w:r>
        <w:t xml:space="preserve"> </w:t>
      </w:r>
      <w:r>
        <w:t xml:space="preserve">(79)</w:t>
      </w:r>
      <w:r>
        <w:t xml:space="preserve">. Canopy cover is positively correlated with surface fuel loads including dead and down wood, grasses, and short shrubs</w:t>
      </w:r>
      <w:r>
        <w:t xml:space="preserve"> </w:t>
      </w:r>
      <w:r>
        <w:t xml:space="preserve">(80, 81)</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(82)</w:t>
      </w:r>
      <w:r>
        <w:t xml:space="preserve">.</w:t>
      </w:r>
    </w:p>
    <w:p>
      <w:pPr>
        <w:pStyle w:val="FigureWithCaption"/>
      </w:pPr>
      <w:r>
        <w:drawing>
          <wp:inline>
            <wp:extent cx="5334000" cy="2667000"/>
            <wp:effectExtent b="0" l="0" r="0" t="0"/>
            <wp:docPr descr="Fig. 3. Example of homogenous forest (top row) and heterogenous forest (bottom row) with the same mean NDVI values (~0.6). Each column represents forest structural variability measured using a different neighborhood size."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3. Example of homogenous forest (top row) and heterogenous forest (bottom row) with the same mean NDVI values (~0.6). Each column represents forest structural variability measured using a different neighborhood size.</w:t>
      </w:r>
    </w:p>
    <w:p>
      <w:pPr>
        <w:pStyle w:val="Heading2"/>
      </w:pPr>
      <w:bookmarkStart w:id="37" w:name="remote-sensing-other-conditions"/>
      <w:bookmarkEnd w:id="37"/>
      <w:r>
        <w:t xml:space="preserve">Remote sensing other conditions</w:t>
      </w:r>
    </w:p>
    <w:p>
      <w:pPr>
        <w:pStyle w:val="Heading3"/>
      </w:pPr>
      <w:bookmarkStart w:id="38" w:name="topographic-conditions"/>
      <w:bookmarkEnd w:id="38"/>
      <w:r>
        <w:t xml:space="preserve">Topographic conditions</w:t>
      </w:r>
    </w:p>
    <w:p>
      <w:pPr>
        <w:pStyle w:val="FirstParagraph"/>
      </w:pPr>
      <w:r>
        <w:t xml:space="preserve">Elevation data were sourced from the Shuttle Radar Topography Mission</w:t>
      </w:r>
      <w:r>
        <w:t xml:space="preserve"> </w:t>
      </w:r>
      <w:r>
        <w:t xml:space="preserve">(83)</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(84)</w:t>
      </w:r>
      <w:r>
        <w:t xml:space="preserve"> </w:t>
      </w:r>
      <w:r>
        <w:t xml:space="preserve">with correction in</w:t>
      </w:r>
      <w:r>
        <w:t xml:space="preserve"> </w:t>
      </w:r>
      <w:r>
        <w:t xml:space="preserve">(85)</w:t>
      </w:r>
      <w:r>
        <w:t xml:space="preserve">; See Supplemental Methods for equations)</w:t>
      </w:r>
    </w:p>
    <w:p>
      <w:pPr>
        <w:pStyle w:val="Heading3"/>
      </w:pPr>
      <w:bookmarkStart w:id="39" w:name="moisture-conditions"/>
      <w:bookmarkEnd w:id="39"/>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(86)</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2"/>
      </w:pPr>
      <w:bookmarkStart w:id="40" w:name="remote-samples"/>
      <w:bookmarkEnd w:id="40"/>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41" w:name="modeling-the-effect-of-forest-variability-on-severity"/>
      <w:bookmarkEnd w:id="41"/>
      <w:r>
        <w:t xml:space="preserve">Modeling the effect of forest variability on severity</w:t>
      </w:r>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differences between these variables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2" w:name="assessing-the-scale-of-effect-of-forest-variability"/>
      <w:bookmarkEnd w:id="42"/>
      <w:r>
        <w:t xml:space="preserve">Assessing the</w:t>
      </w:r>
      <w:r>
        <w:t xml:space="preserve"> </w:t>
      </w:r>
      <w:r>
        <w:t xml:space="preserve">“</w:t>
      </w:r>
      <w:r>
        <w:t xml:space="preserve">scale of effect</w:t>
      </w:r>
      <w:r>
        <w:t xml:space="preserve">”</w:t>
      </w:r>
      <w:r>
        <w:t xml:space="preserve"> </w:t>
      </w:r>
      <w:r>
        <w:t xml:space="preserve">of forest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(87)</w:t>
      </w:r>
      <w:r>
        <w:t xml:space="preserve">. We inferred that the neighborhood size window used in the best-performing model reflected the scale at which the forest structure variability effect had the most support.</w:t>
      </w:r>
    </w:p>
    <w:p>
      <w:pPr>
        <w:pStyle w:val="Heading2"/>
      </w:pPr>
      <w:bookmarkStart w:id="43" w:name="statistical-software"/>
      <w:bookmarkEnd w:id="43"/>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(77)</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(88, 89)</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(89)</w:t>
      </w:r>
      <w:r>
        <w:t xml:space="preserve">.</w:t>
      </w:r>
    </w:p>
    <w:p>
      <w:pPr>
        <w:pStyle w:val="Heading2"/>
      </w:pPr>
      <w:bookmarkStart w:id="44" w:name="data-availability"/>
      <w:bookmarkEnd w:id="44"/>
      <w:r>
        <w:t xml:space="preserve">Data availability</w:t>
      </w:r>
    </w:p>
    <w:p>
      <w:pPr>
        <w:pStyle w:val="FirstParagraph"/>
      </w:pPr>
      <w:r>
        <w:t xml:space="preserve">All data and analysis code are available via the Open Science Framework (DOI: 10.17605/OSF.IO/27NSR)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5" w:name="results"/>
      <w:bookmarkEnd w:id="45"/>
      <w:r>
        <w:t xml:space="preserve">Results</w:t>
      </w:r>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4; Supp. Table 1). Our method to calculate remotely sensed severity using automated Landsat image fetching performs as well or better than most other reported methods that use hand-curation of Landsat imagery (see review in</w:t>
      </w:r>
      <w:r>
        <w:t xml:space="preserve"> </w:t>
      </w:r>
      <w:r>
        <w:t xml:space="preserve">(90)</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4). The top three configurations of our remotely sensed severity metric are depicted in Fig. 4.</w:t>
      </w:r>
    </w:p>
    <w:p>
      <w:pPr>
        <w:pStyle w:val="FigureWithCaption"/>
      </w:pPr>
      <w:r>
        <w:drawing>
          <wp:inline>
            <wp:extent cx="3810000" cy="2540000"/>
            <wp:effectExtent b="0" l="0" r="0" t="0"/>
            <wp:docPr descr="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4).</w:t>
      </w:r>
    </w:p>
    <w:p>
      <w:pPr>
        <w:pStyle w:val="Heading2"/>
      </w:pPr>
      <w:bookmarkStart w:id="47" w:name="neighborhood-size-effect"/>
      <w:bookmarkEnd w:id="47"/>
      <w:r>
        <w:t xml:space="preserve">Neighborhood size effect</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(87)</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(91)</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87). \DeltaLOO is the difference between a model’s LOO and the lowest LOO in a set of models (i.e., the model with the best predictive accuracy). The Bayesian R^2 is a data-based estimate of the proportion of variance explained for new data (91).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8" w:name="effects-of-prefire-vegetation-density-100-hour-fuel-moisture-potential-annual-heat-load-and-topographic-roughness-on-wildfire-severity"/>
      <w:bookmarkEnd w:id="48"/>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5).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5).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5).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50" w:name="effect-of-variability-of-vegetation-structure-on-wildfire-severity"/>
      <w:bookmarkEnd w:id="50"/>
      <w:r>
        <w:t xml:space="preserve">Effect of variability of vegetation structure on wildfire severity</w:t>
      </w:r>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5).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1" w:name="discussion"/>
      <w:bookmarkEnd w:id="51"/>
      <w:r>
        <w:t xml:space="preserve">Discussion</w:t>
      </w:r>
    </w:p>
    <w:p>
      <w:pPr>
        <w:pStyle w:val="FirstParagraph"/>
      </w:pPr>
      <w:r>
        <w:t xml:space="preserve">Broad-extent, fine-grain, spatially-explicit analyses of whole ecosystems are key to illuminating macroecological phenomena such as forest resilience</w:t>
      </w:r>
      <w:r>
        <w:t xml:space="preserve"> </w:t>
      </w:r>
      <w:r>
        <w:t xml:space="preserve">(92)</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(93)</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2" w:name="high-severity-wildfire-in-the-context-of-ecological-resilience"/>
      <w:bookmarkEnd w:id="52"/>
      <w:r>
        <w:t xml:space="preserve">High-severity wildfire in the context of ecological resilience</w:t>
      </w:r>
    </w:p>
    <w:p>
      <w:pPr>
        <w:pStyle w:val="FirstParagraph"/>
      </w:pPr>
      <w:r>
        <w:t xml:space="preserve">Wildfire severity can be considered a direct correlate of a forest’s resistance– the ease or difficulty with which a disturbance changes the system state</w:t>
      </w:r>
      <w:r>
        <w:t xml:space="preserve"> </w:t>
      </w:r>
      <w:r>
        <w:t xml:space="preserve">(8, 94)</w:t>
      </w:r>
      <w:r>
        <w:t xml:space="preserve">. The same fire behavior in two different forest systems (e.g., old-growth conifer versus young conifer plantation) may have very different abilities to change the forest’s state</w:t>
      </w:r>
      <w:r>
        <w:t xml:space="preserve"> </w:t>
      </w:r>
      <w:r>
        <w:t xml:space="preserve">(23)</w:t>
      </w:r>
      <w:r>
        <w:t xml:space="preserve">. A relevant state change for assessing ecosystem resistance is the loss of its characteristic native biota</w:t>
      </w:r>
      <w:r>
        <w:t xml:space="preserve"> </w:t>
      </w:r>
      <w:r>
        <w:t xml:space="preserve">(95)</w:t>
      </w:r>
      <w:r>
        <w:t xml:space="preserve">, which could be represented as overstory trees in a forested system. Resistance is a key component of resilience</w:t>
      </w:r>
      <w:r>
        <w:t xml:space="preserve"> </w:t>
      </w:r>
      <w:r>
        <w:t xml:space="preserve">(8, 94)</w:t>
      </w:r>
      <w:r>
        <w:t xml:space="preserve"> </w:t>
      </w:r>
      <w:r>
        <w:t xml:space="preserve">and, in this framework, one path to forest resilience is via high resistance to wildfire, whereby some mechanism causes the forest to generally experience lower severity when a fire occurs. Here, we show clear evidence that structural heterogeneity fulfills this mechanistic resistance role in dry coniferous systems (Fig. 5). This does not imply that resistance to fire is the only (or even necessary) path to resilience. For instance, high-severity fire is characteristic of other forest systems such as lodgepole pine forests in Yellowstone National Park, and is not expected to hamper forest regeneration</w:t>
      </w:r>
      <w:r>
        <w:t xml:space="preserve"> </w:t>
      </w:r>
      <w:r>
        <w:t xml:space="preserve">(96)</w:t>
      </w:r>
      <w:r>
        <w:t xml:space="preserve">. Our inference that structural variability is a fundamental resilience mechanism in dry coniferous forests is strengthened by our ability to measure the negative feedback phenomenon at relevant spatiotemporal scales: we captured local-scale variability in structure and wildfire severity at broad spatial extents for an extensive set of nearly 1,000 fires across a 33-year time span.</w:t>
      </w:r>
    </w:p>
    <w:p>
      <w:pPr>
        <w:pStyle w:val="Heading2"/>
      </w:pPr>
      <w:bookmarkStart w:id="53" w:name="factors-influencing-the-probability-of-high-severity-wildfire"/>
      <w:bookmarkEnd w:id="53"/>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(63)</w:t>
      </w:r>
      <w:r>
        <w:t xml:space="preserve"> </w:t>
      </w:r>
      <w:r>
        <w:t xml:space="preserve">which translate directly to live fuel loads in the forest canopy and can increase high severity fire</w:t>
      </w:r>
      <w:r>
        <w:t xml:space="preserve"> </w:t>
      </w:r>
      <w:r>
        <w:t xml:space="preserve">(67)</w:t>
      </w:r>
      <w:r>
        <w:t xml:space="preserve">. Critically, overstory canopy cover and density also correlate with surface fuel loads</w:t>
      </w:r>
      <w:r>
        <w:t xml:space="preserve"> </w:t>
      </w:r>
      <w:r>
        <w:t xml:space="preserve">(80, 81)</w:t>
      </w:r>
      <w:r>
        <w:t xml:space="preserve">, which play a larger role in driving high severity fire compared to canopy fuel loads in these forests</w:t>
      </w:r>
      <w:r>
        <w:t xml:space="preserve"> </w:t>
      </w:r>
      <w:r>
        <w:t xml:space="preserve">(82)</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(67)</w:t>
      </w:r>
      <w:r>
        <w:t xml:space="preserve">. Some work has shown that terrain ruggedness</w:t>
      </w:r>
      <w:r>
        <w:t xml:space="preserve"> </w:t>
      </w:r>
      <w:r>
        <w:t xml:space="preserve">(97)</w:t>
      </w:r>
      <w:r>
        <w:t xml:space="preserve">, and particularly coarser-scale terrain ruggedness</w:t>
      </w:r>
      <w:r>
        <w:t xml:space="preserve"> </w:t>
      </w:r>
      <w:r>
        <w:t xml:space="preserve">(98)</w:t>
      </w:r>
      <w:r>
        <w:t xml:space="preserve">, is an important predictor of wildfire severity, but we found no effect using our measure of terrain ruggedness.</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(41, 43, 99, 100)</w:t>
      </w:r>
      <w:r>
        <w:t xml:space="preserve">.</w:t>
      </w:r>
    </w:p>
    <w:p>
      <w:pPr>
        <w:pStyle w:val="Heading2"/>
      </w:pPr>
      <w:bookmarkStart w:id="54" w:name="feedback-between-forest-structural-variability-and-wildfire-severity"/>
      <w:bookmarkEnd w:id="54"/>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mixed-severity wildfire generates variable forest structure</w:t>
      </w:r>
      <w:r>
        <w:t xml:space="preserve"> </w:t>
      </w:r>
      <w:r>
        <w:t xml:space="preserve">(39, 101, 102)</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(24, 37)</w:t>
      </w:r>
      <w:r>
        <w:t xml:space="preserve">. The proportion and spatial configuration of fire severity in fire-prone forests are key determinants of their long-term persistence</w:t>
      </w:r>
      <w:r>
        <w:t xml:space="preserve"> </w:t>
      </w:r>
      <w:r>
        <w:t xml:space="preserve">(24, 37)</w:t>
      </w:r>
      <w:r>
        <w:t xml:space="preserve">. Lower-severity fire or scattered patches of higher-severity fire reduce the risk of conversion to a non-forest vegetation type</w:t>
      </w:r>
      <w:r>
        <w:t xml:space="preserve"> </w:t>
      </w:r>
      <w:r>
        <w:t xml:space="preserve">(24, 103)</w:t>
      </w:r>
      <w:r>
        <w:t xml:space="preserve">, while prospects for forest regeneration are bleak when high-severity patch sizes are much larger than the natural range of variation for the system</w:t>
      </w:r>
      <w:r>
        <w:t xml:space="preserve"> </w:t>
      </w:r>
      <w:r>
        <w:t xml:space="preserve">(3, 24, 26, 30, 44, 104, 105)</w:t>
      </w:r>
      <w:r>
        <w:t xml:space="preserve">. Thus, the forest-structure-mediated feedback between past and future fire severity underlies the resilience of the Sierra Nevada yellow pine/mixed-conifer system.</w:t>
      </w:r>
    </w:p>
    <w:p>
      <w:pPr>
        <w:pStyle w:val="Heading2"/>
      </w:pPr>
      <w:bookmarkStart w:id="55" w:name="neighborhood-size"/>
      <w:bookmarkEnd w:id="55"/>
      <w:r>
        <w:t xml:space="preserve">Neighborhood size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(106)</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(44)</w:t>
      </w:r>
      <w:r>
        <w:t xml:space="preserve">. This may reflect that severity patterns for a whole fire are an emergent property of very local interactions between forest structure and fire behavior. Some work suggests that the scale of these interactions may depend on even broader-scale effects of fire weather, with small-scale variability failing to influence fire behavior under extreme conditions</w:t>
      </w:r>
      <w:r>
        <w:t xml:space="preserve"> </w:t>
      </w:r>
      <w:r>
        <w:t xml:space="preserve">(11, 107)</w:t>
      </w:r>
      <w:r>
        <w:t xml:space="preserve">, though we did not detect such an interaction.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(43)</w:t>
      </w:r>
      <w:r>
        <w:t xml:space="preserve">.</w:t>
      </w:r>
    </w:p>
    <w:p>
      <w:pPr>
        <w:pStyle w:val="Heading2"/>
      </w:pPr>
      <w:bookmarkStart w:id="56" w:name="correlation-between-covariates-and-interactions"/>
      <w:bookmarkEnd w:id="56"/>
      <w:r>
        <w:t xml:space="preserve">Correlation between covariates and interactions</w:t>
      </w:r>
    </w:p>
    <w:p>
      <w:pPr>
        <w:pStyle w:val="FirstParagraph"/>
      </w:pPr>
      <w:r>
        <w:t xml:space="preserve">Unexpectedly, we found a strong interaction between the prefire NDVI at a pixel and its neighborhood mean NDVI.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real-world effect of vegetation density:</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57" w:name="a-new-approach-to-remotely-sensing-wildfire-severity-1"/>
      <w:bookmarkEnd w:id="57"/>
      <w:r>
        <w:t xml:space="preserve">A new approach to remotely sensing wildfire severity</w:t>
      </w:r>
    </w:p>
    <w:p>
      <w:pPr>
        <w:pStyle w:val="FirstParagraph"/>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(52)</w:t>
      </w:r>
      <w:r>
        <w:t xml:space="preserve">. Our programmatic assessment of wildfire severity across the 972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(36, 68, 72–74, 90, 108–110)</w:t>
      </w:r>
      <w:r>
        <w:t xml:space="preserve">. Recently,</w:t>
      </w:r>
      <w:r>
        <w:t xml:space="preserve"> </w:t>
      </w:r>
      <w:r>
        <w:t xml:space="preserve">(67)</w:t>
      </w:r>
      <w:r>
        <w:t xml:space="preserve"> </w:t>
      </w:r>
      <w:r>
        <w:t xml:space="preserve">found that using a composite of several prefire images and several postfire images to detect fire impacts performed at least as well as using a single pre- and postfire image. Using composite images also facilitated automated image fetching.</w:t>
      </w:r>
      <w:r>
        <w:t xml:space="preserve"> </w:t>
      </w:r>
      <w:r>
        <w:t xml:space="preserve">(67)</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(67)</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detect fire effects on vegetation with remotely-sensed imagery in an attempt to better correspond to field data</w:t>
      </w:r>
      <w:r>
        <w:t xml:space="preserve"> </w:t>
      </w:r>
      <w:r>
        <w:t xml:space="preserve">(36, 65, 68)</w:t>
      </w:r>
      <w:r>
        <w:t xml:space="preserve">. We found that several other remotely sensed measures of severity, including one based on NDVI that is rarely deployed, validated nearly as well with ground-based data as the best configuration (RBR calculated using a 48-day time window). We echo the conclusion of</w:t>
      </w:r>
      <w:r>
        <w:t xml:space="preserve"> </w:t>
      </w:r>
      <w:r>
        <w:t xml:space="preserve">(70)</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measure wildfire severity at very high spatial resolutions.</w:t>
      </w:r>
    </w:p>
    <w:p>
      <w:pPr>
        <w:pStyle w:val="Heading2"/>
      </w:pPr>
      <w:bookmarkStart w:id="58" w:name="conclusions"/>
      <w:bookmarkEnd w:id="58"/>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59" w:name="acknowledgements"/>
      <w:bookmarkEnd w:id="59"/>
      <w:r>
        <w:t xml:space="preserve">Acknowledgements</w:t>
      </w:r>
    </w:p>
    <w:p>
      <w:pPr>
        <w:pStyle w:val="FirstParagraph"/>
      </w:pPr>
      <w:r>
        <w:t xml:space="preserve">We thank Connie Millar, Derek Young, and Meagan Oldfather for valuable comments about this work and we also thank the community of Google Earth Engine developers for prompt and helpful insights about the platform. Funding was provided by NSF Graduate Research Fellowship Grant #DGE- 1321845 Amend. 3 (to MJK).</w:t>
      </w:r>
    </w:p>
    <w:p>
      <w:pPr>
        <w:pStyle w:val="Heading1"/>
      </w:pPr>
      <w:bookmarkStart w:id="60" w:name="references"/>
      <w:bookmarkEnd w:id="60"/>
      <w:r>
        <w:t xml:space="preserve">References</w:t>
      </w:r>
    </w:p>
    <w:p>
      <w:pPr>
        <w:pStyle w:val="Bibliography"/>
      </w:pPr>
      <w:r>
        <w:t xml:space="preserve">1.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 Crowther TW, et al. (2015) Mapping tree density at a global scale.</w:t>
      </w:r>
      <w:r>
        <w:t xml:space="preserve"> </w:t>
      </w:r>
      <w:r>
        <w:rPr>
          <w:i/>
        </w:rPr>
        <w:t xml:space="preserve">Nature</w:t>
      </w:r>
      <w:r>
        <w:t xml:space="preserve"> </w:t>
      </w:r>
      <w:r>
        <w:t xml:space="preserve">525(7568):201–205.</w:t>
      </w:r>
    </w:p>
    <w:p>
      <w:pPr>
        <w:pStyle w:val="Bibliography"/>
      </w:pPr>
      <w:r>
        <w:t xml:space="preserve">3.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4.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5. Seidl R, Spies TA, Peterson DL, Stephens SL, Hicke JA (2016) Searching for resilience: Addressing the impacts of changing disturbance regimes on forest ecosystem services.</w:t>
      </w:r>
      <w:r>
        <w:t xml:space="preserve"> </w:t>
      </w:r>
      <w:r>
        <w:rPr>
          <w:i/>
        </w:rPr>
        <w:t xml:space="preserve">J Appl Ecol</w:t>
      </w:r>
      <w:r>
        <w:t xml:space="preserve"> </w:t>
      </w:r>
      <w:r>
        <w:t xml:space="preserve">53(1):120–129.</w:t>
      </w:r>
    </w:p>
    <w:p>
      <w:pPr>
        <w:pStyle w:val="Bibliography"/>
      </w:pPr>
      <w:r>
        <w:t xml:space="preserve">6. Schoennagel T, et al. (2017) Adapt to more wildfire in western North American forests as climate changes.</w:t>
      </w:r>
      <w:r>
        <w:t xml:space="preserve"> </w:t>
      </w:r>
      <w:r>
        <w:rPr>
          <w:i/>
        </w:rPr>
        <w:t xml:space="preserve">Proceedings of the National Academy of Sciences</w:t>
      </w:r>
      <w:r>
        <w:t xml:space="preserve"> </w:t>
      </w:r>
      <w:r>
        <w:t xml:space="preserve">114(18):4582–4590.</w:t>
      </w:r>
    </w:p>
    <w:p>
      <w:pPr>
        <w:pStyle w:val="Bibliography"/>
      </w:pPr>
      <w:r>
        <w:t xml:space="preserve">7. Holling CS (1973) Resilience and Stability of Ecological Systems.</w:t>
      </w:r>
      <w:r>
        <w:t xml:space="preserve"> </w:t>
      </w:r>
      <w:r>
        <w:rPr>
          <w:i/>
        </w:rPr>
        <w:t xml:space="preserve">Annual Review of Ecology and Systematics</w:t>
      </w:r>
      <w:r>
        <w:t xml:space="preserve">:1–23.</w:t>
      </w:r>
    </w:p>
    <w:p>
      <w:pPr>
        <w:pStyle w:val="Bibliography"/>
      </w:pPr>
      <w:r>
        <w:t xml:space="preserve">8.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61">
        <w:r>
          <w:rPr>
            <w:rStyle w:val="Hyperlink"/>
          </w:rPr>
          <w:t xml:space="preserve">10.5751/ES-00650-090205</w:t>
        </w:r>
      </w:hyperlink>
      <w:r>
        <w:t xml:space="preserve">.</w:t>
      </w:r>
    </w:p>
    <w:p>
      <w:pPr>
        <w:pStyle w:val="Bibliography"/>
      </w:pPr>
      <w:r>
        <w:t xml:space="preserve">9. Scheffer M (2009)</w:t>
      </w:r>
      <w:r>
        <w:t xml:space="preserve"> </w:t>
      </w:r>
      <w:r>
        <w:rPr>
          <w:i/>
        </w:rPr>
        <w:t xml:space="preserve">Critical Transitions in Nature and Society</w:t>
      </w:r>
      <w:r>
        <w:t xml:space="preserve"> </w:t>
      </w:r>
      <w:r>
        <w:t xml:space="preserve">(Princeton University Press).</w:t>
      </w:r>
    </w:p>
    <w:p>
      <w:pPr>
        <w:pStyle w:val="Bibliography"/>
      </w:pPr>
      <w:r>
        <w:t xml:space="preserve">10. Reyer CPO, et al. (2015) Forest resilience and tipping points at different spatio-temporal scales: Approaches and challenges.</w:t>
      </w:r>
      <w:r>
        <w:t xml:space="preserve"> </w:t>
      </w:r>
      <w:r>
        <w:rPr>
          <w:i/>
        </w:rPr>
        <w:t xml:space="preserve">Journal of Ecology</w:t>
      </w:r>
      <w:r>
        <w:t xml:space="preserve"> </w:t>
      </w:r>
      <w:r>
        <w:t xml:space="preserve">103(1):5–15.</w:t>
      </w:r>
    </w:p>
    <w:p>
      <w:pPr>
        <w:pStyle w:val="Bibliography"/>
      </w:pPr>
      <w:r>
        <w:t xml:space="preserve">11.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12.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13.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14.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15.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16.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17.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18.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19.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20.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21.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22. Reyer CP, Rammig A, Brouwers N, Langerwisch F (2015) Forest resilience, tipping points and global change processes.</w:t>
      </w:r>
      <w:r>
        <w:t xml:space="preserve"> </w:t>
      </w:r>
      <w:r>
        <w:rPr>
          <w:i/>
        </w:rPr>
        <w:t xml:space="preserve">Journal of Ecology</w:t>
      </w:r>
      <w:r>
        <w:t xml:space="preserve"> </w:t>
      </w:r>
      <w:r>
        <w:t xml:space="preserve">103(1):1–4.</w:t>
      </w:r>
    </w:p>
    <w:p>
      <w:pPr>
        <w:pStyle w:val="Bibliography"/>
      </w:pPr>
      <w:r>
        <w:t xml:space="preserve">23.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24.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25. Davis KT, et al. (2019) Wildfires and climate change push low-elevation forests across a critical climate threshold for tree regeneration.</w:t>
      </w:r>
      <w:r>
        <w:t xml:space="preserve"> </w:t>
      </w:r>
      <w:r>
        <w:rPr>
          <w:i/>
        </w:rPr>
        <w:t xml:space="preserve">PNAS</w:t>
      </w:r>
      <w:r>
        <w:t xml:space="preserve">:201815107.</w:t>
      </w:r>
    </w:p>
    <w:p>
      <w:pPr>
        <w:pStyle w:val="Bibliography"/>
      </w:pPr>
      <w:r>
        <w:t xml:space="preserve">26.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27. Welch KR, Safford HD, Young TP (2016) Predicting conifer establishment post wildfire in mixed conifer forests of the North American Mediterranean-climate zone.</w:t>
      </w:r>
      <w:r>
        <w:t xml:space="preserve"> </w:t>
      </w:r>
      <w:r>
        <w:rPr>
          <w:i/>
        </w:rPr>
        <w:t xml:space="preserve">Ecosphere</w:t>
      </w:r>
      <w:r>
        <w:t xml:space="preserve"> </w:t>
      </w:r>
      <w:r>
        <w:t xml:space="preserve">7(12):e01609.</w:t>
      </w:r>
    </w:p>
    <w:p>
      <w:pPr>
        <w:pStyle w:val="Bibliography"/>
      </w:pPr>
      <w:r>
        <w:t xml:space="preserve">28. Young DJN, et al. (2019) Post-fire forest regeneration shows limited climate tracking and potential for drought-induced type conversion.</w:t>
      </w:r>
      <w:r>
        <w:t xml:space="preserve"> </w:t>
      </w:r>
      <w:r>
        <w:rPr>
          <w:i/>
        </w:rPr>
        <w:t xml:space="preserve">Ecology</w:t>
      </w:r>
      <w:r>
        <w:t xml:space="preserve"> </w:t>
      </w:r>
      <w:r>
        <w:t xml:space="preserve">100(2):e02571.</w:t>
      </w:r>
    </w:p>
    <w:p>
      <w:pPr>
        <w:pStyle w:val="Bibliography"/>
      </w:pPr>
      <w:r>
        <w:t xml:space="preserve">29. Collins BM, Roller GB (2013) Early forest dynamics in stand-replacing fire patches in the northern Sierra Nevada, California, USA.</w:t>
      </w:r>
      <w:r>
        <w:t xml:space="preserve"> </w:t>
      </w:r>
      <w:r>
        <w:rPr>
          <w:i/>
        </w:rPr>
        <w:t xml:space="preserve">Landscape Ecology</w:t>
      </w:r>
      <w:r>
        <w:t xml:space="preserve"> </w:t>
      </w:r>
      <w:r>
        <w:t xml:space="preserve">28(9):1801–1813.</w:t>
      </w:r>
    </w:p>
    <w:p>
      <w:pPr>
        <w:pStyle w:val="Bibliography"/>
      </w:pPr>
      <w:r>
        <w:t xml:space="preserve">30.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31.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32.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33. Fried JS, Torn MS, Mills E (2004) The Impact of Climate Change on Wildfire Severity: A Regional Forecast for Northern California.</w:t>
      </w:r>
      <w:r>
        <w:t xml:space="preserve"> </w:t>
      </w:r>
      <w:r>
        <w:rPr>
          <w:i/>
        </w:rPr>
        <w:t xml:space="preserve">Climatic Change</w:t>
      </w:r>
      <w:r>
        <w:t xml:space="preserve"> </w:t>
      </w:r>
      <w:r>
        <w:t xml:space="preserve">64(1/2):169–191.</w:t>
      </w:r>
    </w:p>
    <w:p>
      <w:pPr>
        <w:pStyle w:val="Bibliography"/>
      </w:pPr>
      <w:r>
        <w:t xml:space="preserve">34. Abatzoglou JT, Williams AP (2016) Impact of anthropogenic climate change on wildfire across western US forests.</w:t>
      </w:r>
      <w:r>
        <w:t xml:space="preserve"> </w:t>
      </w:r>
      <w:r>
        <w:rPr>
          <w:i/>
        </w:rPr>
        <w:t xml:space="preserve">Proceedings of the National Academy of Sciences</w:t>
      </w:r>
      <w:r>
        <w:t xml:space="preserve"> </w:t>
      </w:r>
      <w:r>
        <w:t xml:space="preserve">113(42):11770–11775.</w:t>
      </w:r>
    </w:p>
    <w:p>
      <w:pPr>
        <w:pStyle w:val="Bibliography"/>
      </w:pPr>
      <w:r>
        <w:t xml:space="preserve">35. Stevens-Rumann CS, et al. (2018) Evidence for declining forest resilience to wildfires under climate change.</w:t>
      </w:r>
      <w:r>
        <w:t xml:space="preserve"> </w:t>
      </w:r>
      <w:r>
        <w:rPr>
          <w:i/>
        </w:rPr>
        <w:t xml:space="preserve">Ecology Letters</w:t>
      </w:r>
      <w:r>
        <w:t xml:space="preserve"> </w:t>
      </w:r>
      <w:r>
        <w:t xml:space="preserve">21(2):243–252.</w:t>
      </w:r>
    </w:p>
    <w:p>
      <w:pPr>
        <w:pStyle w:val="Bibliography"/>
      </w:pPr>
      <w:r>
        <w:t xml:space="preserve">36.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37.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38.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2">
        <w:r>
          <w:rPr>
            <w:rStyle w:val="Hyperlink"/>
          </w:rPr>
          <w:t xml:space="preserve">10.5751/ES-02380-130210</w:t>
        </w:r>
      </w:hyperlink>
      <w:r>
        <w:t xml:space="preserve">.</w:t>
      </w:r>
    </w:p>
    <w:p>
      <w:pPr>
        <w:pStyle w:val="Bibliography"/>
      </w:pPr>
      <w:r>
        <w:t xml:space="preserve">39.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3">
        <w:r>
          <w:rPr>
            <w:rStyle w:val="Hyperlink"/>
          </w:rPr>
          <w:t xml:space="preserve">10.2737/PSW-GTR-220</w:t>
        </w:r>
      </w:hyperlink>
      <w:r>
        <w:t xml:space="preserve">.</w:t>
      </w:r>
    </w:p>
    <w:p>
      <w:pPr>
        <w:pStyle w:val="Bibliography"/>
      </w:pPr>
      <w:r>
        <w:t xml:space="preserve">40.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41. Agee JK (1996) The influence of forest structure on fire behavior.</w:t>
      </w:r>
      <w:r>
        <w:t xml:space="preserve"> </w:t>
      </w:r>
      <w:r>
        <w:rPr>
          <w:i/>
        </w:rPr>
        <w:t xml:space="preserve">17th Forest Vegetation Management Conference</w:t>
      </w:r>
      <w:r>
        <w:t xml:space="preserve">:17.</w:t>
      </w:r>
    </w:p>
    <w:p>
      <w:pPr>
        <w:pStyle w:val="Bibliography"/>
      </w:pPr>
      <w:r>
        <w:t xml:space="preserve">42. Scott JH, Reinhardt ED (2001)</w:t>
      </w:r>
      <w:r>
        <w:t xml:space="preserve"> </w:t>
      </w:r>
      <w:r>
        <w:rPr>
          <w:i/>
        </w:rPr>
        <w:t xml:space="preserve">Assessing crown fire potential by linking models of surface and crown fire behavior</w:t>
      </w:r>
      <w:r>
        <w:t xml:space="preserve"> </w:t>
      </w:r>
      <w:r>
        <w:t xml:space="preserve">(U.S. Department of Agriculture, Forest Service, Rocky Mountain Research Station, Ft. Collins, CO) doi:</w:t>
      </w:r>
      <w:hyperlink r:id="rId64">
        <w:r>
          <w:rPr>
            <w:rStyle w:val="Hyperlink"/>
          </w:rPr>
          <w:t xml:space="preserve">10.2737/RMRS-RP-29</w:t>
        </w:r>
      </w:hyperlink>
      <w:r>
        <w:t xml:space="preserve">.</w:t>
      </w:r>
    </w:p>
    <w:p>
      <w:pPr>
        <w:pStyle w:val="Bibliography"/>
      </w:pPr>
      <w:r>
        <w:t xml:space="preserve">43.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5">
        <w:r>
          <w:rPr>
            <w:rStyle w:val="Hyperlink"/>
          </w:rPr>
          <w:t xml:space="preserve">10.2737/RMRS-GTR-120</w:t>
        </w:r>
      </w:hyperlink>
      <w:r>
        <w:t xml:space="preserve">.</w:t>
      </w:r>
    </w:p>
    <w:p>
      <w:pPr>
        <w:pStyle w:val="Bibliography"/>
      </w:pPr>
      <w:r>
        <w:t xml:space="preserve">44.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45. Fox JM, Whitesides GM (2015) Warning signals for eruptive events in spreading fires.</w:t>
      </w:r>
      <w:r>
        <w:t xml:space="preserve"> </w:t>
      </w:r>
      <w:r>
        <w:rPr>
          <w:i/>
        </w:rPr>
        <w:t xml:space="preserve">Proceedings of the National Academy of Sciences</w:t>
      </w:r>
      <w:r>
        <w:t xml:space="preserve"> </w:t>
      </w:r>
      <w:r>
        <w:t xml:space="preserve">112(8):2378–2383.</w:t>
      </w:r>
    </w:p>
    <w:p>
      <w:pPr>
        <w:pStyle w:val="Bibliography"/>
      </w:pPr>
      <w:r>
        <w:t xml:space="preserve">46.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6">
        <w:r>
          <w:rPr>
            <w:rStyle w:val="Hyperlink"/>
          </w:rPr>
          <w:t xml:space="preserve">https://nau.pure.elsevier.com/en/publications/fire-in-californias-ecosystems</w:t>
        </w:r>
      </w:hyperlink>
      <w:r>
        <w:t xml:space="preserve"> </w:t>
      </w:r>
      <w:r>
        <w:t xml:space="preserve">[Accessed April 23, 2019].</w:t>
      </w:r>
    </w:p>
    <w:p>
      <w:pPr>
        <w:pStyle w:val="Bibliography"/>
      </w:pPr>
      <w:r>
        <w:t xml:space="preserve">47.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48.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49.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50.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51. Turner MG, Donato DC, Romme WH (2013) Consequences of spatial heterogeneity for ecosystem services in changing forest landscapes: Priorities for future research.</w:t>
      </w:r>
      <w:r>
        <w:t xml:space="preserve"> </w:t>
      </w:r>
      <w:r>
        <w:rPr>
          <w:i/>
        </w:rPr>
        <w:t xml:space="preserve">Landscape Ecology</w:t>
      </w:r>
      <w:r>
        <w:t xml:space="preserve"> </w:t>
      </w:r>
      <w:r>
        <w:t xml:space="preserve">28(6):1081–1097.</w:t>
      </w:r>
    </w:p>
    <w:p>
      <w:pPr>
        <w:pStyle w:val="Bibliography"/>
      </w:pPr>
      <w:r>
        <w:t xml:space="preserve">52.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53.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54. JepsonFloraProject ed. (2016)</w:t>
      </w:r>
      <w:r>
        <w:t xml:space="preserve"> </w:t>
      </w:r>
      <w:r>
        <w:rPr>
          <w:i/>
        </w:rPr>
        <w:t xml:space="preserve">Jepson eFlora</w:t>
      </w:r>
      <w:r>
        <w:t xml:space="preserve"> </w:t>
      </w:r>
      <w:r>
        <w:t xml:space="preserve">Available at:</w:t>
      </w:r>
      <w:r>
        <w:t xml:space="preserve"> </w:t>
      </w:r>
      <w:hyperlink r:id="rId67">
        <w:r>
          <w:rPr>
            <w:rStyle w:val="Hyperlink"/>
          </w:rPr>
          <w:t xml:space="preserve">http://ucjeps.berkeley.edu/eflora/</w:t>
        </w:r>
      </w:hyperlink>
      <w:r>
        <w:t xml:space="preserve"> </w:t>
      </w:r>
      <w:r>
        <w:t xml:space="preserve">[Accessed March 7, 2016].</w:t>
      </w:r>
    </w:p>
    <w:p>
      <w:pPr>
        <w:pStyle w:val="Bibliography"/>
      </w:pPr>
      <w:r>
        <w:t xml:space="preserve">55.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56.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57.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58. USGS (2017) Landsat 8 Surface Reflectance Code (LASRC) Product Guide. 40.</w:t>
      </w:r>
    </w:p>
    <w:p>
      <w:pPr>
        <w:pStyle w:val="Bibliography"/>
      </w:pPr>
      <w:r>
        <w:t xml:space="preserve">59. USGS (2017) Landsat 4-7 Surface Reflectance (LEDAPS) Product Guide. 41.</w:t>
      </w:r>
    </w:p>
    <w:p>
      <w:pPr>
        <w:pStyle w:val="Bibliography"/>
      </w:pPr>
      <w:r>
        <w:t xml:space="preserve">60.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61.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62.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63.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64.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65. Key CH, Benson NC (2006) Landscape Assessment (LA). 55.</w:t>
      </w:r>
    </w:p>
    <w:p>
      <w:pPr>
        <w:pStyle w:val="Bibliography"/>
      </w:pPr>
      <w:r>
        <w:t xml:space="preserve">66.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67.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68.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69.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70.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71. Sikkink PG, et al. (2013) Composite Burn Index (CBI) data and field photos collected for the FIRESEV project, western United States. doi:</w:t>
      </w:r>
      <w:hyperlink r:id="rId68">
        <w:r>
          <w:rPr>
            <w:rStyle w:val="Hyperlink"/>
          </w:rPr>
          <w:t xml:space="preserve">10.2737/RDS-2013-0017</w:t>
        </w:r>
      </w:hyperlink>
      <w:r>
        <w:t xml:space="preserve">.</w:t>
      </w:r>
    </w:p>
    <w:p>
      <w:pPr>
        <w:pStyle w:val="Bibliography"/>
      </w:pPr>
      <w:r>
        <w:t xml:space="preserve">72.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73.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74.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75. Wickham H (2019)</w:t>
      </w:r>
      <w:r>
        <w:t xml:space="preserve"> </w:t>
      </w:r>
      <w:r>
        <w:rPr>
          <w:i/>
        </w:rPr>
        <w:t xml:space="preserve">Modelr: Modelling Functions that Work with the Pipe</w:t>
      </w:r>
      <w:r>
        <w:t xml:space="preserve"> </w:t>
      </w:r>
      <w:r>
        <w:t xml:space="preserve">Available at:</w:t>
      </w:r>
      <w:r>
        <w:t xml:space="preserve"> </w:t>
      </w:r>
      <w:hyperlink r:id="rId69">
        <w:r>
          <w:rPr>
            <w:rStyle w:val="Hyperlink"/>
          </w:rPr>
          <w:t xml:space="preserve">https://CRAN.R-project.org/package=modelr</w:t>
        </w:r>
      </w:hyperlink>
      <w:r>
        <w:t xml:space="preserve">.</w:t>
      </w:r>
    </w:p>
    <w:p>
      <w:pPr>
        <w:pStyle w:val="Bibliography"/>
      </w:pPr>
      <w:r>
        <w:t xml:space="preserve">76. Henry L, Wickham H (2019)</w:t>
      </w:r>
      <w:r>
        <w:t xml:space="preserve"> </w:t>
      </w:r>
      <w:r>
        <w:rPr>
          <w:i/>
        </w:rPr>
        <w:t xml:space="preserve">Purrr: Functional Programming Tools</w:t>
      </w:r>
      <w:r>
        <w:t xml:space="preserve"> </w:t>
      </w:r>
      <w:r>
        <w:t xml:space="preserve">Available at:</w:t>
      </w:r>
      <w:r>
        <w:t xml:space="preserve"> </w:t>
      </w:r>
      <w:hyperlink r:id="rId70">
        <w:r>
          <w:rPr>
            <w:rStyle w:val="Hyperlink"/>
          </w:rPr>
          <w:t xml:space="preserve">https://CRAN.R-project.org/package=purrr</w:t>
        </w:r>
      </w:hyperlink>
      <w:r>
        <w:t xml:space="preserve">.</w:t>
      </w:r>
    </w:p>
    <w:p>
      <w:pPr>
        <w:pStyle w:val="Bibliography"/>
      </w:pPr>
      <w:r>
        <w:t xml:space="preserve">77.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1">
        <w:r>
          <w:rPr>
            <w:rStyle w:val="Hyperlink"/>
          </w:rPr>
          <w:t xml:space="preserve">https://www.R-project.org/</w:t>
        </w:r>
      </w:hyperlink>
      <w:r>
        <w:t xml:space="preserve">.</w:t>
      </w:r>
    </w:p>
    <w:p>
      <w:pPr>
        <w:pStyle w:val="Bibliography"/>
      </w:pPr>
      <w:r>
        <w:t xml:space="preserve">78.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79.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80.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81.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82.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83. Farr TG, et al. (2007) The Shuttle Radar Topography Mission.</w:t>
      </w:r>
      <w:r>
        <w:t xml:space="preserve"> </w:t>
      </w:r>
      <w:r>
        <w:rPr>
          <w:i/>
        </w:rPr>
        <w:t xml:space="preserve">Reviews of Geophysics</w:t>
      </w:r>
      <w:r>
        <w:t xml:space="preserve"> </w:t>
      </w:r>
      <w:r>
        <w:t xml:space="preserve">45(2). doi:</w:t>
      </w:r>
      <w:hyperlink r:id="rId72">
        <w:r>
          <w:rPr>
            <w:rStyle w:val="Hyperlink"/>
          </w:rPr>
          <w:t xml:space="preserve">10.1029/2005RG000183</w:t>
        </w:r>
      </w:hyperlink>
      <w:r>
        <w:t xml:space="preserve">.</w:t>
      </w:r>
    </w:p>
    <w:p>
      <w:pPr>
        <w:pStyle w:val="Bibliography"/>
      </w:pPr>
      <w:r>
        <w:t xml:space="preserve">84.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85.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86.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87.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88.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89.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3">
        <w:r>
          <w:rPr>
            <w:rStyle w:val="Hyperlink"/>
          </w:rPr>
          <w:t xml:space="preserve">10.18637/jss.v080.i01</w:t>
        </w:r>
      </w:hyperlink>
      <w:r>
        <w:t xml:space="preserve">.</w:t>
      </w:r>
    </w:p>
    <w:p>
      <w:pPr>
        <w:pStyle w:val="Bibliography"/>
      </w:pPr>
      <w:r>
        <w:t xml:space="preserve">90.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91. Gelman A, Goodrich B, Gabry J, Vehtari A (2018) R-squared for Bayesian regression models.</w:t>
      </w:r>
      <w:r>
        <w:t xml:space="preserve"> </w:t>
      </w:r>
      <w:r>
        <w:rPr>
          <w:i/>
        </w:rPr>
        <w:t xml:space="preserve">The American Statistician</w:t>
      </w:r>
      <w:r>
        <w:t xml:space="preserve">:1–6.</w:t>
      </w:r>
    </w:p>
    <w:p>
      <w:pPr>
        <w:pStyle w:val="Bibliography"/>
      </w:pPr>
      <w:r>
        <w:t xml:space="preserve">92.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93. Beck J, et al. (2012) What’s on the horizon for macroecology?</w:t>
      </w:r>
      <w:r>
        <w:t xml:space="preserve"> </w:t>
      </w:r>
      <w:r>
        <w:rPr>
          <w:i/>
        </w:rPr>
        <w:t xml:space="preserve">Ecography</w:t>
      </w:r>
      <w:r>
        <w:t xml:space="preserve"> </w:t>
      </w:r>
      <w:r>
        <w:t xml:space="preserve">35(8):673–683.</w:t>
      </w:r>
    </w:p>
    <w:p>
      <w:pPr>
        <w:pStyle w:val="Bibliography"/>
      </w:pPr>
      <w:r>
        <w:t xml:space="preserve">94. Folke C, et al. (2004) Regime Shifts, Resilience, and Biodiversity in Ecosystem Management.</w:t>
      </w:r>
      <w:r>
        <w:t xml:space="preserve"> </w:t>
      </w:r>
      <w:r>
        <w:rPr>
          <w:i/>
        </w:rPr>
        <w:t xml:space="preserve">Annual Review of Ecology, Evolution, and Systematics</w:t>
      </w:r>
      <w:r>
        <w:t xml:space="preserve"> </w:t>
      </w:r>
      <w:r>
        <w:t xml:space="preserve">3:557–581.</w:t>
      </w:r>
    </w:p>
    <w:p>
      <w:pPr>
        <w:pStyle w:val="Bibliography"/>
      </w:pPr>
      <w:r>
        <w:t xml:space="preserve">95.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96. Turner MG, Romme WH, Gardner RH, Hargrove WW (1997) Effects of Fire Size and Pattern on Early Succession in Yellowstone National Park.</w:t>
      </w:r>
      <w:r>
        <w:t xml:space="preserve"> </w:t>
      </w:r>
      <w:r>
        <w:rPr>
          <w:i/>
        </w:rPr>
        <w:t xml:space="preserve">Ecological Monographs</w:t>
      </w:r>
      <w:r>
        <w:t xml:space="preserve"> </w:t>
      </w:r>
      <w:r>
        <w:t xml:space="preserve">67(4):411.</w:t>
      </w:r>
    </w:p>
    <w:p>
      <w:pPr>
        <w:pStyle w:val="Bibliography"/>
      </w:pPr>
      <w:r>
        <w:t xml:space="preserve">97.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98.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99.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100.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101.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102.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103.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104. Wagtendonk JWV (2006)</w:t>
      </w:r>
      <w:r>
        <w:t xml:space="preserve"> </w:t>
      </w:r>
      <w:r>
        <w:rPr>
          <w:i/>
        </w:rPr>
        <w:t xml:space="preserve">Fire as a Physical Process</w:t>
      </w:r>
      <w:r>
        <w:t xml:space="preserve"> </w:t>
      </w:r>
      <w:r>
        <w:t xml:space="preserve">(University of California Press) Available at:</w:t>
      </w:r>
      <w:r>
        <w:t xml:space="preserve"> </w:t>
      </w:r>
      <w:hyperlink r:id="rId74">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105.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106.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107.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p>
      <w:pPr>
        <w:pStyle w:val="Bibliography"/>
      </w:pPr>
      <w:r>
        <w:t xml:space="preserve">108.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109.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110.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ddd5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11e823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e317968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3" Target="media/rId33.pdf" /><Relationship Type="http://schemas.openxmlformats.org/officeDocument/2006/relationships/image" Id="rId49" Target="media/rId49.pdf" /><Relationship Type="http://schemas.openxmlformats.org/officeDocument/2006/relationships/image" Id="rId46" Target="media/rId46.pdf" /><Relationship Type="http://schemas.openxmlformats.org/officeDocument/2006/relationships/image" Id="rId27" Target="media/rId27.pdf" /><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7"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73" Target="https://doi.org/10.18637/jss.v080.i01" TargetMode="External" /><Relationship Type="http://schemas.openxmlformats.org/officeDocument/2006/relationships/hyperlink" Id="rId63"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5" Target="https://doi.org/10.2737/RMRS-GTR-120" TargetMode="External" /><Relationship Type="http://schemas.openxmlformats.org/officeDocument/2006/relationships/hyperlink" Id="rId64" Target="https://doi.org/10.2737/RMRS-RP-29" TargetMode="External" /><Relationship Type="http://schemas.openxmlformats.org/officeDocument/2006/relationships/hyperlink" Id="rId61" Target="https://doi.org/10.5751/ES-00650-090205" TargetMode="External" /><Relationship Type="http://schemas.openxmlformats.org/officeDocument/2006/relationships/hyperlink" Id="rId62" Target="https://doi.org/10.5751/ES-02380-130210" TargetMode="External" /><Relationship Type="http://schemas.openxmlformats.org/officeDocument/2006/relationships/hyperlink" Id="rId66"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8"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7"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73" Target="https://doi.org/10.18637/jss.v080.i01" TargetMode="External" /><Relationship Type="http://schemas.openxmlformats.org/officeDocument/2006/relationships/hyperlink" Id="rId63"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5" Target="https://doi.org/10.2737/RMRS-GTR-120" TargetMode="External" /><Relationship Type="http://schemas.openxmlformats.org/officeDocument/2006/relationships/hyperlink" Id="rId64" Target="https://doi.org/10.2737/RMRS-RP-29" TargetMode="External" /><Relationship Type="http://schemas.openxmlformats.org/officeDocument/2006/relationships/hyperlink" Id="rId61" Target="https://doi.org/10.5751/ES-00650-090205" TargetMode="External" /><Relationship Type="http://schemas.openxmlformats.org/officeDocument/2006/relationships/hyperlink" Id="rId62" Target="https://doi.org/10.5751/ES-02380-130210" TargetMode="External" /><Relationship Type="http://schemas.openxmlformats.org/officeDocument/2006/relationships/hyperlink" Id="rId66"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8"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2019-07-06T20:22:48Z</dcterms:created>
  <dcterms:modified xsi:type="dcterms:W3CDTF">2019-07-06T20:22:48Z</dcterms:modified>
</cp:coreProperties>
</file>