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pdf" ContentType="application/pdf"/>
  <Override PartName="/word/media/rId48.pdf" ContentType="application/pdf"/>
  <Override PartName="/word/media/rId45.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forest-structure-variability-increases-resilience-to-wildfire-in-dry-western-u.s.-coniferous-forests"/>
      <w:bookmarkEnd w:id="21"/>
      <w:r>
        <w:t xml:space="preserve">Local forest structure variability increases resilience to wildfire in dry, western U.S. coniferous forests</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w:t>
      </w:r>
      <w:r>
        <w:t xml:space="preserve">,</w:t>
      </w:r>
      <w:r>
        <w:t xml:space="preserve"> </w:t>
      </w:r>
      <w:r>
        <w:t xml:space="preserve">Stephen E. Fick</w:t>
      </w:r>
      <w:r>
        <w:rPr>
          <w:vertAlign w:val="superscript"/>
        </w:rPr>
        <w:t xml:space="preserve">6,7</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w:t>
      </w:r>
      <w:r>
        <w:br w:type="textWrapping"/>
      </w:r>
      <w:r>
        <w:rPr>
          <w:vertAlign w:val="superscript"/>
        </w:rPr>
        <w:t xml:space="preserve">2</w:t>
      </w:r>
      <w:r>
        <w:t xml:space="preserve">Department of Plant Sciences, University of California; Davis, CA</w:t>
      </w:r>
      <w:r>
        <w:br w:type="textWrapping"/>
      </w:r>
      <w:r>
        <w:rPr>
          <w:vertAlign w:val="superscript"/>
        </w:rPr>
        <w:t xml:space="preserve">3</w:t>
      </w:r>
      <w:r>
        <w:t xml:space="preserve">Earth Lab, University of Colorado-Boulder; Boulder, CO</w:t>
      </w:r>
      <w:r>
        <w:br w:type="textWrapping"/>
      </w:r>
      <w:r>
        <w:rPr>
          <w:vertAlign w:val="superscript"/>
        </w:rPr>
        <w:t xml:space="preserve">4</w:t>
      </w:r>
      <w:r>
        <w:t xml:space="preserve">Pacific Southwest Research Station, U.S.D.A. Forest Service; Mammoth Lakes, CA</w:t>
      </w:r>
      <w:r>
        <w:br w:type="textWrapping"/>
      </w:r>
      <w:r>
        <w:rPr>
          <w:vertAlign w:val="superscript"/>
        </w:rPr>
        <w:t xml:space="preserve">5</w:t>
      </w:r>
      <w:r>
        <w:t xml:space="preserve">Center for Population Biology, University of California; Davis, CA</w:t>
      </w:r>
      <w:r>
        <w:br w:type="textWrapping"/>
      </w:r>
      <w:r>
        <w:rPr>
          <w:vertAlign w:val="superscript"/>
        </w:rPr>
        <w:t xml:space="preserve">6</w:t>
      </w:r>
      <w:r>
        <w:t xml:space="preserve">U.S. Geological Survey, Southwest Biological Science Center</w:t>
      </w:r>
      <w:r>
        <w:br w:type="textWrapping"/>
      </w:r>
      <w:r>
        <w:rPr>
          <w:vertAlign w:val="superscript"/>
        </w:rPr>
        <w:t xml:space="preserve">7</w:t>
      </w:r>
      <w:r>
        <w:t xml:space="preserve">Department of Ecology and Evolutionary Biology, University of Colorado; Boulder, CO</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Keywords: resilience, wildfire, severity, texture, forest structure</w:t>
      </w:r>
    </w:p>
    <w:p>
      <w:pPr>
        <w:pStyle w:val="BodyText"/>
      </w:pPr>
      <w:r>
        <w:t xml:space="preserve">Date report generated: July 06, 2019</w:t>
      </w:r>
    </w:p>
    <w:p>
      <w:pPr>
        <w:pStyle w:val="Heading1"/>
      </w:pPr>
      <w:bookmarkStart w:id="22" w:name="abstract"/>
      <w:bookmarkEnd w:id="22"/>
      <w:r>
        <w:t xml:space="preserve">Abstract</w:t>
      </w:r>
    </w:p>
    <w:p>
      <w:pPr>
        <w:pStyle w:val="FirstParagraph"/>
      </w:pPr>
      <w:r>
        <w:t xml:space="preserve">The long-term persistence of forest ecosystems hinges on their resilience to ongoing disturbance, but quantification of resilience in these valuable ecosystems remains difficult due to their vast extent and the longevity of forest species. Resilience to wildfire may arise from feedback between fire behavior and vegetation structure. In semi-arid and seasonally dry conifer forests of the western United States, regular fire generates structural variability which may then enable forests to withstand future fires and retain their fundamental properties and functions– a hallmark of a resilient system. A century of fire suppression in has homogenized the structure of many of these forests, potentially upsetting these feedbacks and compromising forest resilience. We investigate the generality and scale of the effect of structural variability on wildfire behavior in one of these forest types, the extensive yellow pine/mixed-conifer forest of California’s Sierra Nevada using cloud computing and texture analysis of a 33-year time series of satellite imagery. We measure the association between wildfire severity and local forest structure for an unprecedented number and size range of wildfires, ensuring broad representation of fire effects to this forest type. We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could increase the probability of long-term forest persistence.</w:t>
      </w:r>
    </w:p>
    <w:p>
      <w:pPr>
        <w:pStyle w:val="Heading1"/>
      </w:pPr>
      <w:bookmarkStart w:id="23" w:name="introduction"/>
      <w:bookmarkEnd w:id="23"/>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 in the long run</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System resilience can be generated by heterogeneity at a variety of organizational scales,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w:t>
      </w:r>
      <w:r>
        <w:t xml:space="preserve">and high-severity fire, in which all or nearly all overstory vegetation is killed, can be a precursor to state transitions in dry coniferous forests</w:t>
      </w:r>
      <w:r>
        <w:t xml:space="preserve"> </w:t>
      </w:r>
      <w:r>
        <w:t xml:space="preserve">(24, 25)</w:t>
      </w:r>
      <w:r>
        <w:t xml:space="preserve">. For several centuries prior to Euroamerican invasion, fire regimes in this ecosystem were variable, having primarily low- and moderate-severity fire, but localized patches of high-severity fire</w:t>
      </w:r>
      <w:r>
        <w:t xml:space="preserve"> </w:t>
      </w:r>
      <w:r>
        <w:t xml:space="preserve">(26)</w:t>
      </w:r>
      <w:r>
        <w:t xml:space="preserve">. Most dry coniferous tree species in frequent-fire forests did not evolve mechanisms to protect propagules (e.g., seeds, buds/stems that can resprout) through high-severity fire, so recruitment in large patches with few or no surviving trees is often highly limited by longer-distance dispersal of tree seeds from unburned or lower-severity areas</w:t>
      </w:r>
      <w:r>
        <w:t xml:space="preserve"> </w:t>
      </w:r>
      <w:r>
        <w:t xml:space="preserve">(24, 27, 28)</w:t>
      </w:r>
      <w:r>
        <w:t xml:space="preserve">. Absence of tree seeds after severe wildfire can lead to forest regeneration failure as resprouting shrubs outcompete slower-growing conifer seedlings and provide continuous cover of flammable fuel that makes future high-severity wildfire more likely</w:t>
      </w:r>
      <w:r>
        <w:t xml:space="preserve"> </w:t>
      </w:r>
      <w:r>
        <w:t xml:space="preserve">(29, 30)</w:t>
      </w:r>
      <w:r>
        <w:t xml:space="preserve">. Dry forest regeneration is especially imperiled after high-severity fire when post-fire climate conditions are suboptimal for conifer seedling establishment</w:t>
      </w:r>
      <w:r>
        <w:t xml:space="preserve"> </w:t>
      </w:r>
      <w:r>
        <w:t xml:space="preserve">(25)</w:t>
      </w:r>
      <w:r>
        <w:t xml:space="preserve"> </w:t>
      </w:r>
      <w:r>
        <w:t xml:space="preserve">or optimal for shrub regeneration</w:t>
      </w:r>
      <w:r>
        <w:t xml:space="preserve"> </w:t>
      </w:r>
      <w:r>
        <w:t xml:space="preserve">(28)</w:t>
      </w:r>
      <w:r>
        <w:t xml:space="preserve">.</w:t>
      </w:r>
    </w:p>
    <w:p>
      <w:pPr>
        <w:pStyle w:val="BodyText"/>
      </w:pPr>
      <w:r>
        <w:t xml:space="preserve">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(3, 31, 32)</w:t>
      </w:r>
      <w:r>
        <w:t xml:space="preserve">, producing conditions favorable for high-intensity fire</w:t>
      </w:r>
      <w:r>
        <w:t xml:space="preserve"> </w:t>
      </w:r>
      <w:r>
        <w:t xml:space="preserve">(33, 34)</w:t>
      </w:r>
      <w:r>
        <w:t xml:space="preserve"> </w:t>
      </w:r>
      <w:r>
        <w:t xml:space="preserve">and less suitable for post-fire conifer establishment</w:t>
      </w:r>
      <w:r>
        <w:t xml:space="preserve"> </w:t>
      </w:r>
      <w:r>
        <w:t xml:space="preserve">(25, 35)</w:t>
      </w:r>
      <w:r>
        <w:t xml:space="preserve">. Second, a century of fire suppression has drastically increased forest density and fuel connectivity</w:t>
      </w:r>
      <w:r>
        <w:t xml:space="preserve"> </w:t>
      </w:r>
      <w:r>
        <w:t xml:space="preserve">(26)</w:t>
      </w:r>
      <w:r>
        <w:t xml:space="preserve">, which favors modern wildfires with large, contiguous patches of tree mortality whose interiors are far from potential seed sources</w:t>
      </w:r>
      <w:r>
        <w:t xml:space="preserve"> </w:t>
      </w:r>
      <w:r>
        <w:t xml:space="preserve">(24, 26, 36, 37)</w:t>
      </w:r>
      <w:r>
        <w:t xml:space="preserve">. Thus, the presence of stabilizing feedbacks that limit high-severity fire may represent a fundamental resilience mechanism of dry coniferous forests, but anthropogenic climate and management impacts may be upsetting those feedbacks and eroding forest resilience.</w:t>
      </w:r>
    </w:p>
    <w:p>
      <w:pPr>
        <w:pStyle w:val="BodyText"/>
      </w:pPr>
      <w:r>
        <w:t xml:space="preserve">An emerging paradigm in forest ecology is that resilience to disturbances such as wildfire may derive from heterogeneity in vegetation structure</w:t>
      </w:r>
      <w:r>
        <w:t xml:space="preserve"> </w:t>
      </w:r>
      <w:r>
        <w:t xml:space="preserve">(38–40)</w:t>
      </w:r>
      <w:r>
        <w:t xml:space="preserve">. Forest structure– the size and spatial distribution of vegetation in a forest– links past and future fire disturbance via feedbacks with fire behavior</w:t>
      </w:r>
      <w:r>
        <w:t xml:space="preserve"> </w:t>
      </w:r>
      <w:r>
        <w:t xml:space="preserve">(41)</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42–45)</w:t>
      </w:r>
      <w:r>
        <w:t xml:space="preserve">. Feeding back to influence forest structure, this milder fire behavior, characteristic of pre-Euroamerican settlement conditions in dry western U.S. forests, generates a heterogeneous patchwork of fire effects including consumed understory vegetation, occasional overstory tree mortality, and highly variable structure at a fine scale</w:t>
      </w:r>
      <w:r>
        <w:t xml:space="preserve"> </w:t>
      </w:r>
      <w:r>
        <w:t xml:space="preserve">(26, 46, 47)</w:t>
      </w:r>
      <w:r>
        <w:t xml:space="preserve">. Thus, more structurally variable dry forests are often considered more resilient and are predicted to persist in the face of frequent wildfire disturbance</w:t>
      </w:r>
      <w:r>
        <w:t xml:space="preserve"> </w:t>
      </w:r>
      <w:r>
        <w:t xml:space="preserve">(38, 43, 48)</w:t>
      </w:r>
      <w:r>
        <w:t xml:space="preserve">.</w:t>
      </w:r>
    </w:p>
    <w:p>
      <w:pPr>
        <w:pStyle w:val="BodyText"/>
      </w:pPr>
      <w:r>
        <w:t xml:space="preserve">While the homogenizing effect of modern high-severity fire on forest structure is well-documented</w:t>
      </w:r>
      <w:r>
        <w:t xml:space="preserve"> </w:t>
      </w:r>
      <w:r>
        <w:t xml:space="preserve">(37)</w:t>
      </w:r>
      <w:r>
        <w:t xml:space="preserve">, the foundational concept of feedback between heterogeneity of forest structure and fire severity is underexplored, in part because of the challenge of measuring fine-scale heterogeneity at broad spatial extents</w:t>
      </w:r>
      <w:r>
        <w:t xml:space="preserve"> </w:t>
      </w:r>
      <w:r>
        <w:t xml:space="preserve">(49)</w:t>
      </w:r>
      <w:r>
        <w:t xml:space="preserve">. Furthermore, it has been difficult to empirically resolve the</w:t>
      </w:r>
      <w:r>
        <w:t xml:space="preserve"> </w:t>
      </w:r>
      <w:r>
        <w:t xml:space="preserve">“</w:t>
      </w:r>
      <w:r>
        <w:t xml:space="preserve">scale of effect</w:t>
      </w:r>
      <w:r>
        <w:t xml:space="preserve">”</w:t>
      </w:r>
      <w:r>
        <w:t xml:space="preserve"> </w:t>
      </w:r>
      <w:r>
        <w:t xml:space="preserve">(49)</w:t>
      </w:r>
      <w:r>
        <w:t xml:space="preserve"> </w:t>
      </w:r>
      <w:r>
        <w:t xml:space="preserve">for how variability in forest structure is meaningful for resilience</w:t>
      </w:r>
      <w:r>
        <w:t xml:space="preserve"> </w:t>
      </w:r>
      <w:r>
        <w:t xml:space="preserve">(50, 51)</w:t>
      </w:r>
      <w:r>
        <w:t xml:space="preserve">.</w:t>
      </w:r>
    </w:p>
    <w:p>
      <w:pPr>
        <w:pStyle w:val="BodyText"/>
      </w:pPr>
      <w:r>
        <w:t xml:space="preserve">Recent advances in the accessibility and tractability of spatiotemporally extensive Earth observation data</w:t>
      </w:r>
      <w:r>
        <w:t xml:space="preserve"> </w:t>
      </w:r>
      <w:r>
        <w:t xml:space="preserve">(52)</w:t>
      </w:r>
      <w:r>
        <w:t xml:space="preserve"> </w:t>
      </w:r>
      <w:r>
        <w:t xml:space="preserve">provide an avenue to insight into fundamental ecosystem properties at relevant scales, such as resilience mechanisms of vast, long-lived forests. We use Landsat satellite imagery and leverage a massively-parallel image processing approach to calculate wildfire severity for nearly 1,000 Sierra Nevada yellow pine/mixed-conifer wildfires encompassing a wide size range (4 to &gt;100,000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(53)</w:t>
      </w:r>
      <w:r>
        <w:t xml:space="preserve"> </w:t>
      </w:r>
      <w:r>
        <w:t xml:space="preserve">at multiple scales in order to characterize local variability in vegetation structure across broad spatial extents and determine its</w:t>
      </w:r>
      <w:r>
        <w:t xml:space="preserve"> </w:t>
      </w:r>
      <w:r>
        <w:t xml:space="preserve">“</w:t>
      </w:r>
      <w:r>
        <w:t xml:space="preserve">scale of effect</w:t>
      </w:r>
      <w:r>
        <w:t xml:space="preserve">”</w:t>
      </w:r>
      <w:r>
        <w:t xml:space="preserve"> </w:t>
      </w:r>
      <w:r>
        <w:t xml:space="preserve">(49)</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that influences wildfire severity? and (3) Does the influence of structural variability on fire severity depend on topography, regional climate, or other conditions?</w:t>
      </w:r>
    </w:p>
    <w:p>
      <w:pPr>
        <w:pStyle w:val="Heading1"/>
      </w:pPr>
      <w:bookmarkStart w:id="24" w:name="material-and-methods"/>
      <w:bookmarkEnd w:id="24"/>
      <w:r>
        <w:t xml:space="preserve">Material and Methods</w:t>
      </w:r>
    </w:p>
    <w:p>
      <w:pPr>
        <w:pStyle w:val="Heading2"/>
      </w:pPr>
      <w:bookmarkStart w:id="25" w:name="study-system"/>
      <w:bookmarkEnd w:id="25"/>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 (</w:t>
      </w:r>
      <w:r>
        <w:rPr>
          <w:i/>
        </w:rPr>
        <w:t xml:space="preserve">Ceanothus</w:t>
      </w:r>
      <w:r>
        <w:t xml:space="preserve"> </w:t>
      </w:r>
      <w:r>
        <w:t xml:space="preserve">spp.,</w:t>
      </w:r>
      <w:r>
        <w:t xml:space="preserve"> </w:t>
      </w:r>
      <w:r>
        <w:rPr>
          <w:i/>
        </w:rPr>
        <w:t xml:space="preserve">Arctostaphylos</w:t>
      </w:r>
      <w:r>
        <w:t xml:space="preserve"> </w:t>
      </w:r>
      <w:r>
        <w:t xml:space="preserve">spp.)</w:t>
      </w:r>
      <w:r>
        <w:t xml:space="preserve"> </w:t>
      </w:r>
      <w:r>
        <w:t xml:space="preserve">(26)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7">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(37)</w:t>
      </w:r>
      <w:r>
        <w:t xml:space="preserve">. We considered the Sierra Nevada region to be the area within the Sierra Nevada Foothills, the High Sierra Nevada, and the Tehachapi Mountain Area Jepson ecoregions</w:t>
      </w:r>
      <w:r>
        <w:t xml:space="preserve"> </w:t>
      </w:r>
      <w:r>
        <w:t xml:space="preserve">(54)</w:t>
      </w:r>
      <w:r>
        <w:t xml:space="preserve">. The fire regime for several centuries prior to Euroamerican settlement was dominated by frequent, low- to moderate-severity wildfires, but modern fires tend to burn larger areas per event, with a greater proportion of high-severity fire</w:t>
      </w:r>
      <w:r>
        <w:t xml:space="preserve"> </w:t>
      </w:r>
      <w:r>
        <w:t xml:space="preserve">(26)</w:t>
      </w:r>
      <w:r>
        <w:t xml:space="preserve">.</w:t>
      </w:r>
    </w:p>
    <w:p>
      <w:pPr>
        <w:pStyle w:val="Heading2"/>
      </w:pPr>
      <w:bookmarkStart w:id="28" w:name="a-new-approach-to-remotely-sensing-wildfire-severity"/>
      <w:bookmarkEnd w:id="28"/>
      <w:r>
        <w:t xml:space="preserve">A new approach to remotely sensing wildfire severity</w:t>
      </w:r>
    </w:p>
    <w:p>
      <w:pPr>
        <w:pStyle w:val="FirstParagraph"/>
      </w:pPr>
      <w:r>
        <w:t xml:space="preserve">We measured forest vegetation characteristics and wildfire severity using imagery from the Landsat series of satellites</w:t>
      </w:r>
      <w:r>
        <w:t xml:space="preserve"> </w:t>
      </w:r>
      <w:r>
        <w:t xml:space="preserve">(36, 55)</w:t>
      </w:r>
      <w:r>
        <w:t xml:space="preserve"> </w:t>
      </w:r>
      <w:r>
        <w:t xml:space="preserve">with radiometric correction post-processing</w:t>
      </w:r>
      <w:r>
        <w:t xml:space="preserve"> </w:t>
      </w:r>
      <w:r>
        <w:t xml:space="preserve">(56–59)</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(52)</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9">
        <w:r>
          <w:rPr>
            <w:rStyle w:val="Hyperlink"/>
          </w:rPr>
          <w:t xml:space="preserve">http://frap.fire.ca.gov/projects/fire_data/fire_perimeters_index</w:t>
        </w:r>
      </w:hyperlink>
      <w:r>
        <w:t xml:space="preserve">). Smaller fire events are important contributors to fire regimes, but their effects are often underrepresented in analyses</w:t>
      </w:r>
      <w:r>
        <w:t xml:space="preserve"> </w:t>
      </w:r>
      <w:r>
        <w:t xml:space="preserve">(60)</w:t>
      </w:r>
      <w:r>
        <w:t xml:space="preserve">. The FRAP database includes all known fires that covered more than 4 hectares, compared to the regional standard database which includes fires covering greater than 80 hectares</w:t>
      </w:r>
      <w:r>
        <w:t xml:space="preserve"> </w:t>
      </w:r>
      <w:r>
        <w:t xml:space="preserve">(36, 37, 61, 62)</w:t>
      </w:r>
      <w:r>
        <w:t xml:space="preserve"> </w:t>
      </w:r>
      <w:r>
        <w:t xml:space="preserve">and the national standard Monitoring Trends in Burn Severity (MTBS) database which includes fires covering greater than 400 hectares in the western U.S.</w:t>
      </w:r>
      <w:r>
        <w:t xml:space="preserve"> </w:t>
      </w:r>
      <w:r>
        <w:t xml:space="preserve">(55)</w:t>
      </w:r>
      <w:r>
        <w:t xml:space="preserve">. Using the FRAP database of fire perimeters, we quantified fire severity within each perimeter of 972 wildfires in the Sierra Nevada yellow pine/mixed-conifer forest that burned between 1984 and 2017. Our approach more than doubles the number of fire events represented from 430 to 972, though only increases the total burned area represented from 7.44e+05 to 7.69e+05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30" w:name="fetching-and-processing-pre--and-postfire-imagery"/>
      <w:bookmarkEnd w:id="30"/>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pre-deined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(63)</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(64)</w:t>
      </w:r>
      <w:r>
        <w:t xml:space="preserve">. Normalized burn ratio (NBR) and normalized burn ratio version 2 (NBR2) respond strongly to fire effects on vegetation</w:t>
      </w:r>
      <w:r>
        <w:t xml:space="preserve"> </w:t>
      </w:r>
      <w:r>
        <w:t xml:space="preserve">(58, 59, 65–67)</w:t>
      </w:r>
      <w:r>
        <w:t xml:space="preserve"> </w:t>
      </w:r>
      <w:r>
        <w:t xml:space="preserve">(Equations in Supplemental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(68)</w:t>
      </w:r>
      <w:r>
        <w:t xml:space="preserve">.</w:t>
      </w:r>
    </w:p>
    <w:p>
      <w:pPr>
        <w:pStyle w:val="Heading3"/>
      </w:pPr>
      <w:bookmarkStart w:id="31" w:name="calculating-wildfire-severity"/>
      <w:bookmarkEnd w:id="31"/>
      <w:r>
        <w:t xml:space="preserve">Calculating wildfire severity</w:t>
      </w:r>
    </w:p>
    <w:p>
      <w:pPr>
        <w:pStyle w:val="FirstParagraph"/>
      </w:pPr>
      <w:r>
        <w:t xml:space="preserve">Using the composited images, we calculated commonly used metrics of remotely-sensed wildfire severity to validate against ground-based data: the relative burn ratio (RBR)</w:t>
      </w:r>
      <w:r>
        <w:t xml:space="preserve"> </w:t>
      </w:r>
      <w:r>
        <w:t xml:space="preserve">(69)</w:t>
      </w:r>
      <w:r>
        <w:t xml:space="preserve">, the delta normalized burn ratio (dNBR)</w:t>
      </w:r>
      <w:r>
        <w:t xml:space="preserve"> </w:t>
      </w:r>
      <w:r>
        <w:t xml:space="preserve">(36, 55)</w:t>
      </w:r>
      <w:r>
        <w:t xml:space="preserve">, the relative delta normalized burn ratio (RdNBR)</w:t>
      </w:r>
      <w:r>
        <w:t xml:space="preserve"> </w:t>
      </w:r>
      <w:r>
        <w:t xml:space="preserve">(36, 62)</w:t>
      </w:r>
      <w:r>
        <w:t xml:space="preserve">, the delta normalized burn ratio 2 (dNBR2)</w:t>
      </w:r>
      <w:r>
        <w:t xml:space="preserve"> </w:t>
      </w:r>
      <w:r>
        <w:t xml:space="preserve">(67)</w:t>
      </w:r>
      <w:r>
        <w:t xml:space="preserve">, the relative delta normalized burn ratio 2 (RdNBR2), and the delta normalized difference vegetation index (dNDVI)</w:t>
      </w:r>
      <w:r>
        <w:t xml:space="preserve"> </w:t>
      </w:r>
      <w:r>
        <w:t xml:space="preserve">(55)</w:t>
      </w:r>
      <w:r>
        <w:t xml:space="preserve">. We also calculated an analogous metric to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(36)</w:t>
      </w:r>
      <w:r>
        <w:t xml:space="preserve">). Following</w:t>
      </w:r>
      <w:r>
        <w:t xml:space="preserve"> </w:t>
      </w:r>
      <w:r>
        <w:t xml:space="preserve">(70)</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2.</w:t>
      </w:r>
    </w:p>
    <w:p>
      <w:pPr>
        <w:pStyle w:val="FigureWithCaption"/>
      </w:pPr>
      <w:r>
        <w:drawing>
          <wp:inline>
            <wp:extent cx="3810000" cy="2540000"/>
            <wp:effectExtent b="0" l="0" r="0" t="0"/>
            <wp:docPr descr="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bookmarkEnd w:id="33"/>
      <w:r>
        <w:t xml:space="preserve">Calibrating remotely-sensed wildfire severity with field-measured wildfire severity</w:t>
      </w:r>
    </w:p>
    <w:p>
      <w:pPr>
        <w:pStyle w:val="FirstParagraph"/>
      </w:pPr>
      <w:r>
        <w:t xml:space="preserve">We calibrated our remotely-sensed measure of wildfire severity with 208 field measures of overstory tree mortality from two previously published studies</w:t>
      </w:r>
      <w:r>
        <w:t xml:space="preserve"> </w:t>
      </w:r>
      <w:r>
        <w:t xml:space="preserve">(71, 72)</w:t>
      </w:r>
      <w:r>
        <w:t xml:space="preserve">. The Composite Burn Index (CBI) is a metric of vegetation mortality across several vertical vegetation strata within a 30m diameter field plot</w:t>
      </w:r>
      <w:r>
        <w:t xml:space="preserve"> </w:t>
      </w:r>
      <w:r>
        <w:t xml:space="preserve">(66)</w:t>
      </w:r>
      <w:r>
        <w:t xml:space="preserve">. The CBI ranges from 0 (no fire impacts) to 3 (very high fire impacts), and has a long history of use as a standard for calibrating remotely-sensed severity data</w:t>
      </w:r>
      <w:r>
        <w:t xml:space="preserve"> </w:t>
      </w:r>
      <w:r>
        <w:t xml:space="preserve">(36, 66, 68, 69, 73–75)</w:t>
      </w:r>
      <w:r>
        <w:t xml:space="preserve">. Following</w:t>
      </w:r>
      <w:r>
        <w:t xml:space="preserve"> </w:t>
      </w:r>
      <w:r>
        <w:t xml:space="preserve">(36)</w:t>
      </w:r>
      <w:r>
        <w:t xml:space="preserve">,</w:t>
      </w:r>
      <w:r>
        <w:t xml:space="preserve"> </w:t>
      </w:r>
      <w:r>
        <w:t xml:space="preserve">(73)</w:t>
      </w:r>
      <w:r>
        <w:t xml:space="preserve">,</w:t>
      </w:r>
      <w:r>
        <w:t xml:space="preserve"> </w:t>
      </w:r>
      <w:r>
        <w:t xml:space="preserve">(69)</w:t>
      </w:r>
      <w:r>
        <w:t xml:space="preserve">, and</w:t>
      </w:r>
      <w:r>
        <w:t xml:space="preserve"> </w:t>
      </w:r>
      <w:r>
        <w:t xml:space="preserve">(68)</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(74)</w:t>
      </w:r>
      <w:r>
        <w:t xml:space="preserve">,</w:t>
      </w:r>
      <w:r>
        <w:t xml:space="preserve"> </w:t>
      </w:r>
      <w:r>
        <w:t xml:space="preserve">(69)</w:t>
      </w:r>
      <w:r>
        <w:t xml:space="preserve">, and</w:t>
      </w:r>
      <w:r>
        <w:t xml:space="preserve"> </w:t>
      </w:r>
      <w:r>
        <w:t xml:space="preserve">(68)</w:t>
      </w:r>
      <w:r>
        <w:t xml:space="preserve">, we used bilinear interpolation to extract remotely-sensed severity at the locations of the CBI field plots to better align remote and field measurements. We also extracted remotely-sensed severity values using bicubic interpolation, which produces smoother imagery but is more computationally demanding.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(76–78)</w:t>
      </w:r>
      <w:r>
        <w:t xml:space="preserve">. To compare goodness of model fits with</w:t>
      </w:r>
      <w:r>
        <w:t xml:space="preserve"> </w:t>
      </w:r>
      <w:r>
        <w:t xml:space="preserve">(36)</w:t>
      </w:r>
      <w:r>
        <w:t xml:space="preserve">,</w:t>
      </w:r>
      <w:r>
        <w:t xml:space="preserve"> </w:t>
      </w:r>
      <w:r>
        <w:t xml:space="preserve">(73)</w:t>
      </w:r>
      <w:r>
        <w:t xml:space="preserve">, and</w:t>
      </w:r>
      <w:r>
        <w:t xml:space="preserve"> </w:t>
      </w:r>
      <w:r>
        <w:t xml:space="preserve">(69)</w:t>
      </w:r>
      <w:r>
        <w:t xml:space="preserve">, we report the average R</w:t>
      </w:r>
      <w:r>
        <w:rPr>
          <w:vertAlign w:val="superscript"/>
        </w:rPr>
        <w:t xml:space="preserve">2</w:t>
      </w:r>
      <w:r>
        <w:t xml:space="preserve"> </w:t>
      </w:r>
      <w:r>
        <w:t xml:space="preserve">value from the cross validation for each of the 56 models.</w:t>
      </w:r>
    </w:p>
    <w:p>
      <w:pPr>
        <w:pStyle w:val="Heading2"/>
      </w:pPr>
      <w:bookmarkStart w:id="34" w:name="remotely-sensing-local-variability-in-forest-structure-at-broad-extents"/>
      <w:bookmarkEnd w:id="34"/>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(53, 79)</w:t>
      </w:r>
      <w:r>
        <w:t xml:space="preserve">. Within a moving square neighborhood window with sides of 90m (3x3 pixels), 150m (5x5 pixels), 210m (7x7 pixels), and 270m (9x9 pixels), we calculated forest variability for each pixel as the standard deviation of the NDVI values of its neighbors (not including itself). NDVI correlates well with foliar biomass, leaf area index, and vegetation cover</w:t>
      </w:r>
      <w:r>
        <w:t xml:space="preserve"> </w:t>
      </w:r>
      <w:r>
        <w:t xml:space="preserve">(64)</w:t>
      </w:r>
      <w:r>
        <w:t xml:space="preserve">, so a higher standard deviation of NDVI within a given local neighborhood corresponds to discontinuous canopy cover and abrupt vegetation edges (see Fig. 3)</w:t>
      </w:r>
      <w:r>
        <w:t xml:space="preserve"> </w:t>
      </w:r>
      <w:r>
        <w:t xml:space="preserve">(80)</w:t>
      </w:r>
      <w:r>
        <w:t xml:space="preserve">. Canopy cover is positively correlated with surface fuel loads including dead and down wood, grasses, and short shrubs</w:t>
      </w:r>
      <w:r>
        <w:t xml:space="preserve"> </w:t>
      </w:r>
      <w:r>
        <w:t xml:space="preserve">(81, 82)</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(83)</w:t>
      </w:r>
      <w:r>
        <w:t xml:space="preserve">.</w:t>
      </w:r>
    </w:p>
    <w:p>
      <w:pPr>
        <w:pStyle w:val="FigureWithCaption"/>
      </w:pPr>
      <w:r>
        <w:drawing>
          <wp:inline>
            <wp:extent cx="5334000" cy="2667000"/>
            <wp:effectExtent b="0" l="0" r="0" t="0"/>
            <wp:docPr descr="Fig. 3.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3. Example of homogenous forest (top row) and heterogenous forest (bottom row) with the same mean NDVI values (~0.6). Each column represents forest structural variability measured using a different neighborhood size.</w:t>
      </w:r>
    </w:p>
    <w:p>
      <w:pPr>
        <w:pStyle w:val="Heading2"/>
      </w:pPr>
      <w:bookmarkStart w:id="36" w:name="remote-sensing-other-conditions"/>
      <w:bookmarkEnd w:id="36"/>
      <w:r>
        <w:t xml:space="preserve">Remote sensing other conditions</w:t>
      </w:r>
    </w:p>
    <w:p>
      <w:pPr>
        <w:pStyle w:val="Heading3"/>
      </w:pPr>
      <w:bookmarkStart w:id="37" w:name="topographic-conditions"/>
      <w:bookmarkEnd w:id="37"/>
      <w:r>
        <w:t xml:space="preserve">Topographic conditions</w:t>
      </w:r>
    </w:p>
    <w:p>
      <w:pPr>
        <w:pStyle w:val="FirstParagraph"/>
      </w:pPr>
      <w:r>
        <w:t xml:space="preserve">Elevation data were sourced from the Shuttle Radar Topography Mission</w:t>
      </w:r>
      <w:r>
        <w:t xml:space="preserve"> </w:t>
      </w:r>
      <w:r>
        <w:t xml:space="preserve">(84)</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(85)</w:t>
      </w:r>
      <w:r>
        <w:t xml:space="preserve"> </w:t>
      </w:r>
      <w:r>
        <w:t xml:space="preserve">with correction in</w:t>
      </w:r>
      <w:r>
        <w:t xml:space="preserve"> </w:t>
      </w:r>
      <w:r>
        <w:t xml:space="preserve">(86)</w:t>
      </w:r>
      <w:r>
        <w:t xml:space="preserve">; See Supplemental Methods for equations)</w:t>
      </w:r>
    </w:p>
    <w:p>
      <w:pPr>
        <w:pStyle w:val="Heading3"/>
      </w:pPr>
      <w:bookmarkStart w:id="38" w:name="moisture-conditions"/>
      <w:bookmarkEnd w:id="38"/>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(87)</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39" w:name="remote-samples"/>
      <w:bookmarkEnd w:id="39"/>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40" w:name="modeling-the-effect-of-forest-variability-on-severity"/>
      <w:bookmarkEnd w:id="40"/>
      <w:r>
        <w:t xml:space="preserve">Modeling the effect of forest variability on severity</w:t>
      </w:r>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contrasts between these variables (e.g.,</w:t>
      </w:r>
      <w:r>
        <w:t xml:space="preserve"> </w:t>
      </w:r>
      <w:r>
        <w:t xml:space="preserve">“</w:t>
      </w:r>
      <w:r>
        <w:t xml:space="preserve">holes in the forest</w:t>
      </w:r>
      <w:r>
        <w:t xml:space="preserve">”</w:t>
      </w:r>
      <w:r>
        <w:t xml:space="preserve"> </w:t>
      </w:r>
      <w:r>
        <w:t xml:space="preserve">vs.</w:t>
      </w:r>
      <w:r>
        <w:t xml:space="preserve"> </w:t>
      </w:r>
      <w:r>
        <w:t xml:space="preserve">“</w:t>
      </w:r>
      <w:r>
        <w:t xml:space="preserve">isolated patches</w:t>
      </w:r>
      <w:r>
        <w:t xml:space="preserve">”</w:t>
      </w:r>
      <w:r>
        <w:t xml:space="preserve">;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1" w:name="assessing-the-scale-of-effect-of-forest-structure-variability"/>
      <w:bookmarkEnd w:id="41"/>
      <w:r>
        <w:t xml:space="preserve">Assessing the</w:t>
      </w:r>
      <w:r>
        <w:t xml:space="preserve"> </w:t>
      </w:r>
      <w:r>
        <w:t xml:space="preserve">“</w:t>
      </w:r>
      <w:r>
        <w:t xml:space="preserve">scale of effect</w:t>
      </w:r>
      <w:r>
        <w:t xml:space="preserve">”</w:t>
      </w:r>
      <w:r>
        <w:t xml:space="preserve"> </w:t>
      </w:r>
      <w:r>
        <w:t xml:space="preserve">of forest structure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(88)</w:t>
      </w:r>
      <w:r>
        <w:t xml:space="preserve">. We inferred that the neighborhood size window used in the best-performing model reflected the scale at which the forest structure variability effect had the most support.</w:t>
      </w:r>
    </w:p>
    <w:p>
      <w:pPr>
        <w:pStyle w:val="Heading2"/>
      </w:pPr>
      <w:bookmarkStart w:id="42" w:name="statistical-software"/>
      <w:bookmarkEnd w:id="42"/>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(89, 90)</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(90)</w:t>
      </w:r>
      <w:r>
        <w:t xml:space="preserve">.</w:t>
      </w:r>
    </w:p>
    <w:p>
      <w:pPr>
        <w:pStyle w:val="Heading2"/>
      </w:pPr>
      <w:bookmarkStart w:id="43" w:name="data-availability"/>
      <w:bookmarkEnd w:id="43"/>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4" w:name="results"/>
      <w:bookmarkEnd w:id="44"/>
      <w:r>
        <w:t xml:space="preserve">Results</w:t>
      </w:r>
    </w:p>
    <w:p>
      <w:pPr>
        <w:pStyle w:val="FirstParagraph"/>
      </w:pPr>
      <w:r>
        <w:t xml:space="preserve">We found that the remotely sensed relative burn ratio (RBR;</w:t>
      </w:r>
      <w:r>
        <w:t xml:space="preserve"> </w:t>
      </w:r>
      <w:r>
        <w:t xml:space="preserve">(69)</w:t>
      </w:r>
      <w:r>
        <w:t xml:space="preserve">)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4; Supp. Table 1). Our method to calculate remotely sensed severity using automated Landsat image fetching performs as well or better than most other reported methods that use hand-curation of Landsat imagery (see review in</w:t>
      </w:r>
      <w:r>
        <w:t xml:space="preserve"> </w:t>
      </w:r>
      <w:r>
        <w:t xml:space="preserve">(91)</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4). The top three configurations of our remotely sensed severity metric are depicted in Fig. 4.</w:t>
      </w:r>
    </w:p>
    <w:p>
      <w:pPr>
        <w:pStyle w:val="FigureWithCaption"/>
      </w:pPr>
      <w:r>
        <w:drawing>
          <wp:inline>
            <wp:extent cx="3810000" cy="2540000"/>
            <wp:effectExtent b="0" l="0" r="0" t="0"/>
            <wp:docPr descr="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4).</w:t>
      </w:r>
    </w:p>
    <w:p>
      <w:pPr>
        <w:pStyle w:val="Heading2"/>
      </w:pPr>
      <w:bookmarkStart w:id="46" w:name="scale-of-effect-of-forest-structure-variability"/>
      <w:bookmarkEnd w:id="46"/>
      <w:r>
        <w:t xml:space="preserve">Scale of effect of forest structure variability</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(88)</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(92)</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8). \DeltaLOO is the difference between a model’s LOO and the lowest LOO in a set of models (i.e., the model with the best predictive accuracy). The Bayesian R^2 is a data-based estimate of the proportion of variance explained for new data (92).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7" w:name="effects-of-prefire-vegetation-density-100-hour-fuel-moisture-potential-annual-heat-load-and-topographic-roughness-on-wildfire-severity"/>
      <w:bookmarkEnd w:id="47"/>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(See Supp. Table 2 for a summary of all parameter estimates for all models).</w:t>
      </w:r>
    </w:p>
    <w:p>
      <w:pPr>
        <w:pStyle w:val="BodyText"/>
      </w:pPr>
      <w:r>
        <w:t xml:space="preserve">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 We found no effect of local topographic roughness on wildfire severity (</w:t>
      </w:r>
      <m:oMath>
        <m:sSub>
          <m:e>
            <m:r>
              <m:t>β</m:t>
            </m:r>
          </m:e>
          <m:sub>
            <m:r>
              <m:rPr>
                <m:sty m:val="p"/>
              </m:rPr>
              <m:t>topographic_roughness</m:t>
            </m:r>
          </m:sub>
        </m:sSub>
        <m:r>
          <m:t>=</m:t>
        </m:r>
      </m:oMath>
      <w:r>
        <w:t xml:space="preserve"> </w:t>
      </w:r>
      <w:r>
        <w:t xml:space="preserve">-0.01; 95% CI: [-0.042, 0.022]).</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2"/>
      </w:pPr>
      <w:bookmarkStart w:id="49" w:name="effect-of-variability-of-vegetation-structure-on-wildfire-severity"/>
      <w:bookmarkEnd w:id="49"/>
      <w:r>
        <w:t xml:space="preserve">Effect of variability of vegetation structure on wildfire severity</w:t>
      </w:r>
    </w:p>
    <w:p>
      <w:pPr>
        <w:pStyle w:val="FirstParagraph"/>
      </w:pPr>
      <w:r>
        <w:t xml:space="preserve">From the same model, 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 of the central pixel</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0" w:name="discussion"/>
      <w:bookmarkEnd w:id="50"/>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(93)</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(94)</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1" w:name="high-severity-wildfire-in-the-context-of-ecological-resilience"/>
      <w:bookmarkEnd w:id="51"/>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(8, 95)</w:t>
      </w:r>
      <w:r>
        <w:t xml:space="preserve">. One relevant state change for assessing ecosystem resistance is the loss of its characteristic native biota</w:t>
      </w:r>
      <w:r>
        <w:t xml:space="preserve"> </w:t>
      </w:r>
      <w:r>
        <w:t xml:space="preserve">(96)</w:t>
      </w:r>
      <w:r>
        <w:t xml:space="preserve">, which could be represented as overstory tree mortality (e.g., severity) in a forested system. The same fire behavior in two different forest systems (e.g., old-growth conifer versus young conifer plantation) may have very different abilities to cause overstory mortality</w:t>
      </w:r>
      <w:r>
        <w:t xml:space="preserve"> </w:t>
      </w:r>
      <w:r>
        <w:t xml:space="preserve">(23)</w:t>
      </w:r>
      <w:r>
        <w:t xml:space="preserve">, which reflects differences in each forest’s resistance. Resistance is a key component of resilience</w:t>
      </w:r>
      <w:r>
        <w:t xml:space="preserve"> </w:t>
      </w:r>
      <w:r>
        <w:t xml:space="preserve">(8, 95)</w:t>
      </w:r>
      <w:r>
        <w:t xml:space="preserve"> </w:t>
      </w:r>
      <w:r>
        <w:t xml:space="preserve">and, in this framework, one manifestation of forest resilience is high resistance to wildfire, whereby some mechanism leads to lower severity when a fire occurs. Here, we show clear evidence that structural heterogeneity fulfills this mechanistic resistance role in dry coniferous systems (Fig. 5). This does not imply that resistance to fire is the only (or a necessary) path to resilience. For instance, high-severity fire is characteristic of other forest systems such as serotinous lodgepole pine forests in Yellowstone National Park, and is not ordinarily expected to hamper forest regeneration</w:t>
      </w:r>
      <w:r>
        <w:t xml:space="preserve"> </w:t>
      </w:r>
      <w:r>
        <w:t xml:space="preserve">(97)</w:t>
      </w:r>
      <w:r>
        <w:t xml:space="preserve">. Our inference that structural variability is a fundamental resilience mechanism in dry coniferous forests is strengthened by its large effect size and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2" w:name="factors-influencing-the-probability-of-high-severity-wildfire"/>
      <w:bookmarkEnd w:id="52"/>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(64)</w:t>
      </w:r>
      <w:r>
        <w:t xml:space="preserve"> </w:t>
      </w:r>
      <w:r>
        <w:t xml:space="preserve">which translate directly to live fuel loads in the forest canopy and can increase high-severity fire</w:t>
      </w:r>
      <w:r>
        <w:t xml:space="preserve"> </w:t>
      </w:r>
      <w:r>
        <w:t xml:space="preserve">(68)</w:t>
      </w:r>
      <w:r>
        <w:t xml:space="preserve">. Critically, overstory canopy cover and density also correlate with surface fuel loads</w:t>
      </w:r>
      <w:r>
        <w:t xml:space="preserve"> </w:t>
      </w:r>
      <w:r>
        <w:t xml:space="preserve">(81, 82)</w:t>
      </w:r>
      <w:r>
        <w:t xml:space="preserve">, which play a larger role in driving high-severity fire compared to canopy fuel loads in these forests</w:t>
      </w:r>
      <w:r>
        <w:t xml:space="preserve"> </w:t>
      </w:r>
      <w:r>
        <w:t xml:space="preserve">(83)</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(68)</w:t>
      </w:r>
      <w:r>
        <w:t xml:space="preserve">. Some work has shown that terrain ruggedness</w:t>
      </w:r>
      <w:r>
        <w:t xml:space="preserve"> </w:t>
      </w:r>
      <w:r>
        <w:t xml:space="preserve">(98)</w:t>
      </w:r>
      <w:r>
        <w:t xml:space="preserve">, and particularly coarser-scale terrain ruggedness</w:t>
      </w:r>
      <w:r>
        <w:t xml:space="preserve"> </w:t>
      </w:r>
      <w:r>
        <w:t xml:space="preserve">(99)</w:t>
      </w:r>
      <w:r>
        <w:t xml:space="preserve">, is an important predictor of wildfire severity, but we found no effect using our measure of terrain ruggedness.</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(41, 43, 100, 101)</w:t>
      </w:r>
      <w:r>
        <w:t xml:space="preserve">.</w:t>
      </w:r>
    </w:p>
    <w:p>
      <w:pPr>
        <w:pStyle w:val="Heading2"/>
      </w:pPr>
      <w:bookmarkStart w:id="53" w:name="feedback-between-forest-structural-variability-and-wildfire-severity"/>
      <w:bookmarkEnd w:id="53"/>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wildfire in dry coniferous forests generates variable forest structure</w:t>
      </w:r>
      <w:r>
        <w:t xml:space="preserve"> </w:t>
      </w:r>
      <w:r>
        <w:t xml:space="preserve">(39, 102, 103)</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(24, 37)</w:t>
      </w:r>
      <w:r>
        <w:t xml:space="preserve">. The proportion and spatial configuration of fire severity in fire-prone forests are key determinants of their long-term persistence</w:t>
      </w:r>
      <w:r>
        <w:t xml:space="preserve"> </w:t>
      </w:r>
      <w:r>
        <w:t xml:space="preserve">(24, 37)</w:t>
      </w:r>
      <w:r>
        <w:t xml:space="preserve">. Lower-severity fire or scattered patches of higher-severity fire reduce the risk of conversion to a non-forest vegetation type</w:t>
      </w:r>
      <w:r>
        <w:t xml:space="preserve"> </w:t>
      </w:r>
      <w:r>
        <w:t xml:space="preserve">(24, 104)</w:t>
      </w:r>
      <w:r>
        <w:t xml:space="preserve">, while prospects for forest regeneration are bleak when high-severity patch sizes are much larger than the natural range of variation for the system</w:t>
      </w:r>
      <w:r>
        <w:t xml:space="preserve"> </w:t>
      </w:r>
      <w:r>
        <w:t xml:space="preserve">(3, 24, 26, 30, 44, 105, 106)</w:t>
      </w:r>
      <w:r>
        <w:t xml:space="preserve">. Thus, the forest-structure-mediated feedback between past and future fire severity underlies the resilience of the Sierra Nevada yellow pine/mixed-conifer system.</w:t>
      </w:r>
    </w:p>
    <w:p>
      <w:pPr>
        <w:pStyle w:val="Heading2"/>
      </w:pPr>
      <w:bookmarkStart w:id="54" w:name="neighborhood-size"/>
      <w:bookmarkEnd w:id="54"/>
      <w:r>
        <w:t xml:space="preserve">Neighborhood size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(107)</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management actions (e.g., prescribed fire, use of wildfire under mild conditions) that reduce fuel loads and increase structural variability can be effective at reducing fire severity across broader spatial extents than their direct footprints</w:t>
      </w:r>
      <w:r>
        <w:t xml:space="preserve"> </w:t>
      </w:r>
      <w:r>
        <w:t xml:space="preserve">(43, 44, 108)</w:t>
      </w:r>
      <w:r>
        <w:t xml:space="preserve">. This may reflect that severity patterns for a whole fire represent cross-scale emergences</w:t>
      </w:r>
      <w:r>
        <w:t xml:space="preserve"> </w:t>
      </w:r>
      <w:r>
        <w:t xml:space="preserve">(93)</w:t>
      </w:r>
      <w:r>
        <w:t xml:space="preserve"> </w:t>
      </w:r>
      <w:r>
        <w:t xml:space="preserve">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(11, 109)</w:t>
      </w:r>
      <w:r>
        <w:t xml:space="preserve">, though we did not detect such an interaction.</w:t>
      </w:r>
    </w:p>
    <w:p>
      <w:pPr>
        <w:pStyle w:val="Heading2"/>
      </w:pPr>
      <w:bookmarkStart w:id="55" w:name="correlation-between-covariates-and-interactions"/>
      <w:bookmarkEnd w:id="55"/>
      <w:r>
        <w:t xml:space="preserve">Correlation between covariates and interactions</w:t>
      </w:r>
    </w:p>
    <w:p>
      <w:pPr>
        <w:pStyle w:val="FirstParagraph"/>
      </w:pPr>
      <w:r>
        <w:t xml:space="preserve">Unexpectedly, we found a strong interaction between the prefire NDVI at a pixel and its neighborhood mean NDVI on the probability of high-severity fire.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effect of vegetation density under the common scenario of prefire NDVI and neighborhood mean NDVI increasing or decreasing together:</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6" w:name="a-new-approach-to-remotely-sensing-wildfire-severity-1"/>
      <w:bookmarkEnd w:id="56"/>
      <w:r>
        <w:t xml:space="preserve">A new approach to remotely sensing wildfire severity</w:t>
      </w:r>
    </w:p>
    <w:p>
      <w:pPr>
        <w:pStyle w:val="FirstParagraph"/>
      </w:pPr>
      <w:r>
        <w:t xml:space="preserve">We developed an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(52)</w:t>
      </w:r>
      <w:r>
        <w:t xml:space="preserve">. Our programmatic assessment of wildfire severity across the 972 Sierra Nevada yellow pine/mixed-conifer fires in the FRAP perimeter database, which enabled consistent assessment of severity for a broad representation of fires including smaller events</w:t>
      </w:r>
      <w:r>
        <w:t xml:space="preserve"> </w:t>
      </w:r>
      <w:r>
        <w:t xml:space="preserve">(60)</w:t>
      </w:r>
      <w:r>
        <w:t xml:space="preserv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Many algorithms have been developed to detect fire effects on vegetation with remotely-sensed imagery in an attempt to better correspond to field data</w:t>
      </w:r>
      <w:r>
        <w:t xml:space="preserve"> </w:t>
      </w:r>
      <w:r>
        <w:t xml:space="preserve">(36, 66, 68, 69)</w:t>
      </w:r>
      <w:r>
        <w:t xml:space="preserve">. We found that many remotely-sensed measures of severity, including one based on NDVI that is infrequently deployed, validated nearly as well with ground-based data as the best configuration (RBR calculated using a 48-day time window). We echo the conclusion of</w:t>
      </w:r>
      <w:r>
        <w:t xml:space="preserve"> </w:t>
      </w:r>
      <w:r>
        <w:t xml:space="preserve">(71)</w:t>
      </w:r>
      <w:r>
        <w:t xml:space="preserve"> </w:t>
      </w:r>
      <w:r>
        <w:t xml:space="preserve">that the validation of differences between pre- and postfire NDVI to field-measured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assess wildfire severity at very high spatial resolutions.</w:t>
      </w:r>
    </w:p>
    <w:p>
      <w:pPr>
        <w:pStyle w:val="Heading2"/>
      </w:pPr>
      <w:bookmarkStart w:id="57" w:name="conclusions"/>
      <w:bookmarkEnd w:id="57"/>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58" w:name="acknowledgements"/>
      <w:bookmarkEnd w:id="58"/>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59" w:name="references"/>
      <w:bookmarkEnd w:id="59"/>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0">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:201815107.</w:t>
      </w:r>
    </w:p>
    <w:p>
      <w:pPr>
        <w:pStyle w:val="Bibliography"/>
      </w:pPr>
      <w:r>
        <w:t xml:space="preserve">26.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27.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28.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29.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30.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31.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32.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33.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34.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35. Stevens-Rumann CS, et al. (2018) Evidence for declining forest resilience to wildfires under climate change.</w:t>
      </w:r>
      <w:r>
        <w:t xml:space="preserve"> </w:t>
      </w:r>
      <w:r>
        <w:rPr>
          <w:i/>
        </w:rPr>
        <w:t xml:space="preserve">Ecology Letters</w:t>
      </w:r>
      <w:r>
        <w:t xml:space="preserve"> </w:t>
      </w:r>
      <w:r>
        <w:t xml:space="preserve">21(2):243–252.</w:t>
      </w:r>
    </w:p>
    <w:p>
      <w:pPr>
        <w:pStyle w:val="Bibliography"/>
      </w:pPr>
      <w:r>
        <w:t xml:space="preserve">36.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37.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38.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1">
        <w:r>
          <w:rPr>
            <w:rStyle w:val="Hyperlink"/>
          </w:rPr>
          <w:t xml:space="preserve">10.5751/ES-02380-130210</w:t>
        </w:r>
      </w:hyperlink>
      <w:r>
        <w:t xml:space="preserve">.</w:t>
      </w:r>
    </w:p>
    <w:p>
      <w:pPr>
        <w:pStyle w:val="Bibliography"/>
      </w:pPr>
      <w:r>
        <w:t xml:space="preserve">39.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2">
        <w:r>
          <w:rPr>
            <w:rStyle w:val="Hyperlink"/>
          </w:rPr>
          <w:t xml:space="preserve">10.2737/PSW-GTR-220</w:t>
        </w:r>
      </w:hyperlink>
      <w:r>
        <w:t xml:space="preserve">.</w:t>
      </w:r>
    </w:p>
    <w:p>
      <w:pPr>
        <w:pStyle w:val="Bibliography"/>
      </w:pPr>
      <w:r>
        <w:t xml:space="preserve">40.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41. Agee JK (1996) The influence of forest structure on fire behavior.</w:t>
      </w:r>
      <w:r>
        <w:t xml:space="preserve"> </w:t>
      </w:r>
      <w:r>
        <w:rPr>
          <w:i/>
        </w:rPr>
        <w:t xml:space="preserve">17th Forest Vegetation Management Conference</w:t>
      </w:r>
      <w:r>
        <w:t xml:space="preserve">:17.</w:t>
      </w:r>
    </w:p>
    <w:p>
      <w:pPr>
        <w:pStyle w:val="Bibliography"/>
      </w:pPr>
      <w:r>
        <w:t xml:space="preserve">42.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3">
        <w:r>
          <w:rPr>
            <w:rStyle w:val="Hyperlink"/>
          </w:rPr>
          <w:t xml:space="preserve">10.2737/RMRS-RP-29</w:t>
        </w:r>
      </w:hyperlink>
      <w:r>
        <w:t xml:space="preserve">.</w:t>
      </w:r>
    </w:p>
    <w:p>
      <w:pPr>
        <w:pStyle w:val="Bibliography"/>
      </w:pPr>
      <w:r>
        <w:t xml:space="preserve">43.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4">
        <w:r>
          <w:rPr>
            <w:rStyle w:val="Hyperlink"/>
          </w:rPr>
          <w:t xml:space="preserve">10.2737/RMRS-GTR-120</w:t>
        </w:r>
      </w:hyperlink>
      <w:r>
        <w:t xml:space="preserve">.</w:t>
      </w:r>
    </w:p>
    <w:p>
      <w:pPr>
        <w:pStyle w:val="Bibliography"/>
      </w:pPr>
      <w:r>
        <w:t xml:space="preserve">44.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45.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46.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5">
        <w:r>
          <w:rPr>
            <w:rStyle w:val="Hyperlink"/>
          </w:rPr>
          <w:t xml:space="preserve">https://nau.pure.elsevier.com/en/publications/fire-in-californias-ecosystems</w:t>
        </w:r>
      </w:hyperlink>
      <w:r>
        <w:t xml:space="preserve"> </w:t>
      </w:r>
      <w:r>
        <w:t xml:space="preserve">[Accessed April 23, 2019].</w:t>
      </w:r>
    </w:p>
    <w:p>
      <w:pPr>
        <w:pStyle w:val="Bibliography"/>
      </w:pPr>
      <w:r>
        <w:t xml:space="preserve">47.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48.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49.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50.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51.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52.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53.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54. JepsonFloraProject ed. (2016)</w:t>
      </w:r>
      <w:r>
        <w:t xml:space="preserve"> </w:t>
      </w:r>
      <w:r>
        <w:rPr>
          <w:i/>
        </w:rPr>
        <w:t xml:space="preserve">Jepson eFlora</w:t>
      </w:r>
      <w:r>
        <w:t xml:space="preserve"> </w:t>
      </w:r>
      <w:r>
        <w:t xml:space="preserve">Available at:</w:t>
      </w:r>
      <w:r>
        <w:t xml:space="preserve"> </w:t>
      </w:r>
      <w:hyperlink r:id="rId66">
        <w:r>
          <w:rPr>
            <w:rStyle w:val="Hyperlink"/>
          </w:rPr>
          <w:t xml:space="preserve">http://ucjeps.berkeley.edu/eflora/</w:t>
        </w:r>
      </w:hyperlink>
      <w:r>
        <w:t xml:space="preserve"> </w:t>
      </w:r>
      <w:r>
        <w:t xml:space="preserve">[Accessed March 7, 2016].</w:t>
      </w:r>
    </w:p>
    <w:p>
      <w:pPr>
        <w:pStyle w:val="Bibliography"/>
      </w:pPr>
      <w:r>
        <w:t xml:space="preserve">55.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56.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57.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58. USGS (2017) Landsat 8 Surface Reflectance Code (LASRC) Product Guide. 40.</w:t>
      </w:r>
    </w:p>
    <w:p>
      <w:pPr>
        <w:pStyle w:val="Bibliography"/>
      </w:pPr>
      <w:r>
        <w:t xml:space="preserve">59. USGS (2017) Landsat 4-7 Surface Reflectance (LEDAPS) Product Guide. 41.</w:t>
      </w:r>
    </w:p>
    <w:p>
      <w:pPr>
        <w:pStyle w:val="Bibliography"/>
      </w:pPr>
      <w:r>
        <w:t xml:space="preserve">60.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67">
        <w:r>
          <w:rPr>
            <w:rStyle w:val="Hyperlink"/>
          </w:rPr>
          <w:t xml:space="preserve">10.1029/2012JG002128</w:t>
        </w:r>
      </w:hyperlink>
      <w:r>
        <w:t xml:space="preserve">.</w:t>
      </w:r>
    </w:p>
    <w:p>
      <w:pPr>
        <w:pStyle w:val="Bibliography"/>
      </w:pPr>
      <w:r>
        <w:t xml:space="preserve">61.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62.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63.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64.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65.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66. Key CH, Benson NC (2006) Landscape Assessment (LA). 55.</w:t>
      </w:r>
    </w:p>
    <w:p>
      <w:pPr>
        <w:pStyle w:val="Bibliography"/>
      </w:pPr>
      <w:r>
        <w:t xml:space="preserve">67.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68.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69.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70.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71.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72. Sikkink PG, et al. (2013) Composite Burn Index (CBI) data and field photos collected for the FIRESEV project, western United States. doi:</w:t>
      </w:r>
      <w:hyperlink r:id="rId68">
        <w:r>
          <w:rPr>
            <w:rStyle w:val="Hyperlink"/>
          </w:rPr>
          <w:t xml:space="preserve">10.2737/RDS-2013-0017</w:t>
        </w:r>
      </w:hyperlink>
      <w:r>
        <w:t xml:space="preserve">.</w:t>
      </w:r>
    </w:p>
    <w:p>
      <w:pPr>
        <w:pStyle w:val="Bibliography"/>
      </w:pPr>
      <w:r>
        <w:t xml:space="preserve">73.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74.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75.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76. Wickham H (2019)</w:t>
      </w:r>
      <w:r>
        <w:t xml:space="preserve"> </w:t>
      </w:r>
      <w:r>
        <w:rPr>
          <w:i/>
        </w:rPr>
        <w:t xml:space="preserve">Modelr: Modelling Functions that Work with the Pipe</w:t>
      </w:r>
      <w:r>
        <w:t xml:space="preserve"> </w:t>
      </w:r>
      <w:r>
        <w:t xml:space="preserve">Available at:</w:t>
      </w:r>
      <w:r>
        <w:t xml:space="preserve"> </w:t>
      </w:r>
      <w:hyperlink r:id="rId69">
        <w:r>
          <w:rPr>
            <w:rStyle w:val="Hyperlink"/>
          </w:rPr>
          <w:t xml:space="preserve">https://CRAN.R-project.org/package=modelr</w:t>
        </w:r>
      </w:hyperlink>
      <w:r>
        <w:t xml:space="preserve">.</w:t>
      </w:r>
    </w:p>
    <w:p>
      <w:pPr>
        <w:pStyle w:val="Bibliography"/>
      </w:pPr>
      <w:r>
        <w:t xml:space="preserve">77. Henry L, Wickham H (2019)</w:t>
      </w:r>
      <w:r>
        <w:t xml:space="preserve"> </w:t>
      </w:r>
      <w:r>
        <w:rPr>
          <w:i/>
        </w:rPr>
        <w:t xml:space="preserve">Purrr: Functional Programming Tools</w:t>
      </w:r>
      <w:r>
        <w:t xml:space="preserve"> </w:t>
      </w:r>
      <w:r>
        <w:t xml:space="preserve">Available at:</w:t>
      </w:r>
      <w:r>
        <w:t xml:space="preserve"> </w:t>
      </w:r>
      <w:hyperlink r:id="rId70">
        <w:r>
          <w:rPr>
            <w:rStyle w:val="Hyperlink"/>
          </w:rPr>
          <w:t xml:space="preserve">https://CRAN.R-project.org/package=purrr</w:t>
        </w:r>
      </w:hyperlink>
      <w:r>
        <w:t xml:space="preserve">.</w:t>
      </w:r>
    </w:p>
    <w:p>
      <w:pPr>
        <w:pStyle w:val="Bibliography"/>
      </w:pPr>
      <w:r>
        <w:t xml:space="preserve">78.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1">
        <w:r>
          <w:rPr>
            <w:rStyle w:val="Hyperlink"/>
          </w:rPr>
          <w:t xml:space="preserve">https://www.R-project.org/</w:t>
        </w:r>
      </w:hyperlink>
      <w:r>
        <w:t xml:space="preserve">.</w:t>
      </w:r>
    </w:p>
    <w:p>
      <w:pPr>
        <w:pStyle w:val="Bibliography"/>
      </w:pPr>
      <w:r>
        <w:t xml:space="preserve">79.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80.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81.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82.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83.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84. Farr TG, et al. (2007) The Shuttle Radar Topography Mission.</w:t>
      </w:r>
      <w:r>
        <w:t xml:space="preserve"> </w:t>
      </w:r>
      <w:r>
        <w:rPr>
          <w:i/>
        </w:rPr>
        <w:t xml:space="preserve">Reviews of Geophysics</w:t>
      </w:r>
      <w:r>
        <w:t xml:space="preserve"> </w:t>
      </w:r>
      <w:r>
        <w:t xml:space="preserve">45(2). doi:</w:t>
      </w:r>
      <w:hyperlink r:id="rId72">
        <w:r>
          <w:rPr>
            <w:rStyle w:val="Hyperlink"/>
          </w:rPr>
          <w:t xml:space="preserve">10.1029/2005RG000183</w:t>
        </w:r>
      </w:hyperlink>
      <w:r>
        <w:t xml:space="preserve">.</w:t>
      </w:r>
    </w:p>
    <w:p>
      <w:pPr>
        <w:pStyle w:val="Bibliography"/>
      </w:pPr>
      <w:r>
        <w:t xml:space="preserve">85.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86.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87.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88.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89.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90.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3">
        <w:r>
          <w:rPr>
            <w:rStyle w:val="Hyperlink"/>
          </w:rPr>
          <w:t xml:space="preserve">10.18637/jss.v080.i01</w:t>
        </w:r>
      </w:hyperlink>
      <w:r>
        <w:t xml:space="preserve">.</w:t>
      </w:r>
    </w:p>
    <w:p>
      <w:pPr>
        <w:pStyle w:val="Bibliography"/>
      </w:pPr>
      <w:r>
        <w:t xml:space="preserve">91.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92. Gelman A, Goodrich B, Gabry J, Vehtari A (2018) R-squared for Bayesian regression models.</w:t>
      </w:r>
      <w:r>
        <w:t xml:space="preserve"> </w:t>
      </w:r>
      <w:r>
        <w:rPr>
          <w:i/>
        </w:rPr>
        <w:t xml:space="preserve">The American Statistician</w:t>
      </w:r>
      <w:r>
        <w:t xml:space="preserve">:1–6.</w:t>
      </w:r>
    </w:p>
    <w:p>
      <w:pPr>
        <w:pStyle w:val="Bibliography"/>
      </w:pPr>
      <w:r>
        <w:t xml:space="preserve">93.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94. Beck J, et al. (2012) What’s on the horizon for macroecology?</w:t>
      </w:r>
      <w:r>
        <w:t xml:space="preserve"> </w:t>
      </w:r>
      <w:r>
        <w:rPr>
          <w:i/>
        </w:rPr>
        <w:t xml:space="preserve">Ecography</w:t>
      </w:r>
      <w:r>
        <w:t xml:space="preserve"> </w:t>
      </w:r>
      <w:r>
        <w:t xml:space="preserve">35(8):673–683.</w:t>
      </w:r>
    </w:p>
    <w:p>
      <w:pPr>
        <w:pStyle w:val="Bibliography"/>
      </w:pPr>
      <w:r>
        <w:t xml:space="preserve">95.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96.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97.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98.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99.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100.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101.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102.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103.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104.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105. Wagtendonk JWV (2006)</w:t>
      </w:r>
      <w:r>
        <w:t xml:space="preserve"> </w:t>
      </w:r>
      <w:r>
        <w:rPr>
          <w:i/>
        </w:rPr>
        <w:t xml:space="preserve">Fire as a Physical Process</w:t>
      </w:r>
      <w:r>
        <w:t xml:space="preserve"> </w:t>
      </w:r>
      <w:r>
        <w:t xml:space="preserve">(University of California Press) Available at:</w:t>
      </w:r>
      <w:r>
        <w:t xml:space="preserve"> </w:t>
      </w:r>
      <w:hyperlink r:id="rId74">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106.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107.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108. Tubbesing CL, et al. (2019) Strategically placed landscape fuel treatments decrease fire severity and promote recovery in the northern Sierra Nevada.</w:t>
      </w:r>
      <w:r>
        <w:t xml:space="preserve"> </w:t>
      </w:r>
      <w:r>
        <w:rPr>
          <w:i/>
        </w:rPr>
        <w:t xml:space="preserve">Forest Ecology and Management</w:t>
      </w:r>
      <w:r>
        <w:t xml:space="preserve"> </w:t>
      </w:r>
      <w:r>
        <w:t xml:space="preserve">436:45–55.</w:t>
      </w:r>
    </w:p>
    <w:p>
      <w:pPr>
        <w:pStyle w:val="Bibliography"/>
      </w:pPr>
      <w:r>
        <w:t xml:space="preserve">109.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a7f2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8ded1f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3fc56d4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pdf" /><Relationship Type="http://schemas.openxmlformats.org/officeDocument/2006/relationships/image" Id="rId48" Target="media/rId48.pdf" /><Relationship Type="http://schemas.openxmlformats.org/officeDocument/2006/relationships/image" Id="rId45" Target="media/rId45.pdf" /><Relationship Type="http://schemas.openxmlformats.org/officeDocument/2006/relationships/image" Id="rId26" Target="media/rId26.pdf" /><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29" Target="http://frap.fire.ca.gov/projects/fire_data/fire_perimeters_index" TargetMode="External" /><Relationship Type="http://schemas.openxmlformats.org/officeDocument/2006/relationships/hyperlink" Id="rId66"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67" Target="https://doi.org/10.1029/2012JG002128" TargetMode="External" /><Relationship Type="http://schemas.openxmlformats.org/officeDocument/2006/relationships/hyperlink" Id="rId73" Target="https://doi.org/10.18637/jss.v080.i01" TargetMode="External" /><Relationship Type="http://schemas.openxmlformats.org/officeDocument/2006/relationships/hyperlink" Id="rId62"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4" Target="https://doi.org/10.2737/RMRS-GTR-120" TargetMode="External" /><Relationship Type="http://schemas.openxmlformats.org/officeDocument/2006/relationships/hyperlink" Id="rId63" Target="https://doi.org/10.2737/RMRS-RP-29" TargetMode="External" /><Relationship Type="http://schemas.openxmlformats.org/officeDocument/2006/relationships/hyperlink" Id="rId60" Target="https://doi.org/10.5751/ES-00650-090205" TargetMode="External" /><Relationship Type="http://schemas.openxmlformats.org/officeDocument/2006/relationships/hyperlink" Id="rId61" Target="https://doi.org/10.5751/ES-02380-130210" TargetMode="External" /><Relationship Type="http://schemas.openxmlformats.org/officeDocument/2006/relationships/hyperlink" Id="rId65"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29" Target="http://frap.fire.ca.gov/projects/fire_data/fire_perimeters_index" TargetMode="External" /><Relationship Type="http://schemas.openxmlformats.org/officeDocument/2006/relationships/hyperlink" Id="rId66"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67" Target="https://doi.org/10.1029/2012JG002128" TargetMode="External" /><Relationship Type="http://schemas.openxmlformats.org/officeDocument/2006/relationships/hyperlink" Id="rId73" Target="https://doi.org/10.18637/jss.v080.i01" TargetMode="External" /><Relationship Type="http://schemas.openxmlformats.org/officeDocument/2006/relationships/hyperlink" Id="rId62"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4" Target="https://doi.org/10.2737/RMRS-GTR-120" TargetMode="External" /><Relationship Type="http://schemas.openxmlformats.org/officeDocument/2006/relationships/hyperlink" Id="rId63" Target="https://doi.org/10.2737/RMRS-RP-29" TargetMode="External" /><Relationship Type="http://schemas.openxmlformats.org/officeDocument/2006/relationships/hyperlink" Id="rId60" Target="https://doi.org/10.5751/ES-00650-090205" TargetMode="External" /><Relationship Type="http://schemas.openxmlformats.org/officeDocument/2006/relationships/hyperlink" Id="rId61" Target="https://doi.org/10.5751/ES-02380-130210" TargetMode="External" /><Relationship Type="http://schemas.openxmlformats.org/officeDocument/2006/relationships/hyperlink" Id="rId65"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2019-07-07T01:43:20Z</dcterms:created>
  <dcterms:modified xsi:type="dcterms:W3CDTF">2019-07-07T01:43:20Z</dcterms:modified>
</cp:coreProperties>
</file>