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pplemental-information"/>
      <w:bookmarkEnd w:id="21"/>
      <w:r>
        <w:t xml:space="preserve">Supplemental Information</w:t>
      </w:r>
    </w:p>
    <w:p>
      <w:pPr>
        <w:pStyle w:val="Heading2"/>
      </w:pPr>
      <w:bookmarkStart w:id="22" w:name="supplemental-methods"/>
      <w:bookmarkEnd w:id="22"/>
      <w:r>
        <w:t xml:space="preserve">Supplemental methods</w:t>
      </w:r>
    </w:p>
    <w:p>
      <w:pPr>
        <w:pStyle w:val="FirstParagraph"/>
      </w:pPr>
      <w:r>
        <w:t xml:space="preserve">Wildfire severity typically describes the proportion of vegetation mortality resulting from fire</w:t>
      </w:r>
      <w:r>
        <w:t xml:space="preserve"> </w:t>
      </w:r>
      <w:r>
        <w:t xml:space="preserve">(1)</w:t>
      </w:r>
      <w:r>
        <w:t xml:space="preserve">, and can be measured by comparing pre- and postfire satellite imagery for a specific area</w:t>
      </w:r>
      <w:r>
        <w:t xml:space="preserve"> </w:t>
      </w:r>
      <w:r>
        <w:t xml:space="preserve">(2)</w:t>
      </w:r>
      <w:r>
        <w:t xml:space="preserve">. This usually requires considerable manual effort for image collation and processing, followed by calibration with field data</w:t>
      </w:r>
      <w:r>
        <w:t xml:space="preserve"> </w:t>
      </w:r>
      <w:r>
        <w:t xml:space="preserve">(3–11)</w:t>
      </w:r>
      <w:r>
        <w:t xml:space="preserve">. Hurculean efforts to measure severity across broad spatial extents, such as the Monitoring Trends in Burn Severity project</w:t>
      </w:r>
      <w:r>
        <w:t xml:space="preserve"> </w:t>
      </w:r>
      <w:r>
        <w:t xml:space="preserve">(12)</w:t>
      </w:r>
      <w:r>
        <w:t xml:space="preserve">, exist but often must sacrifice coverage of smaller fires which are far more common</w:t>
      </w:r>
      <w:r>
        <w:t xml:space="preserve"> </w:t>
      </w:r>
      <w:r>
        <w:t xml:space="preserve">(13)</w:t>
      </w:r>
      <w:r>
        <w:t xml:space="preserve">, may have different severity expectations compared to larger fires</w:t>
      </w:r>
      <w:r>
        <w:t xml:space="preserve"> </w:t>
      </w:r>
      <w:r>
        <w:t xml:space="preserve">(14, 15)</w:t>
      </w:r>
      <w:r>
        <w:t xml:space="preserve">, and are generally important contributors to global fire effects</w:t>
      </w:r>
      <w:r>
        <w:t xml:space="preserve"> </w:t>
      </w:r>
      <w:r>
        <w:t xml:space="preserve">(16)</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(17–20)</w:t>
      </w:r>
      <w:r>
        <w:t xml:space="preserve">, but see</w:t>
      </w:r>
      <w:r>
        <w:t xml:space="preserve"> </w:t>
      </w:r>
      <w:r>
        <w:t xml:space="preserve">(21, 22)</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3">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(20)</w:t>
      </w:r>
      <w:r>
        <w:t xml:space="preserve">).</w:t>
      </w:r>
    </w:p>
    <w:p>
      <w:pPr>
        <w:pStyle w:val="BodyText"/>
      </w:pPr>
      <w:r>
        <w:t xml:space="preserve">Vegetation characteristics can be measured using remotely-sensed imagery</w:t>
      </w:r>
      <w:r>
        <w:t xml:space="preserve"> </w:t>
      </w:r>
      <w:r>
        <w:t xml:space="preserve">(23–25)</w:t>
      </w:r>
      <w:r>
        <w:t xml:space="preserve"> </w:t>
      </w:r>
      <w:r>
        <w:t xml:space="preserve">and texture analysis of this imagery can quantify ecologically relevant local environmental heterogeneity across broad spatial extents</w:t>
      </w:r>
      <w:r>
        <w:t xml:space="preserve"> </w:t>
      </w:r>
      <w:r>
        <w:t xml:space="preserve">(26–30)</w:t>
      </w:r>
      <w:r>
        <w:t xml:space="preserve">, which may be used as a direct measure of ecosystem resilience</w:t>
      </w:r>
      <w:r>
        <w:t xml:space="preserve"> </w:t>
      </w:r>
      <w:r>
        <w:t xml:space="preserve">(31)</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(32)</w:t>
      </w:r>
      <w:r>
        <w:t xml:space="preserve">. Texture analysis of forested areas detects heterogeneity of overstory vegetation, which corresponds to fuel loading and continuity, capturing the primary influence of vegetation structure on fire behavior.</w:t>
      </w:r>
    </w:p>
    <w:p>
      <w:pPr>
        <w:pStyle w:val="BodyText"/>
      </w:pPr>
      <w:r>
        <w:t xml:space="preserve">We calibrate 56 configurations of our algorithmic approach to ground-based wildfire severity measurements, and select the best performing severity metric to generate a comprehensive, system-wide severity dataset.</w:t>
      </w:r>
    </w:p>
    <w:p>
      <w:pPr>
        <w:pStyle w:val="BodyText"/>
      </w:pPr>
      <w:r>
        <w:t xml:space="preserve">Normalized difference vegetation index (NDVI; Supplemental Equation 1) correlates with vegetation density, canopy cover, and leaf area index</w:t>
      </w:r>
      <w:r>
        <w:t xml:space="preserve"> </w:t>
      </w:r>
      <w:r>
        <w:t xml:space="preserve">(23)</w:t>
      </w:r>
      <w:r>
        <w:t xml:space="preserve">. Normalized difference moisture index (NDMI; Supplemental Equation 2) correlates with similar vegetation characteristics as NDVI, but doesn’t saturate at high levels of foliar biomass</w:t>
      </w:r>
      <w:r>
        <w:t xml:space="preserve"> </w:t>
      </w:r>
      <w:r>
        <w:t xml:space="preserve">(33)</w:t>
      </w:r>
      <w:r>
        <w:t xml:space="preserve">. Normalized burn ratio (NBR; Supplemental Equation 3) and normalized burn ratio version 2 (NBR2; Supplemental Equation 4) respond strongly to fire effects on vegetation</w:t>
      </w:r>
      <w:r>
        <w:t xml:space="preserve"> </w:t>
      </w:r>
      <w:r>
        <w:t xml:space="preserve">(2, 20, 35–37)</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calculated the delta severity indices (dNBR, dNBR2, dNDVI) by subtracting the respective postfire indices from the prefire indices (NBR, NBR2, and NDVI) without multiplying by a rescaling constant (e.g., we did not multiply the result by 1000 as in</w:t>
      </w:r>
      <w:r>
        <w:t xml:space="preserve"> </w:t>
      </w:r>
      <w:r>
        <w:t xml:space="preserve">(3)</w:t>
      </w:r>
      <w:r>
        <w:t xml:space="preserve">; Supplemental Equation 5). Following</w:t>
      </w:r>
      <w:r>
        <w:t xml:space="preserve"> </w:t>
      </w:r>
      <w:r>
        <w:t xml:space="preserve">(21)</w:t>
      </w:r>
      <w:r>
        <w:t xml:space="preserve">, we chose not to correct the delta indices using a phenological offset value (typically calculated as the delta index in homogeneous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Supplemental Equation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rPr>
          <w:b/>
        </w:rPr>
        <w:t xml:space="preserve">???</w:t>
      </w:r>
      <w:r>
        <w:t xml:space="preserve"> </w:t>
      </w:r>
      <w:r>
        <w:t xml:space="preserve">using Supplemental Equation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We used the digital elevation model to calculate the potential annual heat load (Supplemental Equation 8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w:t>
      </w:r>
      <w:r>
        <w:t xml:space="preserve"> </w:t>
      </w:r>
      <w:r>
        <w:t xml:space="preserve">(38, 39)</w:t>
      </w:r>
      <w:r>
        <w:t xml:space="preserve">:</w:t>
      </w:r>
    </w:p>
    <w:p>
      <w:pPr>
        <w:pStyle w:val="Compact"/>
        <w:numPr>
          <w:numId w:val="1005"/>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Heading2"/>
      </w:pPr>
      <w:bookmarkStart w:id="24" w:name="supplemental-figures-and-tables"/>
      <w:bookmarkEnd w:id="24"/>
      <w:r>
        <w:t xml:space="preserve">Supplemental figures and tables</w:t>
      </w:r>
    </w:p>
    <w:p>
      <w:pPr>
        <w:pStyle w:val="TableCaption"/>
      </w:pPr>
      <w:r>
        <w:t xml:space="preserve">Supplemental Table 1: Comparison of models used to validate and calibrate remotely sensed wildfire severity with ground-based composite burn index (CBI) severity sorted in descending order by the R</w:t>
      </w:r>
      <w:r>
        <w:rPr>
          <w:vertAlign w:val="superscript"/>
        </w:rPr>
        <w:t xml:space="preserve">2</w:t>
      </w:r>
      <w:r>
        <w:t xml:space="preserve"> </w:t>
      </w:r>
      <w:r>
        <w:t xml:space="preserve">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from the nonlinear model fit described in Eq. 1 are reported. For each model, the value of the remotely sensed wildfire severity measurement corresponding to the lower bounds of 3 commonly used categories of severity are reported (</w:t>
      </w:r>
      <w:r>
        <w:t xml:space="preserve">‘</w:t>
      </w:r>
      <w:r>
        <w:t xml:space="preserve">low</w:t>
      </w:r>
      <w:r>
        <w:t xml:space="preserve">’</w:t>
      </w:r>
      <w:r>
        <w:t xml:space="preserve"> </w:t>
      </w:r>
      <w:r>
        <w:t xml:space="preserve">corresponds to a CBI value of 0.1,</w:t>
      </w:r>
      <w:r>
        <w:t xml:space="preserve"> </w:t>
      </w:r>
      <w:r>
        <w:t xml:space="preserve">‘</w:t>
      </w:r>
      <w:r>
        <w:t xml:space="preserve">mod</w:t>
      </w:r>
      <w:r>
        <w:t xml:space="preserve">’</w:t>
      </w:r>
      <w:r>
        <w:t xml:space="preserve"> </w:t>
      </w:r>
      <w:r>
        <w:t xml:space="preserve">corresponds to a CBI value of 1.25, and</w:t>
      </w:r>
      <w:r>
        <w:t xml:space="preserve"> </w:t>
      </w:r>
      <w:r>
        <w:t xml:space="preserve">‘</w:t>
      </w:r>
      <w:r>
        <w:t xml:space="preserve">high</w:t>
      </w:r>
      <w:r>
        <w:t xml:space="preserve">’</w:t>
      </w:r>
      <w:r>
        <w:t xml:space="preserve"> </w:t>
      </w:r>
      <w:r>
        <w:t xml:space="preserve">corresponds to a CBI value of 2.25)</w:t>
      </w:r>
    </w:p>
    <w:tbl>
      <w:tblPr>
        <w:tblStyle w:val="TableNormal"/>
        <w:tblW w:type="pct" w:w="5000.0"/>
        <w:tblLook w:firstRow="1"/>
        <w:tblCaption w:val="Supplemental Table 1: Comparison of models used to validate and calibrate remotely sensed wildfire severity with ground-based composite burn index (CBI) severity sorted in descending order by the R2 value from a 5-fold cross validation. A total of 56 models were tested representing all possible combinations of 7 different measures of wildfire severity (RBR, dNBR, dNBR2, RdNBR, RdNBR2, dNDVI, and RdNDVI), 4 different time windows in which Landsat imagery was acquired and summarized with a median reducer on a pixel-by-pixel basis (16 days, 32 days, 48 days, and 64 days), and two different interpolation methods (bilinear and bicubic). The three parameters (\beta_0, \beta_1, and \beta_2) from the nonlinear model fit described in Eq. 1 are reported. For each model, the value of the remotely sensed wildfire severity measurement corresponding to the lower bounds of 3 commonly used categories of severity are reported (low corresponds to a CBI value of 0.1, mod corresponds to a CBI value of 1.25, and high corresponds to a CBI value of 2.25)"/>
      </w:tblPr>
      <w:tblGrid>
        <w:gridCol w:w="426"/>
        <w:gridCol w:w="1157"/>
        <w:gridCol w:w="852"/>
        <w:gridCol w:w="974"/>
        <w:gridCol w:w="852"/>
        <w:gridCol w:w="731"/>
        <w:gridCol w:w="731"/>
        <w:gridCol w:w="731"/>
        <w:gridCol w:w="487"/>
        <w:gridCol w:w="487"/>
        <w:gridCol w:w="487"/>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Severity measure</w:t>
            </w:r>
          </w:p>
        </w:tc>
        <w:tc>
          <w:tcPr>
            <w:tcBorders>
              <w:bottom w:val="single"/>
            </w:tcBorders>
            <w:vAlign w:val="bottom"/>
          </w:tcPr>
          <w:p>
            <w:pPr>
              <w:pStyle w:val="Compact"/>
              <w:jc w:val="center"/>
            </w:pPr>
            <w:r>
              <w:t xml:space="preserve">Time window</w:t>
            </w:r>
          </w:p>
        </w:tc>
        <w:tc>
          <w:tcPr>
            <w:tcBorders>
              <w:bottom w:val="single"/>
            </w:tcBorders>
            <w:vAlign w:val="bottom"/>
          </w:tcPr>
          <w:p>
            <w:pPr>
              <w:pStyle w:val="Compact"/>
              <w:jc w:val="center"/>
            </w:pPr>
            <w:r>
              <w:t xml:space="preserve">Interpolation</w:t>
            </w:r>
          </w:p>
        </w:tc>
        <w:tc>
          <w:tcPr>
            <w:tcBorders>
              <w:bottom w:val="single"/>
            </w:tcBorders>
            <w:vAlign w:val="bottom"/>
          </w:tcPr>
          <w:p>
            <w:pPr>
              <w:pStyle w:val="Compact"/>
              <w:jc w:val="center"/>
            </w:pPr>
            <w:r>
              <w:t xml:space="preserve">k-fold R</w:t>
            </w:r>
            <w:r>
              <w:rPr>
                <w:vertAlign w:val="superscript"/>
              </w:rPr>
              <w:t xml:space="preserve">2</w:t>
            </w:r>
          </w:p>
        </w:tc>
        <w:tc>
          <w:tcPr>
            <w:tcBorders>
              <w:bottom w:val="single"/>
            </w:tcBorders>
            <w:vAlign w:val="bottom"/>
          </w:tcPr>
          <w:p>
            <w:pPr>
              <w:pStyle w:val="Compact"/>
              <w:jc w:val="center"/>
            </w:pPr>
            <m:oMath>
              <m:sSub>
                <m:e>
                  <m:r>
                    <m:t>β</m:t>
                  </m:r>
                </m:e>
                <m:sub>
                  <m:r>
                    <m:t>0</m:t>
                  </m:r>
                </m:sub>
              </m:sSub>
            </m:oMath>
          </w:p>
        </w:tc>
        <w:tc>
          <w:tcPr>
            <w:tcBorders>
              <w:bottom w:val="single"/>
            </w:tcBorders>
            <w:vAlign w:val="bottom"/>
          </w:tcPr>
          <w:p>
            <w:pPr>
              <w:pStyle w:val="Compact"/>
              <w:jc w:val="center"/>
            </w:pPr>
            <m:oMath>
              <m:sSub>
                <m:e>
                  <m:r>
                    <m:t>β</m:t>
                  </m:r>
                </m:e>
                <m:sub>
                  <m:r>
                    <m:t>1</m:t>
                  </m:r>
                </m:sub>
              </m:sSub>
            </m:oMath>
          </w:p>
        </w:tc>
        <w:tc>
          <w:tcPr>
            <w:tcBorders>
              <w:bottom w:val="single"/>
            </w:tcBorders>
            <w:vAlign w:val="bottom"/>
          </w:tcPr>
          <w:p>
            <w:pPr>
              <w:pStyle w:val="Compact"/>
              <w:jc w:val="center"/>
            </w:pPr>
            <m:oMath>
              <m:sSub>
                <m:e>
                  <m:r>
                    <m:t>β</m:t>
                  </m:r>
                </m:e>
                <m:sub>
                  <m:r>
                    <m:t>2</m:t>
                  </m:r>
                </m:sub>
              </m:sSub>
            </m:oMath>
          </w:p>
        </w:tc>
        <w:tc>
          <w:tcPr>
            <w:tcBorders>
              <w:bottom w:val="single"/>
            </w:tcBorders>
            <w:vAlign w:val="bottom"/>
          </w:tcPr>
          <w:p>
            <w:pPr>
              <w:pStyle w:val="Compact"/>
              <w:jc w:val="center"/>
            </w:pPr>
            <w:r>
              <w:t xml:space="preserve">low</w:t>
            </w:r>
          </w:p>
        </w:tc>
        <w:tc>
          <w:tcPr>
            <w:tcBorders>
              <w:bottom w:val="single"/>
            </w:tcBorders>
            <w:vAlign w:val="bottom"/>
          </w:tcPr>
          <w:p>
            <w:pPr>
              <w:pStyle w:val="Compact"/>
              <w:jc w:val="center"/>
            </w:pPr>
            <w:r>
              <w:t xml:space="preserve">mod</w:t>
            </w:r>
          </w:p>
        </w:tc>
        <w:tc>
          <w:tcPr>
            <w:tcBorders>
              <w:bottom w:val="single"/>
            </w:tcBorders>
            <w:vAlign w:val="bottom"/>
          </w:tcPr>
          <w:p>
            <w:pPr>
              <w:pStyle w:val="Compact"/>
              <w:jc w:val="center"/>
            </w:pPr>
            <w:r>
              <w:t xml:space="preserve">high</w:t>
            </w:r>
          </w:p>
        </w:tc>
      </w:tr>
      <w:tr>
        <w:tc>
          <w:p>
            <w:pPr>
              <w:pStyle w:val="Compact"/>
              <w:jc w:val="center"/>
            </w:pPr>
            <w:r>
              <w:t xml:space="preserve">1</w:t>
            </w:r>
          </w:p>
        </w:tc>
        <w:tc>
          <w:p>
            <w:pPr>
              <w:pStyle w:val="Compact"/>
              <w:jc w:val="center"/>
            </w:pPr>
            <w:r>
              <w:t xml:space="preserve">RBR</w:t>
            </w:r>
          </w:p>
        </w:tc>
        <w:tc>
          <w:p>
            <w:pPr>
              <w:pStyle w:val="Compact"/>
              <w:jc w:val="center"/>
            </w:pPr>
            <w:r>
              <w:t xml:space="preserve">48</w:t>
            </w:r>
          </w:p>
        </w:tc>
        <w:tc>
          <w:p>
            <w:pPr>
              <w:pStyle w:val="Compact"/>
              <w:jc w:val="center"/>
            </w:pPr>
            <w:r>
              <w:t xml:space="preserve">bicubic</w:t>
            </w:r>
          </w:p>
        </w:tc>
        <w:tc>
          <w:p>
            <w:pPr>
              <w:pStyle w:val="Compact"/>
              <w:jc w:val="center"/>
            </w:pPr>
            <w:r>
              <w:t xml:space="preserve">0.82</w:t>
            </w:r>
          </w:p>
        </w:tc>
        <w:tc>
          <w:p>
            <w:pPr>
              <w:pStyle w:val="Compact"/>
              <w:jc w:val="center"/>
            </w:pPr>
            <w:r>
              <w:t xml:space="preserve">0.014</w:t>
            </w:r>
          </w:p>
        </w:tc>
        <w:tc>
          <w:p>
            <w:pPr>
              <w:pStyle w:val="Compact"/>
              <w:jc w:val="center"/>
            </w:pPr>
            <w:r>
              <w:t xml:space="preserve">0.028</w:t>
            </w:r>
          </w:p>
        </w:tc>
        <w:tc>
          <w:p>
            <w:pPr>
              <w:pStyle w:val="Compact"/>
              <w:jc w:val="center"/>
            </w:pPr>
            <w:r>
              <w:t xml:space="preserve">1.001</w:t>
            </w:r>
          </w:p>
        </w:tc>
        <w:tc>
          <w:p>
            <w:pPr>
              <w:pStyle w:val="Compact"/>
              <w:jc w:val="center"/>
            </w:pPr>
            <w:r>
              <w:t xml:space="preserve">0.045</w:t>
            </w:r>
          </w:p>
        </w:tc>
        <w:tc>
          <w:p>
            <w:pPr>
              <w:pStyle w:val="Compact"/>
              <w:jc w:val="center"/>
            </w:pPr>
            <w:r>
              <w:t xml:space="preserve">0.113</w:t>
            </w:r>
          </w:p>
        </w:tc>
        <w:tc>
          <w:p>
            <w:pPr>
              <w:pStyle w:val="Compact"/>
              <w:jc w:val="center"/>
            </w:pPr>
            <w:r>
              <w:t xml:space="preserve">0.282</w:t>
            </w:r>
          </w:p>
        </w:tc>
      </w:tr>
      <w:tr>
        <w:tc>
          <w:p>
            <w:pPr>
              <w:pStyle w:val="Compact"/>
              <w:jc w:val="center"/>
            </w:pPr>
            <w:r>
              <w:t xml:space="preserve">2</w:t>
            </w:r>
          </w:p>
        </w:tc>
        <w:tc>
          <w:p>
            <w:pPr>
              <w:pStyle w:val="Compact"/>
              <w:jc w:val="center"/>
            </w:pPr>
            <w:r>
              <w:t xml:space="preserve">RdNBR</w:t>
            </w:r>
          </w:p>
        </w:tc>
        <w:tc>
          <w:p>
            <w:pPr>
              <w:pStyle w:val="Compact"/>
              <w:jc w:val="center"/>
            </w:pPr>
            <w:r>
              <w:t xml:space="preserve">32</w:t>
            </w:r>
          </w:p>
        </w:tc>
        <w:tc>
          <w:p>
            <w:pPr>
              <w:pStyle w:val="Compact"/>
              <w:jc w:val="center"/>
            </w:pPr>
            <w:r>
              <w:t xml:space="preserve">bilinear</w:t>
            </w:r>
          </w:p>
        </w:tc>
        <w:tc>
          <w:p>
            <w:pPr>
              <w:pStyle w:val="Compact"/>
              <w:jc w:val="center"/>
            </w:pPr>
            <w:r>
              <w:t xml:space="preserve">0.813</w:t>
            </w:r>
          </w:p>
        </w:tc>
        <w:tc>
          <w:p>
            <w:pPr>
              <w:pStyle w:val="Compact"/>
              <w:jc w:val="center"/>
            </w:pPr>
            <w:r>
              <w:t xml:space="preserve">-0.483</w:t>
            </w:r>
          </w:p>
        </w:tc>
        <w:tc>
          <w:p>
            <w:pPr>
              <w:pStyle w:val="Compact"/>
              <w:jc w:val="center"/>
            </w:pPr>
            <w:r>
              <w:t xml:space="preserve">3.061</w:t>
            </w:r>
          </w:p>
        </w:tc>
        <w:tc>
          <w:p>
            <w:pPr>
              <w:pStyle w:val="Compact"/>
              <w:jc w:val="center"/>
            </w:pPr>
            <w:r>
              <w:t xml:space="preserve">0.857</w:t>
            </w:r>
          </w:p>
        </w:tc>
        <w:tc>
          <w:p>
            <w:pPr>
              <w:pStyle w:val="Compact"/>
              <w:jc w:val="center"/>
            </w:pPr>
            <w:r>
              <w:t xml:space="preserve">2.852</w:t>
            </w:r>
          </w:p>
        </w:tc>
        <w:tc>
          <w:p>
            <w:pPr>
              <w:pStyle w:val="Compact"/>
              <w:jc w:val="center"/>
            </w:pPr>
            <w:r>
              <w:t xml:space="preserve">8.45</w:t>
            </w:r>
          </w:p>
        </w:tc>
        <w:tc>
          <w:p>
            <w:pPr>
              <w:pStyle w:val="Compact"/>
              <w:jc w:val="center"/>
            </w:pPr>
            <w:r>
              <w:t xml:space="preserve">20.56</w:t>
            </w:r>
          </w:p>
        </w:tc>
      </w:tr>
      <w:tr>
        <w:tc>
          <w:p>
            <w:pPr>
              <w:pStyle w:val="Compact"/>
              <w:jc w:val="center"/>
            </w:pPr>
            <w:r>
              <w:t xml:space="preserve">3</w:t>
            </w:r>
          </w:p>
        </w:tc>
        <w:tc>
          <w:p>
            <w:pPr>
              <w:pStyle w:val="Compact"/>
              <w:jc w:val="center"/>
            </w:pPr>
            <w:r>
              <w:t xml:space="preserve">RdNDVI</w:t>
            </w:r>
          </w:p>
        </w:tc>
        <w:tc>
          <w:p>
            <w:pPr>
              <w:pStyle w:val="Compact"/>
              <w:jc w:val="center"/>
            </w:pPr>
            <w:r>
              <w:t xml:space="preserve">48</w:t>
            </w:r>
          </w:p>
        </w:tc>
        <w:tc>
          <w:p>
            <w:pPr>
              <w:pStyle w:val="Compact"/>
              <w:jc w:val="center"/>
            </w:pPr>
            <w:r>
              <w:t xml:space="preserve">bilinear</w:t>
            </w:r>
          </w:p>
        </w:tc>
        <w:tc>
          <w:p>
            <w:pPr>
              <w:pStyle w:val="Compact"/>
              <w:jc w:val="center"/>
            </w:pPr>
            <w:r>
              <w:t xml:space="preserve">0.809</w:t>
            </w:r>
          </w:p>
        </w:tc>
        <w:tc>
          <w:p>
            <w:pPr>
              <w:pStyle w:val="Compact"/>
              <w:jc w:val="center"/>
            </w:pPr>
            <w:r>
              <w:t xml:space="preserve">-2.144</w:t>
            </w:r>
          </w:p>
        </w:tc>
        <w:tc>
          <w:p>
            <w:pPr>
              <w:pStyle w:val="Compact"/>
              <w:jc w:val="center"/>
            </w:pPr>
            <w:r>
              <w:t xml:space="preserve">3.273</w:t>
            </w:r>
          </w:p>
        </w:tc>
        <w:tc>
          <w:p>
            <w:pPr>
              <w:pStyle w:val="Compact"/>
              <w:jc w:val="center"/>
            </w:pPr>
            <w:r>
              <w:t xml:space="preserve">0.609</w:t>
            </w:r>
          </w:p>
        </w:tc>
        <w:tc>
          <w:p>
            <w:pPr>
              <w:pStyle w:val="Compact"/>
              <w:jc w:val="center"/>
            </w:pPr>
            <w:r>
              <w:t xml:space="preserve">1.335</w:t>
            </w:r>
          </w:p>
        </w:tc>
        <w:tc>
          <w:p>
            <w:pPr>
              <w:pStyle w:val="Compact"/>
              <w:jc w:val="center"/>
            </w:pPr>
            <w:r>
              <w:t xml:space="preserve">4.867</w:t>
            </w:r>
          </w:p>
        </w:tc>
        <w:tc>
          <w:p>
            <w:pPr>
              <w:pStyle w:val="Compact"/>
              <w:jc w:val="center"/>
            </w:pPr>
            <w:r>
              <w:t xml:space="preserve">10.75</w:t>
            </w:r>
          </w:p>
        </w:tc>
      </w:tr>
      <w:tr>
        <w:tc>
          <w:p>
            <w:pPr>
              <w:pStyle w:val="Compact"/>
              <w:jc w:val="center"/>
            </w:pPr>
            <w:r>
              <w:t xml:space="preserve">4</w:t>
            </w:r>
          </w:p>
        </w:tc>
        <w:tc>
          <w:p>
            <w:pPr>
              <w:pStyle w:val="Compact"/>
              <w:jc w:val="center"/>
            </w:pPr>
            <w:r>
              <w:t xml:space="preserve">RBR</w:t>
            </w:r>
          </w:p>
        </w:tc>
        <w:tc>
          <w:p>
            <w:pPr>
              <w:pStyle w:val="Compact"/>
              <w:jc w:val="center"/>
            </w:pPr>
            <w:r>
              <w:t xml:space="preserve">32</w:t>
            </w:r>
          </w:p>
        </w:tc>
        <w:tc>
          <w:p>
            <w:pPr>
              <w:pStyle w:val="Compact"/>
              <w:jc w:val="center"/>
            </w:pPr>
            <w:r>
              <w:t xml:space="preserve">bilinear</w:t>
            </w:r>
          </w:p>
        </w:tc>
        <w:tc>
          <w:p>
            <w:pPr>
              <w:pStyle w:val="Compact"/>
              <w:jc w:val="center"/>
            </w:pPr>
            <w:r>
              <w:t xml:space="preserve">0.807</w:t>
            </w:r>
          </w:p>
        </w:tc>
        <w:tc>
          <w:p>
            <w:pPr>
              <w:pStyle w:val="Compact"/>
              <w:jc w:val="center"/>
            </w:pPr>
            <w:r>
              <w:t xml:space="preserve">0.014</w:t>
            </w:r>
          </w:p>
        </w:tc>
        <w:tc>
          <w:p>
            <w:pPr>
              <w:pStyle w:val="Compact"/>
              <w:jc w:val="center"/>
            </w:pPr>
            <w:r>
              <w:t xml:space="preserve">0.029</w:t>
            </w:r>
          </w:p>
        </w:tc>
        <w:tc>
          <w:p>
            <w:pPr>
              <w:pStyle w:val="Compact"/>
              <w:jc w:val="center"/>
            </w:pPr>
            <w:r>
              <w:t xml:space="preserve">0.985</w:t>
            </w:r>
          </w:p>
        </w:tc>
        <w:tc>
          <w:p>
            <w:pPr>
              <w:pStyle w:val="Compact"/>
              <w:jc w:val="center"/>
            </w:pPr>
            <w:r>
              <w:t xml:space="preserve">0.046</w:t>
            </w:r>
          </w:p>
        </w:tc>
        <w:tc>
          <w:p>
            <w:pPr>
              <w:pStyle w:val="Compact"/>
              <w:jc w:val="center"/>
            </w:pPr>
            <w:r>
              <w:t xml:space="preserve">0.113</w:t>
            </w:r>
          </w:p>
        </w:tc>
        <w:tc>
          <w:p>
            <w:pPr>
              <w:pStyle w:val="Compact"/>
              <w:jc w:val="center"/>
            </w:pPr>
            <w:r>
              <w:t xml:space="preserve">0.28</w:t>
            </w:r>
          </w:p>
        </w:tc>
      </w:tr>
      <w:tr>
        <w:tc>
          <w:p>
            <w:pPr>
              <w:pStyle w:val="Compact"/>
              <w:jc w:val="center"/>
            </w:pPr>
            <w:r>
              <w:t xml:space="preserve">5</w:t>
            </w:r>
          </w:p>
        </w:tc>
        <w:tc>
          <w:p>
            <w:pPr>
              <w:pStyle w:val="Compact"/>
              <w:jc w:val="center"/>
            </w:pPr>
            <w:r>
              <w:t xml:space="preserve">RdNDVI</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-2.524</w:t>
            </w:r>
          </w:p>
        </w:tc>
        <w:tc>
          <w:p>
            <w:pPr>
              <w:pStyle w:val="Compact"/>
              <w:jc w:val="center"/>
            </w:pPr>
            <w:r>
              <w:t xml:space="preserve">3.57</w:t>
            </w:r>
          </w:p>
        </w:tc>
        <w:tc>
          <w:p>
            <w:pPr>
              <w:pStyle w:val="Compact"/>
              <w:jc w:val="center"/>
            </w:pPr>
            <w:r>
              <w:t xml:space="preserve">0.59</w:t>
            </w:r>
          </w:p>
        </w:tc>
        <w:tc>
          <w:p>
            <w:pPr>
              <w:pStyle w:val="Compact"/>
              <w:jc w:val="center"/>
            </w:pPr>
            <w:r>
              <w:t xml:space="preserve">1.263</w:t>
            </w:r>
          </w:p>
        </w:tc>
        <w:tc>
          <w:p>
            <w:pPr>
              <w:pStyle w:val="Compact"/>
              <w:jc w:val="center"/>
            </w:pPr>
            <w:r>
              <w:t xml:space="preserve">4.936</w:t>
            </w:r>
          </w:p>
        </w:tc>
        <w:tc>
          <w:p>
            <w:pPr>
              <w:pStyle w:val="Compact"/>
              <w:jc w:val="center"/>
            </w:pPr>
            <w:r>
              <w:t xml:space="preserve">10.93</w:t>
            </w:r>
          </w:p>
        </w:tc>
      </w:tr>
      <w:tr>
        <w:tc>
          <w:p>
            <w:pPr>
              <w:pStyle w:val="Compact"/>
              <w:jc w:val="center"/>
            </w:pPr>
            <w:r>
              <w:t xml:space="preserve">6</w:t>
            </w:r>
          </w:p>
        </w:tc>
        <w:tc>
          <w:p>
            <w:pPr>
              <w:pStyle w:val="Compact"/>
              <w:jc w:val="center"/>
            </w:pPr>
            <w:r>
              <w:t xml:space="preserve">RBR</w:t>
            </w:r>
          </w:p>
        </w:tc>
        <w:tc>
          <w:p>
            <w:pPr>
              <w:pStyle w:val="Compact"/>
              <w:jc w:val="center"/>
            </w:pPr>
            <w:r>
              <w:t xml:space="preserve">64</w:t>
            </w:r>
          </w:p>
        </w:tc>
        <w:tc>
          <w:p>
            <w:pPr>
              <w:pStyle w:val="Compact"/>
              <w:jc w:val="center"/>
            </w:pPr>
            <w:r>
              <w:t xml:space="preserve">bicubic</w:t>
            </w:r>
          </w:p>
        </w:tc>
        <w:tc>
          <w:p>
            <w:pPr>
              <w:pStyle w:val="Compact"/>
              <w:jc w:val="center"/>
            </w:pPr>
            <w:r>
              <w:t xml:space="preserve">0.805</w:t>
            </w:r>
          </w:p>
        </w:tc>
        <w:tc>
          <w:p>
            <w:pPr>
              <w:pStyle w:val="Compact"/>
              <w:jc w:val="center"/>
            </w:pPr>
            <w:r>
              <w:t xml:space="preserve">0.016</w:t>
            </w:r>
          </w:p>
        </w:tc>
        <w:tc>
          <w:p>
            <w:pPr>
              <w:pStyle w:val="Compact"/>
              <w:jc w:val="center"/>
            </w:pPr>
            <w:r>
              <w:t xml:space="preserve">0.027</w:t>
            </w:r>
          </w:p>
        </w:tc>
        <w:tc>
          <w:p>
            <w:pPr>
              <w:pStyle w:val="Compact"/>
              <w:jc w:val="center"/>
            </w:pPr>
            <w:r>
              <w:t xml:space="preserve">1.01</w:t>
            </w:r>
          </w:p>
        </w:tc>
        <w:tc>
          <w:p>
            <w:pPr>
              <w:pStyle w:val="Compact"/>
              <w:jc w:val="center"/>
            </w:pPr>
            <w:r>
              <w:t xml:space="preserve">0.046</w:t>
            </w:r>
          </w:p>
        </w:tc>
        <w:tc>
          <w:p>
            <w:pPr>
              <w:pStyle w:val="Compact"/>
              <w:jc w:val="center"/>
            </w:pPr>
            <w:r>
              <w:t xml:space="preserve">0.113</w:t>
            </w:r>
          </w:p>
        </w:tc>
        <w:tc>
          <w:p>
            <w:pPr>
              <w:pStyle w:val="Compact"/>
              <w:jc w:val="center"/>
            </w:pPr>
            <w:r>
              <w:t xml:space="preserve">0.283</w:t>
            </w:r>
          </w:p>
        </w:tc>
      </w:tr>
      <w:tr>
        <w:tc>
          <w:p>
            <w:pPr>
              <w:pStyle w:val="Compact"/>
              <w:jc w:val="center"/>
            </w:pPr>
            <w:r>
              <w:t xml:space="preserve">7</w:t>
            </w:r>
          </w:p>
        </w:tc>
        <w:tc>
          <w:p>
            <w:pPr>
              <w:pStyle w:val="Compact"/>
              <w:jc w:val="center"/>
            </w:pPr>
            <w:r>
              <w:t xml:space="preserve">RdNDVI</w:t>
            </w:r>
          </w:p>
        </w:tc>
        <w:tc>
          <w:p>
            <w:pPr>
              <w:pStyle w:val="Compact"/>
              <w:jc w:val="center"/>
            </w:pPr>
            <w:r>
              <w:t xml:space="preserve">32</w:t>
            </w:r>
          </w:p>
        </w:tc>
        <w:tc>
          <w:p>
            <w:pPr>
              <w:pStyle w:val="Compact"/>
              <w:jc w:val="center"/>
            </w:pPr>
            <w:r>
              <w:t xml:space="preserve">bicubic</w:t>
            </w:r>
          </w:p>
        </w:tc>
        <w:tc>
          <w:p>
            <w:pPr>
              <w:pStyle w:val="Compact"/>
              <w:jc w:val="center"/>
            </w:pPr>
            <w:r>
              <w:t xml:space="preserve">0.803</w:t>
            </w:r>
          </w:p>
        </w:tc>
        <w:tc>
          <w:p>
            <w:pPr>
              <w:pStyle w:val="Compact"/>
              <w:jc w:val="center"/>
            </w:pPr>
            <w:r>
              <w:t xml:space="preserve">-2.737</w:t>
            </w:r>
          </w:p>
        </w:tc>
        <w:tc>
          <w:p>
            <w:pPr>
              <w:pStyle w:val="Compact"/>
              <w:jc w:val="center"/>
            </w:pPr>
            <w:r>
              <w:t xml:space="preserve">3.308</w:t>
            </w:r>
          </w:p>
        </w:tc>
        <w:tc>
          <w:p>
            <w:pPr>
              <w:pStyle w:val="Compact"/>
              <w:jc w:val="center"/>
            </w:pPr>
            <w:r>
              <w:t xml:space="preserve">0.619</w:t>
            </w:r>
          </w:p>
        </w:tc>
        <w:tc>
          <w:p>
            <w:pPr>
              <w:pStyle w:val="Compact"/>
              <w:jc w:val="center"/>
            </w:pPr>
            <w:r>
              <w:t xml:space="preserve">0.782</w:t>
            </w:r>
          </w:p>
        </w:tc>
        <w:tc>
          <w:p>
            <w:pPr>
              <w:pStyle w:val="Compact"/>
              <w:jc w:val="center"/>
            </w:pPr>
            <w:r>
              <w:t xml:space="preserve">4.436</w:t>
            </w:r>
          </w:p>
        </w:tc>
        <w:tc>
          <w:p>
            <w:pPr>
              <w:pStyle w:val="Compact"/>
              <w:jc w:val="center"/>
            </w:pPr>
            <w:r>
              <w:t xml:space="preserve">10.59</w:t>
            </w:r>
          </w:p>
        </w:tc>
      </w:tr>
      <w:tr>
        <w:tc>
          <w:p>
            <w:pPr>
              <w:pStyle w:val="Compact"/>
              <w:jc w:val="center"/>
            </w:pPr>
            <w:r>
              <w:t xml:space="preserve">8</w:t>
            </w:r>
          </w:p>
        </w:tc>
        <w:tc>
          <w:p>
            <w:pPr>
              <w:pStyle w:val="Compact"/>
              <w:jc w:val="center"/>
            </w:pPr>
            <w:r>
              <w:t xml:space="preserve">RBR</w:t>
            </w:r>
          </w:p>
        </w:tc>
        <w:tc>
          <w:p>
            <w:pPr>
              <w:pStyle w:val="Compact"/>
              <w:jc w:val="center"/>
            </w:pPr>
            <w:r>
              <w:t xml:space="preserve">64</w:t>
            </w:r>
          </w:p>
        </w:tc>
        <w:tc>
          <w:p>
            <w:pPr>
              <w:pStyle w:val="Compact"/>
              <w:jc w:val="center"/>
            </w:pPr>
            <w:r>
              <w:t xml:space="preserve">bilinear</w:t>
            </w:r>
          </w:p>
        </w:tc>
        <w:tc>
          <w:p>
            <w:pPr>
              <w:pStyle w:val="Compact"/>
              <w:jc w:val="center"/>
            </w:pPr>
            <w:r>
              <w:t xml:space="preserve">0.802</w:t>
            </w:r>
          </w:p>
        </w:tc>
        <w:tc>
          <w:p>
            <w:pPr>
              <w:pStyle w:val="Compact"/>
              <w:jc w:val="center"/>
            </w:pPr>
            <w:r>
              <w:t xml:space="preserve">0.017</w:t>
            </w:r>
          </w:p>
        </w:tc>
        <w:tc>
          <w:p>
            <w:pPr>
              <w:pStyle w:val="Compact"/>
              <w:jc w:val="center"/>
            </w:pPr>
            <w:r>
              <w:t xml:space="preserve">0.027</w:t>
            </w:r>
          </w:p>
        </w:tc>
        <w:tc>
          <w:p>
            <w:pPr>
              <w:pStyle w:val="Compact"/>
              <w:jc w:val="center"/>
            </w:pPr>
            <w:r>
              <w:t xml:space="preserve">1.003</w:t>
            </w:r>
          </w:p>
        </w:tc>
        <w:tc>
          <w:p>
            <w:pPr>
              <w:pStyle w:val="Compact"/>
              <w:jc w:val="center"/>
            </w:pPr>
            <w:r>
              <w:t xml:space="preserve">0.047</w:t>
            </w:r>
          </w:p>
        </w:tc>
        <w:tc>
          <w:p>
            <w:pPr>
              <w:pStyle w:val="Compact"/>
              <w:jc w:val="center"/>
            </w:pPr>
            <w:r>
              <w:t xml:space="preserve">0.113</w:t>
            </w:r>
          </w:p>
        </w:tc>
        <w:tc>
          <w:p>
            <w:pPr>
              <w:pStyle w:val="Compact"/>
              <w:jc w:val="center"/>
            </w:pPr>
            <w:r>
              <w:t xml:space="preserve">0.279</w:t>
            </w:r>
          </w:p>
        </w:tc>
      </w:tr>
      <w:tr>
        <w:tc>
          <w:p>
            <w:pPr>
              <w:pStyle w:val="Compact"/>
              <w:jc w:val="center"/>
            </w:pPr>
            <w:r>
              <w:t xml:space="preserve">9</w:t>
            </w:r>
          </w:p>
        </w:tc>
        <w:tc>
          <w:p>
            <w:pPr>
              <w:pStyle w:val="Compact"/>
              <w:jc w:val="center"/>
            </w:pPr>
            <w:r>
              <w:t xml:space="preserve">RdNDVI</w:t>
            </w:r>
          </w:p>
        </w:tc>
        <w:tc>
          <w:p>
            <w:pPr>
              <w:pStyle w:val="Compact"/>
              <w:jc w:val="center"/>
            </w:pPr>
            <w:r>
              <w:t xml:space="preserve">32</w:t>
            </w:r>
          </w:p>
        </w:tc>
        <w:tc>
          <w:p>
            <w:pPr>
              <w:pStyle w:val="Compact"/>
              <w:jc w:val="center"/>
            </w:pPr>
            <w:r>
              <w:t xml:space="preserve">bilinear</w:t>
            </w:r>
          </w:p>
        </w:tc>
        <w:tc>
          <w:p>
            <w:pPr>
              <w:pStyle w:val="Compact"/>
              <w:jc w:val="center"/>
            </w:pPr>
            <w:r>
              <w:t xml:space="preserve">0.801</w:t>
            </w:r>
          </w:p>
        </w:tc>
        <w:tc>
          <w:p>
            <w:pPr>
              <w:pStyle w:val="Compact"/>
              <w:jc w:val="center"/>
            </w:pPr>
            <w:r>
              <w:t xml:space="preserve">-2.531</w:t>
            </w:r>
          </w:p>
        </w:tc>
        <w:tc>
          <w:p>
            <w:pPr>
              <w:pStyle w:val="Compact"/>
              <w:jc w:val="center"/>
            </w:pPr>
            <w:r>
              <w:t xml:space="preserve">3.176</w:t>
            </w:r>
          </w:p>
        </w:tc>
        <w:tc>
          <w:p>
            <w:pPr>
              <w:pStyle w:val="Compact"/>
              <w:jc w:val="center"/>
            </w:pPr>
            <w:r>
              <w:t xml:space="preserve">0.624</w:t>
            </w:r>
          </w:p>
        </w:tc>
        <w:tc>
          <w:p>
            <w:pPr>
              <w:pStyle w:val="Compact"/>
              <w:jc w:val="center"/>
            </w:pPr>
            <w:r>
              <w:t xml:space="preserve">0.849</w:t>
            </w:r>
          </w:p>
        </w:tc>
        <w:tc>
          <w:p>
            <w:pPr>
              <w:pStyle w:val="Compact"/>
              <w:jc w:val="center"/>
            </w:pPr>
            <w:r>
              <w:t xml:space="preserve">4.393</w:t>
            </w:r>
          </w:p>
        </w:tc>
        <w:tc>
          <w:p>
            <w:pPr>
              <w:pStyle w:val="Compact"/>
              <w:jc w:val="center"/>
            </w:pPr>
            <w:r>
              <w:t xml:space="preserve">10.39</w:t>
            </w:r>
          </w:p>
        </w:tc>
      </w:tr>
      <w:tr>
        <w:tc>
          <w:p>
            <w:pPr>
              <w:pStyle w:val="Compact"/>
              <w:jc w:val="center"/>
            </w:pPr>
            <w:r>
              <w:t xml:space="preserve">10</w:t>
            </w:r>
          </w:p>
        </w:tc>
        <w:tc>
          <w:p>
            <w:pPr>
              <w:pStyle w:val="Compact"/>
              <w:jc w:val="center"/>
            </w:pPr>
            <w:r>
              <w:t xml:space="preserve">RdNDVI</w:t>
            </w:r>
          </w:p>
        </w:tc>
        <w:tc>
          <w:p>
            <w:pPr>
              <w:pStyle w:val="Compact"/>
              <w:jc w:val="center"/>
            </w:pPr>
            <w:r>
              <w:t xml:space="preserve">48</w:t>
            </w:r>
          </w:p>
        </w:tc>
        <w:tc>
          <w:p>
            <w:pPr>
              <w:pStyle w:val="Compact"/>
              <w:jc w:val="center"/>
            </w:pPr>
            <w:r>
              <w:t xml:space="preserve">bicubic</w:t>
            </w:r>
          </w:p>
        </w:tc>
        <w:tc>
          <w:p>
            <w:pPr>
              <w:pStyle w:val="Compact"/>
              <w:jc w:val="center"/>
            </w:pPr>
            <w:r>
              <w:t xml:space="preserve">0.797</w:t>
            </w:r>
          </w:p>
        </w:tc>
        <w:tc>
          <w:p>
            <w:pPr>
              <w:pStyle w:val="Compact"/>
              <w:jc w:val="center"/>
            </w:pPr>
            <w:r>
              <w:t xml:space="preserve">-2.623</w:t>
            </w:r>
          </w:p>
        </w:tc>
        <w:tc>
          <w:p>
            <w:pPr>
              <w:pStyle w:val="Compact"/>
              <w:jc w:val="center"/>
            </w:pPr>
            <w:r>
              <w:t xml:space="preserve">3.624</w:t>
            </w:r>
          </w:p>
        </w:tc>
        <w:tc>
          <w:p>
            <w:pPr>
              <w:pStyle w:val="Compact"/>
              <w:jc w:val="center"/>
            </w:pPr>
            <w:r>
              <w:t xml:space="preserve">0.587</w:t>
            </w:r>
          </w:p>
        </w:tc>
        <w:tc>
          <w:p>
            <w:pPr>
              <w:pStyle w:val="Compact"/>
              <w:jc w:val="center"/>
            </w:pPr>
            <w:r>
              <w:t xml:space="preserve">1.22</w:t>
            </w:r>
          </w:p>
        </w:tc>
        <w:tc>
          <w:p>
            <w:pPr>
              <w:pStyle w:val="Compact"/>
              <w:jc w:val="center"/>
            </w:pPr>
            <w:r>
              <w:t xml:space="preserve">4.922</w:t>
            </w:r>
          </w:p>
        </w:tc>
        <w:tc>
          <w:p>
            <w:pPr>
              <w:pStyle w:val="Compact"/>
              <w:jc w:val="center"/>
            </w:pPr>
            <w:r>
              <w:t xml:space="preserve">10.94</w:t>
            </w:r>
          </w:p>
        </w:tc>
      </w:tr>
      <w:tr>
        <w:tc>
          <w:p>
            <w:pPr>
              <w:pStyle w:val="Compact"/>
              <w:jc w:val="center"/>
            </w:pPr>
            <w:r>
              <w:t xml:space="preserve">11</w:t>
            </w:r>
          </w:p>
        </w:tc>
        <w:tc>
          <w:p>
            <w:pPr>
              <w:pStyle w:val="Compact"/>
              <w:jc w:val="center"/>
            </w:pPr>
            <w:r>
              <w:t xml:space="preserve">RdNDVI</w:t>
            </w:r>
          </w:p>
        </w:tc>
        <w:tc>
          <w:p>
            <w:pPr>
              <w:pStyle w:val="Compact"/>
              <w:jc w:val="center"/>
            </w:pPr>
            <w:r>
              <w:t xml:space="preserve">64</w:t>
            </w:r>
          </w:p>
        </w:tc>
        <w:tc>
          <w:p>
            <w:pPr>
              <w:pStyle w:val="Compact"/>
              <w:jc w:val="center"/>
            </w:pPr>
            <w:r>
              <w:t xml:space="preserve">bilinear</w:t>
            </w:r>
          </w:p>
        </w:tc>
        <w:tc>
          <w:p>
            <w:pPr>
              <w:pStyle w:val="Compact"/>
              <w:jc w:val="center"/>
            </w:pPr>
            <w:r>
              <w:t xml:space="preserve">0.796</w:t>
            </w:r>
          </w:p>
        </w:tc>
        <w:tc>
          <w:p>
            <w:pPr>
              <w:pStyle w:val="Compact"/>
              <w:jc w:val="center"/>
            </w:pPr>
            <w:r>
              <w:t xml:space="preserve">-2.14</w:t>
            </w:r>
          </w:p>
        </w:tc>
        <w:tc>
          <w:p>
            <w:pPr>
              <w:pStyle w:val="Compact"/>
              <w:jc w:val="center"/>
            </w:pPr>
            <w:r>
              <w:t xml:space="preserve">3.287</w:t>
            </w:r>
          </w:p>
        </w:tc>
        <w:tc>
          <w:p>
            <w:pPr>
              <w:pStyle w:val="Compact"/>
              <w:jc w:val="center"/>
            </w:pPr>
            <w:r>
              <w:t xml:space="preserve">0.607</w:t>
            </w:r>
          </w:p>
        </w:tc>
        <w:tc>
          <w:p>
            <w:pPr>
              <w:pStyle w:val="Compact"/>
              <w:jc w:val="center"/>
            </w:pPr>
            <w:r>
              <w:t xml:space="preserve">1.353</w:t>
            </w:r>
          </w:p>
        </w:tc>
        <w:tc>
          <w:p>
            <w:pPr>
              <w:pStyle w:val="Compact"/>
              <w:jc w:val="center"/>
            </w:pPr>
            <w:r>
              <w:t xml:space="preserve">4.876</w:t>
            </w:r>
          </w:p>
        </w:tc>
        <w:tc>
          <w:p>
            <w:pPr>
              <w:pStyle w:val="Compact"/>
              <w:jc w:val="center"/>
            </w:pPr>
            <w:r>
              <w:t xml:space="preserve">10.73</w:t>
            </w:r>
          </w:p>
        </w:tc>
      </w:tr>
      <w:tr>
        <w:tc>
          <w:p>
            <w:pPr>
              <w:pStyle w:val="Compact"/>
              <w:jc w:val="center"/>
            </w:pPr>
            <w:r>
              <w:t xml:space="preserve">12</w:t>
            </w:r>
          </w:p>
        </w:tc>
        <w:tc>
          <w:p>
            <w:pPr>
              <w:pStyle w:val="Compact"/>
              <w:jc w:val="center"/>
            </w:pPr>
            <w:r>
              <w:t xml:space="preserve">RdNBR</w:t>
            </w:r>
          </w:p>
        </w:tc>
        <w:tc>
          <w:p>
            <w:pPr>
              <w:pStyle w:val="Compact"/>
              <w:jc w:val="center"/>
            </w:pPr>
            <w:r>
              <w:t xml:space="preserve">64</w:t>
            </w:r>
          </w:p>
        </w:tc>
        <w:tc>
          <w:p>
            <w:pPr>
              <w:pStyle w:val="Compact"/>
              <w:jc w:val="center"/>
            </w:pPr>
            <w:r>
              <w:t xml:space="preserve">bilinear</w:t>
            </w:r>
          </w:p>
        </w:tc>
        <w:tc>
          <w:p>
            <w:pPr>
              <w:pStyle w:val="Compact"/>
              <w:jc w:val="center"/>
            </w:pPr>
            <w:r>
              <w:t xml:space="preserve">0.792</w:t>
            </w:r>
          </w:p>
        </w:tc>
        <w:tc>
          <w:p>
            <w:pPr>
              <w:pStyle w:val="Compact"/>
              <w:jc w:val="center"/>
            </w:pPr>
            <w:r>
              <w:t xml:space="preserve">-0.42</w:t>
            </w:r>
          </w:p>
        </w:tc>
        <w:tc>
          <w:p>
            <w:pPr>
              <w:pStyle w:val="Compact"/>
              <w:jc w:val="center"/>
            </w:pPr>
            <w:r>
              <w:t xml:space="preserve">3.031</w:t>
            </w:r>
          </w:p>
        </w:tc>
        <w:tc>
          <w:p>
            <w:pPr>
              <w:pStyle w:val="Compact"/>
              <w:jc w:val="center"/>
            </w:pPr>
            <w:r>
              <w:t xml:space="preserve">0.862</w:t>
            </w:r>
          </w:p>
        </w:tc>
        <w:tc>
          <w:p>
            <w:pPr>
              <w:pStyle w:val="Compact"/>
              <w:jc w:val="center"/>
            </w:pPr>
            <w:r>
              <w:t xml:space="preserve">2.884</w:t>
            </w:r>
          </w:p>
        </w:tc>
        <w:tc>
          <w:p>
            <w:pPr>
              <w:pStyle w:val="Compact"/>
              <w:jc w:val="center"/>
            </w:pPr>
            <w:r>
              <w:t xml:space="preserve">8.483</w:t>
            </w:r>
          </w:p>
        </w:tc>
        <w:tc>
          <w:p>
            <w:pPr>
              <w:pStyle w:val="Compact"/>
              <w:jc w:val="center"/>
            </w:pPr>
            <w:r>
              <w:t xml:space="preserve">20.66</w:t>
            </w:r>
          </w:p>
        </w:tc>
      </w:tr>
      <w:tr>
        <w:tc>
          <w:p>
            <w:pPr>
              <w:pStyle w:val="Compact"/>
              <w:jc w:val="center"/>
            </w:pPr>
            <w:r>
              <w:t xml:space="preserve">13</w:t>
            </w:r>
          </w:p>
        </w:tc>
        <w:tc>
          <w:p>
            <w:pPr>
              <w:pStyle w:val="Compact"/>
              <w:jc w:val="center"/>
            </w:pPr>
            <w:r>
              <w:t xml:space="preserve">RBR</w:t>
            </w:r>
          </w:p>
        </w:tc>
        <w:tc>
          <w:p>
            <w:pPr>
              <w:pStyle w:val="Compact"/>
              <w:jc w:val="center"/>
            </w:pPr>
            <w:r>
              <w:t xml:space="preserve">48</w:t>
            </w:r>
          </w:p>
        </w:tc>
        <w:tc>
          <w:p>
            <w:pPr>
              <w:pStyle w:val="Compact"/>
              <w:jc w:val="center"/>
            </w:pPr>
            <w:r>
              <w:t xml:space="preserve">bilinear</w:t>
            </w:r>
          </w:p>
        </w:tc>
        <w:tc>
          <w:p>
            <w:pPr>
              <w:pStyle w:val="Compact"/>
              <w:jc w:val="center"/>
            </w:pPr>
            <w:r>
              <w:t xml:space="preserve">0.791</w:t>
            </w:r>
          </w:p>
        </w:tc>
        <w:tc>
          <w:p>
            <w:pPr>
              <w:pStyle w:val="Compact"/>
              <w:jc w:val="center"/>
            </w:pPr>
            <w:r>
              <w:t xml:space="preserve">0.017</w:t>
            </w:r>
          </w:p>
        </w:tc>
        <w:tc>
          <w:p>
            <w:pPr>
              <w:pStyle w:val="Compact"/>
              <w:jc w:val="center"/>
            </w:pPr>
            <w:r>
              <w:t xml:space="preserve">0.027</w:t>
            </w:r>
          </w:p>
        </w:tc>
        <w:tc>
          <w:p>
            <w:pPr>
              <w:pStyle w:val="Compact"/>
              <w:jc w:val="center"/>
            </w:pPr>
            <w:r>
              <w:t xml:space="preserve">1.006</w:t>
            </w:r>
          </w:p>
        </w:tc>
        <w:tc>
          <w:p>
            <w:pPr>
              <w:pStyle w:val="Compact"/>
              <w:jc w:val="center"/>
            </w:pPr>
            <w:r>
              <w:t xml:space="preserve">0.047</w:t>
            </w:r>
          </w:p>
        </w:tc>
        <w:tc>
          <w:p>
            <w:pPr>
              <w:pStyle w:val="Compact"/>
              <w:jc w:val="center"/>
            </w:pPr>
            <w:r>
              <w:t xml:space="preserve">0.112</w:t>
            </w:r>
          </w:p>
        </w:tc>
        <w:tc>
          <w:p>
            <w:pPr>
              <w:pStyle w:val="Compact"/>
              <w:jc w:val="center"/>
            </w:pPr>
            <w:r>
              <w:t xml:space="preserve">0.277</w:t>
            </w:r>
          </w:p>
        </w:tc>
      </w:tr>
      <w:tr>
        <w:tc>
          <w:p>
            <w:pPr>
              <w:pStyle w:val="Compact"/>
              <w:jc w:val="center"/>
            </w:pPr>
            <w:r>
              <w:t xml:space="preserve">14</w:t>
            </w:r>
          </w:p>
        </w:tc>
        <w:tc>
          <w:p>
            <w:pPr>
              <w:pStyle w:val="Compact"/>
              <w:jc w:val="center"/>
            </w:pPr>
            <w:r>
              <w:t xml:space="preserve">RBR</w:t>
            </w:r>
          </w:p>
        </w:tc>
        <w:tc>
          <w:p>
            <w:pPr>
              <w:pStyle w:val="Compact"/>
              <w:jc w:val="center"/>
            </w:pPr>
            <w:r>
              <w:t xml:space="preserve">32</w:t>
            </w:r>
          </w:p>
        </w:tc>
        <w:tc>
          <w:p>
            <w:pPr>
              <w:pStyle w:val="Compact"/>
              <w:jc w:val="center"/>
            </w:pPr>
            <w:r>
              <w:t xml:space="preserve">bicubic</w:t>
            </w:r>
          </w:p>
        </w:tc>
        <w:tc>
          <w:p>
            <w:pPr>
              <w:pStyle w:val="Compact"/>
              <w:jc w:val="center"/>
            </w:pPr>
            <w:r>
              <w:t xml:space="preserve">0.79</w:t>
            </w:r>
          </w:p>
        </w:tc>
        <w:tc>
          <w:p>
            <w:pPr>
              <w:pStyle w:val="Compact"/>
              <w:jc w:val="center"/>
            </w:pPr>
            <w:r>
              <w:t xml:space="preserve">0.013</w:t>
            </w:r>
          </w:p>
        </w:tc>
        <w:tc>
          <w:p>
            <w:pPr>
              <w:pStyle w:val="Compact"/>
              <w:jc w:val="center"/>
            </w:pPr>
            <w:r>
              <w:t xml:space="preserve">0.029</w:t>
            </w:r>
          </w:p>
        </w:tc>
        <w:tc>
          <w:p>
            <w:pPr>
              <w:pStyle w:val="Compact"/>
              <w:jc w:val="center"/>
            </w:pPr>
            <w:r>
              <w:t xml:space="preserve">0.994</w:t>
            </w:r>
          </w:p>
        </w:tc>
        <w:tc>
          <w:p>
            <w:pPr>
              <w:pStyle w:val="Compact"/>
              <w:jc w:val="center"/>
            </w:pPr>
            <w:r>
              <w:t xml:space="preserve">0.045</w:t>
            </w:r>
          </w:p>
        </w:tc>
        <w:tc>
          <w:p>
            <w:pPr>
              <w:pStyle w:val="Compact"/>
              <w:jc w:val="center"/>
            </w:pPr>
            <w:r>
              <w:t xml:space="preserve">0.114</w:t>
            </w:r>
          </w:p>
        </w:tc>
        <w:tc>
          <w:p>
            <w:pPr>
              <w:pStyle w:val="Compact"/>
              <w:jc w:val="center"/>
            </w:pPr>
            <w:r>
              <w:t xml:space="preserve">0.284</w:t>
            </w:r>
          </w:p>
        </w:tc>
      </w:tr>
      <w:tr>
        <w:tc>
          <w:p>
            <w:pPr>
              <w:pStyle w:val="Compact"/>
              <w:jc w:val="center"/>
            </w:pPr>
            <w:r>
              <w:t xml:space="preserve">15</w:t>
            </w:r>
          </w:p>
        </w:tc>
        <w:tc>
          <w:p>
            <w:pPr>
              <w:pStyle w:val="Compact"/>
              <w:jc w:val="center"/>
            </w:pPr>
            <w:r>
              <w:t xml:space="preserve">RdNBR</w:t>
            </w:r>
          </w:p>
        </w:tc>
        <w:tc>
          <w:p>
            <w:pPr>
              <w:pStyle w:val="Compact"/>
              <w:jc w:val="center"/>
            </w:pPr>
            <w:r>
              <w:t xml:space="preserve">48</w:t>
            </w:r>
          </w:p>
        </w:tc>
        <w:tc>
          <w:p>
            <w:pPr>
              <w:pStyle w:val="Compact"/>
              <w:jc w:val="center"/>
            </w:pPr>
            <w:r>
              <w:t xml:space="preserve">bicubic</w:t>
            </w:r>
          </w:p>
        </w:tc>
        <w:tc>
          <w:p>
            <w:pPr>
              <w:pStyle w:val="Compact"/>
              <w:jc w:val="center"/>
            </w:pPr>
            <w:r>
              <w:t xml:space="preserve">0.785</w:t>
            </w:r>
          </w:p>
        </w:tc>
        <w:tc>
          <w:p>
            <w:pPr>
              <w:pStyle w:val="Compact"/>
              <w:jc w:val="center"/>
            </w:pPr>
            <w:r>
              <w:t xml:space="preserve">-0.858</w:t>
            </w:r>
          </w:p>
        </w:tc>
        <w:tc>
          <w:p>
            <w:pPr>
              <w:pStyle w:val="Compact"/>
              <w:jc w:val="center"/>
            </w:pPr>
            <w:r>
              <w:t xml:space="preserve">3.219</w:t>
            </w:r>
          </w:p>
        </w:tc>
        <w:tc>
          <w:p>
            <w:pPr>
              <w:pStyle w:val="Compact"/>
              <w:jc w:val="center"/>
            </w:pPr>
            <w:r>
              <w:t xml:space="preserve">0.852</w:t>
            </w:r>
          </w:p>
        </w:tc>
        <w:tc>
          <w:p>
            <w:pPr>
              <w:pStyle w:val="Compact"/>
              <w:jc w:val="center"/>
            </w:pPr>
            <w:r>
              <w:t xml:space="preserve">2.647</w:t>
            </w:r>
          </w:p>
        </w:tc>
        <w:tc>
          <w:p>
            <w:pPr>
              <w:pStyle w:val="Compact"/>
              <w:jc w:val="center"/>
            </w:pPr>
            <w:r>
              <w:t xml:space="preserve">8.476</w:t>
            </w:r>
          </w:p>
        </w:tc>
        <w:tc>
          <w:p>
            <w:pPr>
              <w:pStyle w:val="Compact"/>
              <w:jc w:val="center"/>
            </w:pPr>
            <w:r>
              <w:t xml:space="preserve">21.02</w:t>
            </w:r>
          </w:p>
        </w:tc>
      </w:tr>
      <w:tr>
        <w:tc>
          <w:p>
            <w:pPr>
              <w:pStyle w:val="Compact"/>
              <w:jc w:val="center"/>
            </w:pPr>
            <w:r>
              <w:t xml:space="preserve">16</w:t>
            </w:r>
          </w:p>
        </w:tc>
        <w:tc>
          <w:p>
            <w:pPr>
              <w:pStyle w:val="Compact"/>
              <w:jc w:val="center"/>
            </w:pPr>
            <w:r>
              <w:t xml:space="preserve">RBR</w:t>
            </w:r>
          </w:p>
        </w:tc>
        <w:tc>
          <w:p>
            <w:pPr>
              <w:pStyle w:val="Compact"/>
              <w:jc w:val="center"/>
            </w:pPr>
            <w:r>
              <w:t xml:space="preserve">16</w:t>
            </w:r>
          </w:p>
        </w:tc>
        <w:tc>
          <w:p>
            <w:pPr>
              <w:pStyle w:val="Compact"/>
              <w:jc w:val="center"/>
            </w:pPr>
            <w:r>
              <w:t xml:space="preserve">bilinear</w:t>
            </w:r>
          </w:p>
        </w:tc>
        <w:tc>
          <w:p>
            <w:pPr>
              <w:pStyle w:val="Compact"/>
              <w:jc w:val="center"/>
            </w:pPr>
            <w:r>
              <w:t xml:space="preserve">0.781</w:t>
            </w:r>
          </w:p>
        </w:tc>
        <w:tc>
          <w:p>
            <w:pPr>
              <w:pStyle w:val="Compact"/>
              <w:jc w:val="center"/>
            </w:pPr>
            <w:r>
              <w:t xml:space="preserve">0.021</w:t>
            </w:r>
          </w:p>
        </w:tc>
        <w:tc>
          <w:p>
            <w:pPr>
              <w:pStyle w:val="Compact"/>
              <w:jc w:val="center"/>
            </w:pPr>
            <w:r>
              <w:t xml:space="preserve">0.026</w:t>
            </w:r>
          </w:p>
        </w:tc>
        <w:tc>
          <w:p>
            <w:pPr>
              <w:pStyle w:val="Compact"/>
              <w:jc w:val="center"/>
            </w:pPr>
            <w:r>
              <w:t xml:space="preserve">1.016</w:t>
            </w:r>
          </w:p>
        </w:tc>
        <w:tc>
          <w:p>
            <w:pPr>
              <w:pStyle w:val="Compact"/>
              <w:jc w:val="center"/>
            </w:pPr>
            <w:r>
              <w:t xml:space="preserve">0.05</w:t>
            </w:r>
          </w:p>
        </w:tc>
        <w:tc>
          <w:p>
            <w:pPr>
              <w:pStyle w:val="Compact"/>
              <w:jc w:val="center"/>
            </w:pPr>
            <w:r>
              <w:t xml:space="preserve">0.114</w:t>
            </w:r>
          </w:p>
        </w:tc>
        <w:tc>
          <w:p>
            <w:pPr>
              <w:pStyle w:val="Compact"/>
              <w:jc w:val="center"/>
            </w:pPr>
            <w:r>
              <w:t xml:space="preserve">0.278</w:t>
            </w:r>
          </w:p>
        </w:tc>
      </w:tr>
      <w:tr>
        <w:tc>
          <w:p>
            <w:pPr>
              <w:pStyle w:val="Compact"/>
              <w:jc w:val="center"/>
            </w:pPr>
            <w:r>
              <w:t xml:space="preserve">17</w:t>
            </w:r>
          </w:p>
        </w:tc>
        <w:tc>
          <w:p>
            <w:pPr>
              <w:pStyle w:val="Compact"/>
              <w:jc w:val="center"/>
            </w:pPr>
            <w:r>
              <w:t xml:space="preserve">RdNBR</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-0.954</w:t>
            </w:r>
          </w:p>
        </w:tc>
        <w:tc>
          <w:p>
            <w:pPr>
              <w:pStyle w:val="Compact"/>
              <w:jc w:val="center"/>
            </w:pPr>
            <w:r>
              <w:t xml:space="preserve">3.34</w:t>
            </w:r>
          </w:p>
        </w:tc>
        <w:tc>
          <w:p>
            <w:pPr>
              <w:pStyle w:val="Compact"/>
              <w:jc w:val="center"/>
            </w:pPr>
            <w:r>
              <w:t xml:space="preserve">0.841</w:t>
            </w:r>
          </w:p>
        </w:tc>
        <w:tc>
          <w:p>
            <w:pPr>
              <w:pStyle w:val="Compact"/>
              <w:jc w:val="center"/>
            </w:pPr>
            <w:r>
              <w:t xml:space="preserve">2.679</w:t>
            </w:r>
          </w:p>
        </w:tc>
        <w:tc>
          <w:p>
            <w:pPr>
              <w:pStyle w:val="Compact"/>
              <w:jc w:val="center"/>
            </w:pPr>
            <w:r>
              <w:t xml:space="preserve">8.602</w:t>
            </w:r>
          </w:p>
        </w:tc>
        <w:tc>
          <w:p>
            <w:pPr>
              <w:pStyle w:val="Compact"/>
              <w:jc w:val="center"/>
            </w:pPr>
            <w:r>
              <w:t xml:space="preserve">21.2</w:t>
            </w:r>
          </w:p>
        </w:tc>
      </w:tr>
      <w:tr>
        <w:tc>
          <w:p>
            <w:pPr>
              <w:pStyle w:val="Compact"/>
              <w:jc w:val="center"/>
            </w:pPr>
            <w:r>
              <w:t xml:space="preserve">18</w:t>
            </w:r>
          </w:p>
        </w:tc>
        <w:tc>
          <w:p>
            <w:pPr>
              <w:pStyle w:val="Compact"/>
              <w:jc w:val="center"/>
            </w:pPr>
            <w:r>
              <w:t xml:space="preserve">dNDVI</w:t>
            </w:r>
          </w:p>
        </w:tc>
        <w:tc>
          <w:p>
            <w:pPr>
              <w:pStyle w:val="Compact"/>
              <w:jc w:val="center"/>
            </w:pPr>
            <w:r>
              <w:t xml:space="preserve">32</w:t>
            </w:r>
          </w:p>
        </w:tc>
        <w:tc>
          <w:p>
            <w:pPr>
              <w:pStyle w:val="Compact"/>
              <w:jc w:val="center"/>
            </w:pPr>
            <w:r>
              <w:t xml:space="preserve">bicubic</w:t>
            </w:r>
          </w:p>
        </w:tc>
        <w:tc>
          <w:p>
            <w:pPr>
              <w:pStyle w:val="Compact"/>
              <w:jc w:val="center"/>
            </w:pPr>
            <w:r>
              <w:t xml:space="preserve">0.776</w:t>
            </w:r>
          </w:p>
        </w:tc>
        <w:tc>
          <w:p>
            <w:pPr>
              <w:pStyle w:val="Compact"/>
              <w:jc w:val="center"/>
            </w:pPr>
            <w:r>
              <w:t xml:space="preserve">-0.058</w:t>
            </w:r>
          </w:p>
        </w:tc>
        <w:tc>
          <w:p>
            <w:pPr>
              <w:pStyle w:val="Compact"/>
              <w:jc w:val="center"/>
            </w:pPr>
            <w:r>
              <w:t xml:space="preserve">0.073</w:t>
            </w:r>
          </w:p>
        </w:tc>
        <w:tc>
          <w:p>
            <w:pPr>
              <w:pStyle w:val="Compact"/>
              <w:jc w:val="center"/>
            </w:pPr>
            <w:r>
              <w:t xml:space="preserve">0.65</w:t>
            </w:r>
          </w:p>
        </w:tc>
        <w:tc>
          <w:p>
            <w:pPr>
              <w:pStyle w:val="Compact"/>
              <w:jc w:val="center"/>
            </w:pPr>
            <w:r>
              <w:t xml:space="preserve">0.02</w:t>
            </w:r>
          </w:p>
        </w:tc>
        <w:tc>
          <w:p>
            <w:pPr>
              <w:pStyle w:val="Compact"/>
              <w:jc w:val="center"/>
            </w:pPr>
            <w:r>
              <w:t xml:space="preserve">0.106</w:t>
            </w:r>
          </w:p>
        </w:tc>
        <w:tc>
          <w:p>
            <w:pPr>
              <w:pStyle w:val="Compact"/>
              <w:jc w:val="center"/>
            </w:pPr>
            <w:r>
              <w:t xml:space="preserve">0.257</w:t>
            </w:r>
          </w:p>
        </w:tc>
      </w:tr>
      <w:tr>
        <w:tc>
          <w:p>
            <w:pPr>
              <w:pStyle w:val="Compact"/>
              <w:jc w:val="center"/>
            </w:pPr>
            <w:r>
              <w:t xml:space="preserve">19</w:t>
            </w:r>
          </w:p>
        </w:tc>
        <w:tc>
          <w:p>
            <w:pPr>
              <w:pStyle w:val="Compact"/>
              <w:jc w:val="center"/>
            </w:pPr>
            <w:r>
              <w:t xml:space="preserve">dNBR</w:t>
            </w:r>
          </w:p>
        </w:tc>
        <w:tc>
          <w:p>
            <w:pPr>
              <w:pStyle w:val="Compact"/>
              <w:jc w:val="center"/>
            </w:pPr>
            <w:r>
              <w:t xml:space="preserve">48</w:t>
            </w:r>
          </w:p>
        </w:tc>
        <w:tc>
          <w:p>
            <w:pPr>
              <w:pStyle w:val="Compact"/>
              <w:jc w:val="center"/>
            </w:pPr>
            <w:r>
              <w:t xml:space="preserve">bicubic</w:t>
            </w:r>
          </w:p>
        </w:tc>
        <w:tc>
          <w:p>
            <w:pPr>
              <w:pStyle w:val="Compact"/>
              <w:jc w:val="center"/>
            </w:pPr>
            <w:r>
              <w:t xml:space="preserve">0.775</w:t>
            </w:r>
          </w:p>
        </w:tc>
        <w:tc>
          <w:p>
            <w:pPr>
              <w:pStyle w:val="Compact"/>
              <w:jc w:val="center"/>
            </w:pPr>
            <w:r>
              <w:t xml:space="preserve">0.03</w:t>
            </w:r>
          </w:p>
        </w:tc>
        <w:tc>
          <w:p>
            <w:pPr>
              <w:pStyle w:val="Compact"/>
              <w:jc w:val="center"/>
            </w:pPr>
            <w:r>
              <w:t xml:space="preserve">0.035</w:t>
            </w:r>
          </w:p>
        </w:tc>
        <w:tc>
          <w:p>
            <w:pPr>
              <w:pStyle w:val="Compact"/>
              <w:jc w:val="center"/>
            </w:pPr>
            <w:r>
              <w:t xml:space="preserve">1.069</w:t>
            </w:r>
          </w:p>
        </w:tc>
        <w:tc>
          <w:p>
            <w:pPr>
              <w:pStyle w:val="Compact"/>
              <w:jc w:val="center"/>
            </w:pPr>
            <w:r>
              <w:t xml:space="preserve">0.068</w:t>
            </w:r>
          </w:p>
        </w:tc>
        <w:tc>
          <w:p>
            <w:pPr>
              <w:pStyle w:val="Compact"/>
              <w:jc w:val="center"/>
            </w:pPr>
            <w:r>
              <w:t xml:space="preserve">0.161</w:t>
            </w:r>
          </w:p>
        </w:tc>
        <w:tc>
          <w:p>
            <w:pPr>
              <w:pStyle w:val="Compact"/>
              <w:jc w:val="center"/>
            </w:pPr>
            <w:r>
              <w:t xml:space="preserve">0.413</w:t>
            </w:r>
          </w:p>
        </w:tc>
      </w:tr>
      <w:tr>
        <w:tc>
          <w:p>
            <w:pPr>
              <w:pStyle w:val="Compact"/>
              <w:jc w:val="center"/>
            </w:pPr>
            <w:r>
              <w:t xml:space="preserve">20</w:t>
            </w:r>
          </w:p>
        </w:tc>
        <w:tc>
          <w:p>
            <w:pPr>
              <w:pStyle w:val="Compact"/>
              <w:jc w:val="center"/>
            </w:pPr>
            <w:r>
              <w:t xml:space="preserve">RdNBR</w:t>
            </w:r>
          </w:p>
        </w:tc>
        <w:tc>
          <w:p>
            <w:pPr>
              <w:pStyle w:val="Compact"/>
              <w:jc w:val="center"/>
            </w:pPr>
            <w:r>
              <w:t xml:space="preserve">16</w:t>
            </w:r>
          </w:p>
        </w:tc>
        <w:tc>
          <w:p>
            <w:pPr>
              <w:pStyle w:val="Compact"/>
              <w:jc w:val="center"/>
            </w:pPr>
            <w:r>
              <w:t xml:space="preserve">bilinear</w:t>
            </w:r>
          </w:p>
        </w:tc>
        <w:tc>
          <w:p>
            <w:pPr>
              <w:pStyle w:val="Compact"/>
              <w:jc w:val="center"/>
            </w:pPr>
            <w:r>
              <w:t xml:space="preserve">0.774</w:t>
            </w:r>
          </w:p>
        </w:tc>
        <w:tc>
          <w:p>
            <w:pPr>
              <w:pStyle w:val="Compact"/>
              <w:jc w:val="center"/>
            </w:pPr>
            <w:r>
              <w:t xml:space="preserve">0.279</w:t>
            </w:r>
          </w:p>
        </w:tc>
        <w:tc>
          <w:p>
            <w:pPr>
              <w:pStyle w:val="Compact"/>
              <w:jc w:val="center"/>
            </w:pPr>
            <w:r>
              <w:t xml:space="preserve">2.518</w:t>
            </w:r>
          </w:p>
        </w:tc>
        <w:tc>
          <w:p>
            <w:pPr>
              <w:pStyle w:val="Compact"/>
              <w:jc w:val="center"/>
            </w:pPr>
            <w:r>
              <w:t xml:space="preserve">0.909</w:t>
            </w:r>
          </w:p>
        </w:tc>
        <w:tc>
          <w:p>
            <w:pPr>
              <w:pStyle w:val="Compact"/>
              <w:jc w:val="center"/>
            </w:pPr>
            <w:r>
              <w:t xml:space="preserve">3.037</w:t>
            </w:r>
          </w:p>
        </w:tc>
        <w:tc>
          <w:p>
            <w:pPr>
              <w:pStyle w:val="Compact"/>
              <w:jc w:val="center"/>
            </w:pPr>
            <w:r>
              <w:t xml:space="preserve">8.119</w:t>
            </w:r>
          </w:p>
        </w:tc>
        <w:tc>
          <w:p>
            <w:pPr>
              <w:pStyle w:val="Compact"/>
              <w:jc w:val="center"/>
            </w:pPr>
            <w:r>
              <w:t xml:space="preserve">19.73</w:t>
            </w:r>
          </w:p>
        </w:tc>
      </w:tr>
      <w:tr>
        <w:tc>
          <w:p>
            <w:pPr>
              <w:pStyle w:val="Compact"/>
              <w:jc w:val="center"/>
            </w:pPr>
            <w:r>
              <w:t xml:space="preserve">21</w:t>
            </w:r>
          </w:p>
        </w:tc>
        <w:tc>
          <w:p>
            <w:pPr>
              <w:pStyle w:val="Compact"/>
              <w:jc w:val="center"/>
            </w:pPr>
            <w:r>
              <w:t xml:space="preserve">dNDVI</w:t>
            </w:r>
          </w:p>
        </w:tc>
        <w:tc>
          <w:p>
            <w:pPr>
              <w:pStyle w:val="Compact"/>
              <w:jc w:val="center"/>
            </w:pPr>
            <w:r>
              <w:t xml:space="preserve">32</w:t>
            </w:r>
          </w:p>
        </w:tc>
        <w:tc>
          <w:p>
            <w:pPr>
              <w:pStyle w:val="Compact"/>
              <w:jc w:val="center"/>
            </w:pPr>
            <w:r>
              <w:t xml:space="preserve">bilinear</w:t>
            </w:r>
          </w:p>
        </w:tc>
        <w:tc>
          <w:p>
            <w:pPr>
              <w:pStyle w:val="Compact"/>
              <w:jc w:val="center"/>
            </w:pPr>
            <w:r>
              <w:t xml:space="preserve">0.772</w:t>
            </w:r>
          </w:p>
        </w:tc>
        <w:tc>
          <w:p>
            <w:pPr>
              <w:pStyle w:val="Compact"/>
              <w:jc w:val="center"/>
            </w:pPr>
            <w:r>
              <w:t xml:space="preserve">-0.053</w:t>
            </w:r>
          </w:p>
        </w:tc>
        <w:tc>
          <w:p>
            <w:pPr>
              <w:pStyle w:val="Compact"/>
              <w:jc w:val="center"/>
            </w:pPr>
            <w:r>
              <w:t xml:space="preserve">0.07</w:t>
            </w:r>
          </w:p>
        </w:tc>
        <w:tc>
          <w:p>
            <w:pPr>
              <w:pStyle w:val="Compact"/>
              <w:jc w:val="center"/>
            </w:pPr>
            <w:r>
              <w:t xml:space="preserve">0.656</w:t>
            </w:r>
          </w:p>
        </w:tc>
        <w:tc>
          <w:p>
            <w:pPr>
              <w:pStyle w:val="Compact"/>
              <w:jc w:val="center"/>
            </w:pPr>
            <w:r>
              <w:t xml:space="preserve">0.022</w:t>
            </w:r>
          </w:p>
        </w:tc>
        <w:tc>
          <w:p>
            <w:pPr>
              <w:pStyle w:val="Compact"/>
              <w:jc w:val="center"/>
            </w:pPr>
            <w:r>
              <w:t xml:space="preserve">0.105</w:t>
            </w:r>
          </w:p>
        </w:tc>
        <w:tc>
          <w:p>
            <w:pPr>
              <w:pStyle w:val="Compact"/>
              <w:jc w:val="center"/>
            </w:pPr>
            <w:r>
              <w:t xml:space="preserve">0.252</w:t>
            </w:r>
          </w:p>
        </w:tc>
      </w:tr>
      <w:tr>
        <w:tc>
          <w:p>
            <w:pPr>
              <w:pStyle w:val="Compact"/>
              <w:jc w:val="center"/>
            </w:pPr>
            <w:r>
              <w:t xml:space="preserve">22</w:t>
            </w:r>
          </w:p>
        </w:tc>
        <w:tc>
          <w:p>
            <w:pPr>
              <w:pStyle w:val="Compact"/>
              <w:jc w:val="center"/>
            </w:pPr>
            <w:r>
              <w:t xml:space="preserve">dNDVI</w:t>
            </w:r>
          </w:p>
        </w:tc>
        <w:tc>
          <w:p>
            <w:pPr>
              <w:pStyle w:val="Compact"/>
              <w:jc w:val="center"/>
            </w:pPr>
            <w:r>
              <w:t xml:space="preserve">48</w:t>
            </w:r>
          </w:p>
        </w:tc>
        <w:tc>
          <w:p>
            <w:pPr>
              <w:pStyle w:val="Compact"/>
              <w:jc w:val="center"/>
            </w:pPr>
            <w:r>
              <w:t xml:space="preserve">bicubic</w:t>
            </w:r>
          </w:p>
        </w:tc>
        <w:tc>
          <w:p>
            <w:pPr>
              <w:pStyle w:val="Compact"/>
              <w:jc w:val="center"/>
            </w:pPr>
            <w:r>
              <w:t xml:space="preserve">0.772</w:t>
            </w:r>
          </w:p>
        </w:tc>
        <w:tc>
          <w:p>
            <w:pPr>
              <w:pStyle w:val="Compact"/>
              <w:jc w:val="center"/>
            </w:pPr>
            <w:r>
              <w:t xml:space="preserve">-0.055</w:t>
            </w:r>
          </w:p>
        </w:tc>
        <w:tc>
          <w:p>
            <w:pPr>
              <w:pStyle w:val="Compact"/>
              <w:jc w:val="center"/>
            </w:pPr>
            <w:r>
              <w:t xml:space="preserve">0.081</w:t>
            </w:r>
          </w:p>
        </w:tc>
        <w:tc>
          <w:p>
            <w:pPr>
              <w:pStyle w:val="Compact"/>
              <w:jc w:val="center"/>
            </w:pPr>
            <w:r>
              <w:t xml:space="preserve">0.613</w:t>
            </w:r>
          </w:p>
        </w:tc>
        <w:tc>
          <w:p>
            <w:pPr>
              <w:pStyle w:val="Compact"/>
              <w:jc w:val="center"/>
            </w:pPr>
            <w:r>
              <w:t xml:space="preserve">0.031</w:t>
            </w:r>
          </w:p>
        </w:tc>
        <w:tc>
          <w:p>
            <w:pPr>
              <w:pStyle w:val="Compact"/>
              <w:jc w:val="center"/>
            </w:pPr>
            <w:r>
              <w:t xml:space="preserve">0.119</w:t>
            </w:r>
          </w:p>
        </w:tc>
        <w:tc>
          <w:p>
            <w:pPr>
              <w:pStyle w:val="Compact"/>
              <w:jc w:val="center"/>
            </w:pPr>
            <w:r>
              <w:t xml:space="preserve">0.267</w:t>
            </w:r>
          </w:p>
        </w:tc>
      </w:tr>
      <w:tr>
        <w:tc>
          <w:p>
            <w:pPr>
              <w:pStyle w:val="Compact"/>
              <w:jc w:val="center"/>
            </w:pPr>
            <w:r>
              <w:t xml:space="preserve">23</w:t>
            </w:r>
          </w:p>
        </w:tc>
        <w:tc>
          <w:p>
            <w:pPr>
              <w:pStyle w:val="Compact"/>
              <w:jc w:val="center"/>
            </w:pPr>
            <w:r>
              <w:t xml:space="preserve">dNBR</w:t>
            </w:r>
          </w:p>
        </w:tc>
        <w:tc>
          <w:p>
            <w:pPr>
              <w:pStyle w:val="Compact"/>
              <w:jc w:val="center"/>
            </w:pPr>
            <w:r>
              <w:t xml:space="preserve">32</w:t>
            </w:r>
          </w:p>
        </w:tc>
        <w:tc>
          <w:p>
            <w:pPr>
              <w:pStyle w:val="Compact"/>
              <w:jc w:val="center"/>
            </w:pPr>
            <w:r>
              <w:t xml:space="preserve">bilinear</w:t>
            </w:r>
          </w:p>
        </w:tc>
        <w:tc>
          <w:p>
            <w:pPr>
              <w:pStyle w:val="Compact"/>
              <w:jc w:val="center"/>
            </w:pPr>
            <w:r>
              <w:t xml:space="preserve">0.77</w:t>
            </w:r>
          </w:p>
        </w:tc>
        <w:tc>
          <w:p>
            <w:pPr>
              <w:pStyle w:val="Compact"/>
              <w:jc w:val="center"/>
            </w:pPr>
            <w:r>
              <w:t xml:space="preserve">0.029</w:t>
            </w:r>
          </w:p>
        </w:tc>
        <w:tc>
          <w:p>
            <w:pPr>
              <w:pStyle w:val="Compact"/>
              <w:jc w:val="center"/>
            </w:pPr>
            <w:r>
              <w:t xml:space="preserve">0.036</w:t>
            </w:r>
          </w:p>
        </w:tc>
        <w:tc>
          <w:p>
            <w:pPr>
              <w:pStyle w:val="Compact"/>
              <w:jc w:val="center"/>
            </w:pPr>
            <w:r>
              <w:t xml:space="preserve">1.048</w:t>
            </w:r>
          </w:p>
        </w:tc>
        <w:tc>
          <w:p>
            <w:pPr>
              <w:pStyle w:val="Compact"/>
              <w:jc w:val="center"/>
            </w:pPr>
            <w:r>
              <w:t xml:space="preserve">0.069</w:t>
            </w:r>
          </w:p>
        </w:tc>
        <w:tc>
          <w:p>
            <w:pPr>
              <w:pStyle w:val="Compact"/>
              <w:jc w:val="center"/>
            </w:pPr>
            <w:r>
              <w:t xml:space="preserve">0.163</w:t>
            </w:r>
          </w:p>
        </w:tc>
        <w:tc>
          <w:p>
            <w:pPr>
              <w:pStyle w:val="Compact"/>
              <w:jc w:val="center"/>
            </w:pPr>
            <w:r>
              <w:t xml:space="preserve">0.41</w:t>
            </w:r>
          </w:p>
        </w:tc>
      </w:tr>
      <w:tr>
        <w:tc>
          <w:p>
            <w:pPr>
              <w:pStyle w:val="Compact"/>
              <w:jc w:val="center"/>
            </w:pPr>
            <w:r>
              <w:t xml:space="preserve">24</w:t>
            </w:r>
          </w:p>
        </w:tc>
        <w:tc>
          <w:p>
            <w:pPr>
              <w:pStyle w:val="Compact"/>
              <w:jc w:val="center"/>
            </w:pPr>
            <w:r>
              <w:t xml:space="preserve">RdNBR2</w:t>
            </w:r>
          </w:p>
        </w:tc>
        <w:tc>
          <w:p>
            <w:pPr>
              <w:pStyle w:val="Compact"/>
              <w:jc w:val="center"/>
            </w:pPr>
            <w:r>
              <w:t xml:space="preserve">64</w:t>
            </w:r>
          </w:p>
        </w:tc>
        <w:tc>
          <w:p>
            <w:pPr>
              <w:pStyle w:val="Compact"/>
              <w:jc w:val="center"/>
            </w:pPr>
            <w:r>
              <w:t xml:space="preserve">bicubic</w:t>
            </w:r>
          </w:p>
        </w:tc>
        <w:tc>
          <w:p>
            <w:pPr>
              <w:pStyle w:val="Compact"/>
              <w:jc w:val="center"/>
            </w:pPr>
            <w:r>
              <w:t xml:space="preserve">0.766</w:t>
            </w:r>
          </w:p>
        </w:tc>
        <w:tc>
          <w:p>
            <w:pPr>
              <w:pStyle w:val="Compact"/>
              <w:jc w:val="center"/>
            </w:pPr>
            <w:r>
              <w:t xml:space="preserve">2.102</w:t>
            </w:r>
          </w:p>
        </w:tc>
        <w:tc>
          <w:p>
            <w:pPr>
              <w:pStyle w:val="Compact"/>
              <w:jc w:val="center"/>
            </w:pPr>
            <w:r>
              <w:t xml:space="preserve">0.416</w:t>
            </w:r>
          </w:p>
        </w:tc>
        <w:tc>
          <w:p>
            <w:pPr>
              <w:pStyle w:val="Compact"/>
              <w:jc w:val="center"/>
            </w:pPr>
            <w:r>
              <w:t xml:space="preserve">1.24</w:t>
            </w:r>
          </w:p>
        </w:tc>
        <w:tc>
          <w:p>
            <w:pPr>
              <w:pStyle w:val="Compact"/>
              <w:jc w:val="center"/>
            </w:pPr>
            <w:r>
              <w:t xml:space="preserve">2.572</w:t>
            </w:r>
          </w:p>
        </w:tc>
        <w:tc>
          <w:p>
            <w:pPr>
              <w:pStyle w:val="Compact"/>
              <w:jc w:val="center"/>
            </w:pPr>
            <w:r>
              <w:t xml:space="preserve">4.059</w:t>
            </w:r>
          </w:p>
        </w:tc>
        <w:tc>
          <w:p>
            <w:pPr>
              <w:pStyle w:val="Compact"/>
              <w:jc w:val="center"/>
            </w:pPr>
            <w:r>
              <w:t xml:space="preserve">8.861</w:t>
            </w:r>
          </w:p>
        </w:tc>
      </w:tr>
      <w:tr>
        <w:tc>
          <w:p>
            <w:pPr>
              <w:pStyle w:val="Compact"/>
              <w:jc w:val="center"/>
            </w:pPr>
            <w:r>
              <w:t xml:space="preserve">25</w:t>
            </w:r>
          </w:p>
        </w:tc>
        <w:tc>
          <w:p>
            <w:pPr>
              <w:pStyle w:val="Compact"/>
              <w:jc w:val="center"/>
            </w:pPr>
            <w:r>
              <w:t xml:space="preserve">dNBR</w:t>
            </w:r>
          </w:p>
        </w:tc>
        <w:tc>
          <w:p>
            <w:pPr>
              <w:pStyle w:val="Compact"/>
              <w:jc w:val="center"/>
            </w:pPr>
            <w:r>
              <w:t xml:space="preserve">32</w:t>
            </w:r>
          </w:p>
        </w:tc>
        <w:tc>
          <w:p>
            <w:pPr>
              <w:pStyle w:val="Compact"/>
              <w:jc w:val="center"/>
            </w:pPr>
            <w:r>
              <w:t xml:space="preserve">bicubic</w:t>
            </w:r>
          </w:p>
        </w:tc>
        <w:tc>
          <w:p>
            <w:pPr>
              <w:pStyle w:val="Compact"/>
              <w:jc w:val="center"/>
            </w:pPr>
            <w:r>
              <w:t xml:space="preserve">0.764</w:t>
            </w:r>
          </w:p>
        </w:tc>
        <w:tc>
          <w:p>
            <w:pPr>
              <w:pStyle w:val="Compact"/>
              <w:jc w:val="center"/>
            </w:pPr>
            <w:r>
              <w:t xml:space="preserve">0.028</w:t>
            </w:r>
          </w:p>
        </w:tc>
        <w:tc>
          <w:p>
            <w:pPr>
              <w:pStyle w:val="Compact"/>
              <w:jc w:val="center"/>
            </w:pPr>
            <w:r>
              <w:t xml:space="preserve">0.036</w:t>
            </w:r>
          </w:p>
        </w:tc>
        <w:tc>
          <w:p>
            <w:pPr>
              <w:pStyle w:val="Compact"/>
              <w:jc w:val="center"/>
            </w:pPr>
            <w:r>
              <w:t xml:space="preserve">1.057</w:t>
            </w:r>
          </w:p>
        </w:tc>
        <w:tc>
          <w:p>
            <w:pPr>
              <w:pStyle w:val="Compact"/>
              <w:jc w:val="center"/>
            </w:pPr>
            <w:r>
              <w:t xml:space="preserve">0.068</w:t>
            </w:r>
          </w:p>
        </w:tc>
        <w:tc>
          <w:p>
            <w:pPr>
              <w:pStyle w:val="Compact"/>
              <w:jc w:val="center"/>
            </w:pPr>
            <w:r>
              <w:t xml:space="preserve">0.163</w:t>
            </w:r>
          </w:p>
        </w:tc>
        <w:tc>
          <w:p>
            <w:pPr>
              <w:pStyle w:val="Compact"/>
              <w:jc w:val="center"/>
            </w:pPr>
            <w:r>
              <w:t xml:space="preserve">0.417</w:t>
            </w:r>
          </w:p>
        </w:tc>
      </w:tr>
      <w:tr>
        <w:tc>
          <w:p>
            <w:pPr>
              <w:pStyle w:val="Compact"/>
              <w:jc w:val="center"/>
            </w:pPr>
            <w:r>
              <w:t xml:space="preserve">26</w:t>
            </w:r>
          </w:p>
        </w:tc>
        <w:tc>
          <w:p>
            <w:pPr>
              <w:pStyle w:val="Compact"/>
              <w:jc w:val="center"/>
            </w:pPr>
            <w:r>
              <w:t xml:space="preserve">dNDVI</w:t>
            </w:r>
          </w:p>
        </w:tc>
        <w:tc>
          <w:p>
            <w:pPr>
              <w:pStyle w:val="Compact"/>
              <w:jc w:val="center"/>
            </w:pPr>
            <w:r>
              <w:t xml:space="preserve">48</w:t>
            </w:r>
          </w:p>
        </w:tc>
        <w:tc>
          <w:p>
            <w:pPr>
              <w:pStyle w:val="Compact"/>
              <w:jc w:val="center"/>
            </w:pPr>
            <w:r>
              <w:t xml:space="preserve">bilinear</w:t>
            </w:r>
          </w:p>
        </w:tc>
        <w:tc>
          <w:p>
            <w:pPr>
              <w:pStyle w:val="Compact"/>
              <w:jc w:val="center"/>
            </w:pPr>
            <w:r>
              <w:t xml:space="preserve">0.762</w:t>
            </w:r>
          </w:p>
        </w:tc>
        <w:tc>
          <w:p>
            <w:pPr>
              <w:pStyle w:val="Compact"/>
              <w:jc w:val="center"/>
            </w:pPr>
            <w:r>
              <w:t xml:space="preserve">-0.044</w:t>
            </w:r>
          </w:p>
        </w:tc>
        <w:tc>
          <w:p>
            <w:pPr>
              <w:pStyle w:val="Compact"/>
              <w:jc w:val="center"/>
            </w:pPr>
            <w:r>
              <w:t xml:space="preserve">0.073</w:t>
            </w:r>
          </w:p>
        </w:tc>
        <w:tc>
          <w:p>
            <w:pPr>
              <w:pStyle w:val="Compact"/>
              <w:jc w:val="center"/>
            </w:pPr>
            <w:r>
              <w:t xml:space="preserve">0.637</w:t>
            </w:r>
          </w:p>
        </w:tc>
        <w:tc>
          <w:p>
            <w:pPr>
              <w:pStyle w:val="Compact"/>
              <w:jc w:val="center"/>
            </w:pPr>
            <w:r>
              <w:t xml:space="preserve">0.034</w:t>
            </w:r>
          </w:p>
        </w:tc>
        <w:tc>
          <w:p>
            <w:pPr>
              <w:pStyle w:val="Compact"/>
              <w:jc w:val="center"/>
            </w:pPr>
            <w:r>
              <w:t xml:space="preserve">0.118</w:t>
            </w:r>
          </w:p>
        </w:tc>
        <w:tc>
          <w:p>
            <w:pPr>
              <w:pStyle w:val="Compact"/>
              <w:jc w:val="center"/>
            </w:pPr>
            <w:r>
              <w:t xml:space="preserve">0.262</w:t>
            </w:r>
          </w:p>
        </w:tc>
      </w:tr>
      <w:tr>
        <w:tc>
          <w:p>
            <w:pPr>
              <w:pStyle w:val="Compact"/>
              <w:jc w:val="center"/>
            </w:pPr>
            <w:r>
              <w:t xml:space="preserve">27</w:t>
            </w:r>
          </w:p>
        </w:tc>
        <w:tc>
          <w:p>
            <w:pPr>
              <w:pStyle w:val="Compact"/>
              <w:jc w:val="center"/>
            </w:pPr>
            <w:r>
              <w:t xml:space="preserve">RBR</w:t>
            </w:r>
          </w:p>
        </w:tc>
        <w:tc>
          <w:p>
            <w:pPr>
              <w:pStyle w:val="Compact"/>
              <w:jc w:val="center"/>
            </w:pPr>
            <w:r>
              <w:t xml:space="preserve">16</w:t>
            </w:r>
          </w:p>
        </w:tc>
        <w:tc>
          <w:p>
            <w:pPr>
              <w:pStyle w:val="Compact"/>
              <w:jc w:val="center"/>
            </w:pPr>
            <w:r>
              <w:t xml:space="preserve">bicubic</w:t>
            </w:r>
          </w:p>
        </w:tc>
        <w:tc>
          <w:p>
            <w:pPr>
              <w:pStyle w:val="Compact"/>
              <w:jc w:val="center"/>
            </w:pPr>
            <w:r>
              <w:t xml:space="preserve">0.761</w:t>
            </w:r>
          </w:p>
        </w:tc>
        <w:tc>
          <w:p>
            <w:pPr>
              <w:pStyle w:val="Compact"/>
              <w:jc w:val="center"/>
            </w:pPr>
            <w:r>
              <w:t xml:space="preserve">0.021</w:t>
            </w:r>
          </w:p>
        </w:tc>
        <w:tc>
          <w:p>
            <w:pPr>
              <w:pStyle w:val="Compact"/>
              <w:jc w:val="center"/>
            </w:pPr>
            <w:r>
              <w:t xml:space="preserve">0.026</w:t>
            </w:r>
          </w:p>
        </w:tc>
        <w:tc>
          <w:p>
            <w:pPr>
              <w:pStyle w:val="Compact"/>
              <w:jc w:val="center"/>
            </w:pPr>
            <w:r>
              <w:t xml:space="preserve">1.028</w:t>
            </w:r>
          </w:p>
        </w:tc>
        <w:tc>
          <w:p>
            <w:pPr>
              <w:pStyle w:val="Compact"/>
              <w:jc w:val="center"/>
            </w:pPr>
            <w:r>
              <w:t xml:space="preserve">0.049</w:t>
            </w:r>
          </w:p>
        </w:tc>
        <w:tc>
          <w:p>
            <w:pPr>
              <w:pStyle w:val="Compact"/>
              <w:jc w:val="center"/>
            </w:pPr>
            <w:r>
              <w:t xml:space="preserve">0.114</w:t>
            </w:r>
          </w:p>
        </w:tc>
        <w:tc>
          <w:p>
            <w:pPr>
              <w:pStyle w:val="Compact"/>
              <w:jc w:val="center"/>
            </w:pPr>
            <w:r>
              <w:t xml:space="preserve">0.281</w:t>
            </w:r>
          </w:p>
        </w:tc>
      </w:tr>
      <w:tr>
        <w:tc>
          <w:p>
            <w:pPr>
              <w:pStyle w:val="Compact"/>
              <w:jc w:val="center"/>
            </w:pPr>
            <w:r>
              <w:t xml:space="preserve">28</w:t>
            </w:r>
          </w:p>
        </w:tc>
        <w:tc>
          <w:p>
            <w:pPr>
              <w:pStyle w:val="Compact"/>
              <w:jc w:val="center"/>
            </w:pPr>
            <w:r>
              <w:t xml:space="preserve">dNBR</w:t>
            </w:r>
          </w:p>
        </w:tc>
        <w:tc>
          <w:p>
            <w:pPr>
              <w:pStyle w:val="Compact"/>
              <w:jc w:val="center"/>
            </w:pPr>
            <w:r>
              <w:t xml:space="preserve">16</w:t>
            </w:r>
          </w:p>
        </w:tc>
        <w:tc>
          <w:p>
            <w:pPr>
              <w:pStyle w:val="Compact"/>
              <w:jc w:val="center"/>
            </w:pPr>
            <w:r>
              <w:t xml:space="preserve">bilinear</w:t>
            </w:r>
          </w:p>
        </w:tc>
        <w:tc>
          <w:p>
            <w:pPr>
              <w:pStyle w:val="Compact"/>
              <w:jc w:val="center"/>
            </w:pPr>
            <w:r>
              <w:t xml:space="preserve">0.76</w:t>
            </w:r>
          </w:p>
        </w:tc>
        <w:tc>
          <w:p>
            <w:pPr>
              <w:pStyle w:val="Compact"/>
              <w:jc w:val="center"/>
            </w:pPr>
            <w:r>
              <w:t xml:space="preserve">0.033</w:t>
            </w:r>
          </w:p>
        </w:tc>
        <w:tc>
          <w:p>
            <w:pPr>
              <w:pStyle w:val="Compact"/>
              <w:jc w:val="center"/>
            </w:pPr>
            <w:r>
              <w:t xml:space="preserve">0.036</w:t>
            </w:r>
          </w:p>
        </w:tc>
        <w:tc>
          <w:p>
            <w:pPr>
              <w:pStyle w:val="Compact"/>
              <w:jc w:val="center"/>
            </w:pPr>
            <w:r>
              <w:t xml:space="preserve">1.048</w:t>
            </w:r>
          </w:p>
        </w:tc>
        <w:tc>
          <w:p>
            <w:pPr>
              <w:pStyle w:val="Compact"/>
              <w:jc w:val="center"/>
            </w:pPr>
            <w:r>
              <w:t xml:space="preserve">0.073</w:t>
            </w:r>
          </w:p>
        </w:tc>
        <w:tc>
          <w:p>
            <w:pPr>
              <w:pStyle w:val="Compact"/>
              <w:jc w:val="center"/>
            </w:pPr>
            <w:r>
              <w:t xml:space="preserve">0.167</w:t>
            </w:r>
          </w:p>
        </w:tc>
        <w:tc>
          <w:p>
            <w:pPr>
              <w:pStyle w:val="Compact"/>
              <w:jc w:val="center"/>
            </w:pPr>
            <w:r>
              <w:t xml:space="preserve">0.417</w:t>
            </w:r>
          </w:p>
        </w:tc>
      </w:tr>
      <w:tr>
        <w:tc>
          <w:p>
            <w:pPr>
              <w:pStyle w:val="Compact"/>
              <w:jc w:val="center"/>
            </w:pPr>
            <w:r>
              <w:t xml:space="preserve">29</w:t>
            </w:r>
          </w:p>
        </w:tc>
        <w:tc>
          <w:p>
            <w:pPr>
              <w:pStyle w:val="Compact"/>
              <w:jc w:val="center"/>
            </w:pPr>
            <w:r>
              <w:t xml:space="preserve">RdNBR2</w:t>
            </w:r>
          </w:p>
        </w:tc>
        <w:tc>
          <w:p>
            <w:pPr>
              <w:pStyle w:val="Compact"/>
              <w:jc w:val="center"/>
            </w:pPr>
            <w:r>
              <w:t xml:space="preserve">32</w:t>
            </w:r>
          </w:p>
        </w:tc>
        <w:tc>
          <w:p>
            <w:pPr>
              <w:pStyle w:val="Compact"/>
              <w:jc w:val="center"/>
            </w:pPr>
            <w:r>
              <w:t xml:space="preserve">bilinear</w:t>
            </w:r>
          </w:p>
        </w:tc>
        <w:tc>
          <w:p>
            <w:pPr>
              <w:pStyle w:val="Compact"/>
              <w:jc w:val="center"/>
            </w:pPr>
            <w:r>
              <w:t xml:space="preserve">0.759</w:t>
            </w:r>
          </w:p>
        </w:tc>
        <w:tc>
          <w:p>
            <w:pPr>
              <w:pStyle w:val="Compact"/>
              <w:jc w:val="center"/>
            </w:pPr>
            <w:r>
              <w:t xml:space="preserve">1.435</w:t>
            </w:r>
          </w:p>
        </w:tc>
        <w:tc>
          <w:p>
            <w:pPr>
              <w:pStyle w:val="Compact"/>
              <w:jc w:val="center"/>
            </w:pPr>
            <w:r>
              <w:t xml:space="preserve">0.625</w:t>
            </w:r>
          </w:p>
        </w:tc>
        <w:tc>
          <w:p>
            <w:pPr>
              <w:pStyle w:val="Compact"/>
              <w:jc w:val="center"/>
            </w:pPr>
            <w:r>
              <w:t xml:space="preserve">1.1</w:t>
            </w:r>
          </w:p>
        </w:tc>
        <w:tc>
          <w:p>
            <w:pPr>
              <w:pStyle w:val="Compact"/>
              <w:jc w:val="center"/>
            </w:pPr>
            <w:r>
              <w:t xml:space="preserve">2.132</w:t>
            </w:r>
          </w:p>
        </w:tc>
        <w:tc>
          <w:p>
            <w:pPr>
              <w:pStyle w:val="Compact"/>
              <w:jc w:val="center"/>
            </w:pPr>
            <w:r>
              <w:t xml:space="preserve">3.906</w:t>
            </w:r>
          </w:p>
        </w:tc>
        <w:tc>
          <w:p>
            <w:pPr>
              <w:pStyle w:val="Compact"/>
              <w:jc w:val="center"/>
            </w:pPr>
            <w:r>
              <w:t xml:space="preserve">8.861</w:t>
            </w:r>
          </w:p>
        </w:tc>
      </w:tr>
      <w:tr>
        <w:tc>
          <w:p>
            <w:pPr>
              <w:pStyle w:val="Compact"/>
              <w:jc w:val="center"/>
            </w:pPr>
            <w:r>
              <w:t xml:space="preserve">30</w:t>
            </w:r>
          </w:p>
        </w:tc>
        <w:tc>
          <w:p>
            <w:pPr>
              <w:pStyle w:val="Compact"/>
              <w:jc w:val="center"/>
            </w:pPr>
            <w:r>
              <w:t xml:space="preserve">RdNBR</w:t>
            </w:r>
          </w:p>
        </w:tc>
        <w:tc>
          <w:p>
            <w:pPr>
              <w:pStyle w:val="Compact"/>
              <w:jc w:val="center"/>
            </w:pPr>
            <w:r>
              <w:t xml:space="preserve">16</w:t>
            </w:r>
          </w:p>
        </w:tc>
        <w:tc>
          <w:p>
            <w:pPr>
              <w:pStyle w:val="Compact"/>
              <w:jc w:val="center"/>
            </w:pPr>
            <w:r>
              <w:t xml:space="preserve">bicubic</w:t>
            </w:r>
          </w:p>
        </w:tc>
        <w:tc>
          <w:p>
            <w:pPr>
              <w:pStyle w:val="Compact"/>
              <w:jc w:val="center"/>
            </w:pPr>
            <w:r>
              <w:t xml:space="preserve">0.758</w:t>
            </w:r>
          </w:p>
        </w:tc>
        <w:tc>
          <w:p>
            <w:pPr>
              <w:pStyle w:val="Compact"/>
              <w:jc w:val="center"/>
            </w:pPr>
            <w:r>
              <w:t xml:space="preserve">0.37</w:t>
            </w:r>
          </w:p>
        </w:tc>
        <w:tc>
          <w:p>
            <w:pPr>
              <w:pStyle w:val="Compact"/>
              <w:jc w:val="center"/>
            </w:pPr>
            <w:r>
              <w:t xml:space="preserve">2.446</w:t>
            </w:r>
          </w:p>
        </w:tc>
        <w:tc>
          <w:p>
            <w:pPr>
              <w:pStyle w:val="Compact"/>
              <w:jc w:val="center"/>
            </w:pPr>
            <w:r>
              <w:t xml:space="preserve">0.926</w:t>
            </w:r>
          </w:p>
        </w:tc>
        <w:tc>
          <w:p>
            <w:pPr>
              <w:pStyle w:val="Compact"/>
              <w:jc w:val="center"/>
            </w:pPr>
            <w:r>
              <w:t xml:space="preserve">3.053</w:t>
            </w:r>
          </w:p>
        </w:tc>
        <w:tc>
          <w:p>
            <w:pPr>
              <w:pStyle w:val="Compact"/>
              <w:jc w:val="center"/>
            </w:pPr>
            <w:r>
              <w:t xml:space="preserve">8.149</w:t>
            </w:r>
          </w:p>
        </w:tc>
        <w:tc>
          <w:p>
            <w:pPr>
              <w:pStyle w:val="Compact"/>
              <w:jc w:val="center"/>
            </w:pPr>
            <w:r>
              <w:t xml:space="preserve">20</w:t>
            </w:r>
          </w:p>
        </w:tc>
      </w:tr>
      <w:tr>
        <w:tc>
          <w:p>
            <w:pPr>
              <w:pStyle w:val="Compact"/>
              <w:jc w:val="center"/>
            </w:pPr>
            <w:r>
              <w:t xml:space="preserve">31</w:t>
            </w:r>
          </w:p>
        </w:tc>
        <w:tc>
          <w:p>
            <w:pPr>
              <w:pStyle w:val="Compact"/>
              <w:jc w:val="center"/>
            </w:pPr>
            <w:r>
              <w:t xml:space="preserve">RdNBR2</w:t>
            </w:r>
          </w:p>
        </w:tc>
        <w:tc>
          <w:p>
            <w:pPr>
              <w:pStyle w:val="Compact"/>
              <w:jc w:val="center"/>
            </w:pPr>
            <w:r>
              <w:t xml:space="preserve">32</w:t>
            </w:r>
          </w:p>
        </w:tc>
        <w:tc>
          <w:p>
            <w:pPr>
              <w:pStyle w:val="Compact"/>
              <w:jc w:val="center"/>
            </w:pPr>
            <w:r>
              <w:t xml:space="preserve">bicubic</w:t>
            </w:r>
          </w:p>
        </w:tc>
        <w:tc>
          <w:p>
            <w:pPr>
              <w:pStyle w:val="Compact"/>
              <w:jc w:val="center"/>
            </w:pPr>
            <w:r>
              <w:t xml:space="preserve">0.754</w:t>
            </w:r>
          </w:p>
        </w:tc>
        <w:tc>
          <w:p>
            <w:pPr>
              <w:pStyle w:val="Compact"/>
              <w:jc w:val="center"/>
            </w:pPr>
            <w:r>
              <w:t xml:space="preserve">1.426</w:t>
            </w:r>
          </w:p>
        </w:tc>
        <w:tc>
          <w:p>
            <w:pPr>
              <w:pStyle w:val="Compact"/>
              <w:jc w:val="center"/>
            </w:pPr>
            <w:r>
              <w:t xml:space="preserve">0.601</w:t>
            </w:r>
          </w:p>
        </w:tc>
        <w:tc>
          <w:p>
            <w:pPr>
              <w:pStyle w:val="Compact"/>
              <w:jc w:val="center"/>
            </w:pPr>
            <w:r>
              <w:t xml:space="preserve">1.125</w:t>
            </w:r>
          </w:p>
        </w:tc>
        <w:tc>
          <w:p>
            <w:pPr>
              <w:pStyle w:val="Compact"/>
              <w:jc w:val="center"/>
            </w:pPr>
            <w:r>
              <w:t xml:space="preserve">2.098</w:t>
            </w:r>
          </w:p>
        </w:tc>
        <w:tc>
          <w:p>
            <w:pPr>
              <w:pStyle w:val="Compact"/>
              <w:jc w:val="center"/>
            </w:pPr>
            <w:r>
              <w:t xml:space="preserve">3.876</w:t>
            </w:r>
          </w:p>
        </w:tc>
        <w:tc>
          <w:p>
            <w:pPr>
              <w:pStyle w:val="Compact"/>
              <w:jc w:val="center"/>
            </w:pPr>
            <w:r>
              <w:t xml:space="preserve">8.975</w:t>
            </w:r>
          </w:p>
        </w:tc>
      </w:tr>
      <w:tr>
        <w:tc>
          <w:p>
            <w:pPr>
              <w:pStyle w:val="Compact"/>
              <w:jc w:val="center"/>
            </w:pPr>
            <w:r>
              <w:t xml:space="preserve">32</w:t>
            </w:r>
          </w:p>
        </w:tc>
        <w:tc>
          <w:p>
            <w:pPr>
              <w:pStyle w:val="Compact"/>
              <w:jc w:val="center"/>
            </w:pPr>
            <w:r>
              <w:t xml:space="preserve">dNBR</w:t>
            </w:r>
          </w:p>
        </w:tc>
        <w:tc>
          <w:p>
            <w:pPr>
              <w:pStyle w:val="Compact"/>
              <w:jc w:val="center"/>
            </w:pPr>
            <w:r>
              <w:t xml:space="preserve">64</w:t>
            </w:r>
          </w:p>
        </w:tc>
        <w:tc>
          <w:p>
            <w:pPr>
              <w:pStyle w:val="Compact"/>
              <w:jc w:val="center"/>
            </w:pPr>
            <w:r>
              <w:t xml:space="preserve">bicubic</w:t>
            </w:r>
          </w:p>
        </w:tc>
        <w:tc>
          <w:p>
            <w:pPr>
              <w:pStyle w:val="Compact"/>
              <w:jc w:val="center"/>
            </w:pPr>
            <w:r>
              <w:t xml:space="preserve">0.753</w:t>
            </w:r>
          </w:p>
        </w:tc>
        <w:tc>
          <w:p>
            <w:pPr>
              <w:pStyle w:val="Compact"/>
              <w:jc w:val="center"/>
            </w:pPr>
            <w:r>
              <w:t xml:space="preserve">0.033</w:t>
            </w:r>
          </w:p>
        </w:tc>
        <w:tc>
          <w:p>
            <w:pPr>
              <w:pStyle w:val="Compact"/>
              <w:jc w:val="center"/>
            </w:pPr>
            <w:r>
              <w:t xml:space="preserve">0.033</w:t>
            </w:r>
          </w:p>
        </w:tc>
        <w:tc>
          <w:p>
            <w:pPr>
              <w:pStyle w:val="Compact"/>
              <w:jc w:val="center"/>
            </w:pPr>
            <w:r>
              <w:t xml:space="preserve">1.086</w:t>
            </w:r>
          </w:p>
        </w:tc>
        <w:tc>
          <w:p>
            <w:pPr>
              <w:pStyle w:val="Compact"/>
              <w:jc w:val="center"/>
            </w:pPr>
            <w:r>
              <w:t xml:space="preserve">0.07</w:t>
            </w:r>
          </w:p>
        </w:tc>
        <w:tc>
          <w:p>
            <w:pPr>
              <w:pStyle w:val="Compact"/>
              <w:jc w:val="center"/>
            </w:pPr>
            <w:r>
              <w:t xml:space="preserve">0.161</w:t>
            </w:r>
          </w:p>
        </w:tc>
        <w:tc>
          <w:p>
            <w:pPr>
              <w:pStyle w:val="Compact"/>
              <w:jc w:val="center"/>
            </w:pPr>
            <w:r>
              <w:t xml:space="preserve">0.413</w:t>
            </w:r>
          </w:p>
        </w:tc>
      </w:tr>
      <w:tr>
        <w:tc>
          <w:p>
            <w:pPr>
              <w:pStyle w:val="Compact"/>
              <w:jc w:val="center"/>
            </w:pPr>
            <w:r>
              <w:t xml:space="preserve">33</w:t>
            </w:r>
          </w:p>
        </w:tc>
        <w:tc>
          <w:p>
            <w:pPr>
              <w:pStyle w:val="Compact"/>
              <w:jc w:val="center"/>
            </w:pPr>
            <w:r>
              <w:t xml:space="preserve">dNBR</w:t>
            </w:r>
          </w:p>
        </w:tc>
        <w:tc>
          <w:p>
            <w:pPr>
              <w:pStyle w:val="Compact"/>
              <w:jc w:val="center"/>
            </w:pPr>
            <w:r>
              <w:t xml:space="preserve">64</w:t>
            </w:r>
          </w:p>
        </w:tc>
        <w:tc>
          <w:p>
            <w:pPr>
              <w:pStyle w:val="Compact"/>
              <w:jc w:val="center"/>
            </w:pPr>
            <w:r>
              <w:t xml:space="preserve">bilinear</w:t>
            </w:r>
          </w:p>
        </w:tc>
        <w:tc>
          <w:p>
            <w:pPr>
              <w:pStyle w:val="Compact"/>
              <w:jc w:val="center"/>
            </w:pPr>
            <w:r>
              <w:t xml:space="preserve">0.751</w:t>
            </w:r>
          </w:p>
        </w:tc>
        <w:tc>
          <w:p>
            <w:pPr>
              <w:pStyle w:val="Compact"/>
              <w:jc w:val="center"/>
            </w:pPr>
            <w:r>
              <w:t xml:space="preserve">0.035</w:t>
            </w:r>
          </w:p>
        </w:tc>
        <w:tc>
          <w:p>
            <w:pPr>
              <w:pStyle w:val="Compact"/>
              <w:jc w:val="center"/>
            </w:pPr>
            <w:r>
              <w:t xml:space="preserve">0.033</w:t>
            </w:r>
          </w:p>
        </w:tc>
        <w:tc>
          <w:p>
            <w:pPr>
              <w:pStyle w:val="Compact"/>
              <w:jc w:val="center"/>
            </w:pPr>
            <w:r>
              <w:t xml:space="preserve">1.08</w:t>
            </w:r>
          </w:p>
        </w:tc>
        <w:tc>
          <w:p>
            <w:pPr>
              <w:pStyle w:val="Compact"/>
              <w:jc w:val="center"/>
            </w:pPr>
            <w:r>
              <w:t xml:space="preserve">0.071</w:t>
            </w:r>
          </w:p>
        </w:tc>
        <w:tc>
          <w:p>
            <w:pPr>
              <w:pStyle w:val="Compact"/>
              <w:jc w:val="center"/>
            </w:pPr>
            <w:r>
              <w:t xml:space="preserve">0.161</w:t>
            </w:r>
          </w:p>
        </w:tc>
        <w:tc>
          <w:p>
            <w:pPr>
              <w:pStyle w:val="Compact"/>
              <w:jc w:val="center"/>
            </w:pPr>
            <w:r>
              <w:t xml:space="preserve">0.406</w:t>
            </w:r>
          </w:p>
        </w:tc>
      </w:tr>
      <w:tr>
        <w:tc>
          <w:p>
            <w:pPr>
              <w:pStyle w:val="Compact"/>
              <w:jc w:val="center"/>
            </w:pPr>
            <w:r>
              <w:t xml:space="preserve">34</w:t>
            </w:r>
          </w:p>
        </w:tc>
        <w:tc>
          <w:p>
            <w:pPr>
              <w:pStyle w:val="Compact"/>
              <w:jc w:val="center"/>
            </w:pPr>
            <w:r>
              <w:t xml:space="preserve">RdNBR2</w:t>
            </w:r>
          </w:p>
        </w:tc>
        <w:tc>
          <w:p>
            <w:pPr>
              <w:pStyle w:val="Compact"/>
              <w:jc w:val="center"/>
            </w:pPr>
            <w:r>
              <w:t xml:space="preserve">48</w:t>
            </w:r>
          </w:p>
        </w:tc>
        <w:tc>
          <w:p>
            <w:pPr>
              <w:pStyle w:val="Compact"/>
              <w:jc w:val="center"/>
            </w:pPr>
            <w:r>
              <w:t xml:space="preserve">bicubic</w:t>
            </w:r>
          </w:p>
        </w:tc>
        <w:tc>
          <w:p>
            <w:pPr>
              <w:pStyle w:val="Compact"/>
              <w:jc w:val="center"/>
            </w:pPr>
            <w:r>
              <w:t xml:space="preserve">0.751</w:t>
            </w:r>
          </w:p>
        </w:tc>
        <w:tc>
          <w:p>
            <w:pPr>
              <w:pStyle w:val="Compact"/>
              <w:jc w:val="center"/>
            </w:pPr>
            <w:r>
              <w:t xml:space="preserve">1.835</w:t>
            </w:r>
          </w:p>
        </w:tc>
        <w:tc>
          <w:p>
            <w:pPr>
              <w:pStyle w:val="Compact"/>
              <w:jc w:val="center"/>
            </w:pPr>
            <w:r>
              <w:t xml:space="preserve">0.46</w:t>
            </w:r>
          </w:p>
        </w:tc>
        <w:tc>
          <w:p>
            <w:pPr>
              <w:pStyle w:val="Compact"/>
              <w:jc w:val="center"/>
            </w:pPr>
            <w:r>
              <w:t xml:space="preserve">1.209</w:t>
            </w:r>
          </w:p>
        </w:tc>
        <w:tc>
          <w:p>
            <w:pPr>
              <w:pStyle w:val="Compact"/>
              <w:jc w:val="center"/>
            </w:pPr>
            <w:r>
              <w:t xml:space="preserve">2.354</w:t>
            </w:r>
          </w:p>
        </w:tc>
        <w:tc>
          <w:p>
            <w:pPr>
              <w:pStyle w:val="Compact"/>
              <w:jc w:val="center"/>
            </w:pPr>
            <w:r>
              <w:t xml:space="preserve">3.919</w:t>
            </w:r>
          </w:p>
        </w:tc>
        <w:tc>
          <w:p>
            <w:pPr>
              <w:pStyle w:val="Compact"/>
              <w:jc w:val="center"/>
            </w:pPr>
            <w:r>
              <w:t xml:space="preserve">8.818</w:t>
            </w:r>
          </w:p>
        </w:tc>
      </w:tr>
      <w:tr>
        <w:tc>
          <w:p>
            <w:pPr>
              <w:pStyle w:val="Compact"/>
              <w:jc w:val="center"/>
            </w:pPr>
            <w:r>
              <w:t xml:space="preserve">35</w:t>
            </w:r>
          </w:p>
        </w:tc>
        <w:tc>
          <w:p>
            <w:pPr>
              <w:pStyle w:val="Compact"/>
              <w:jc w:val="center"/>
            </w:pPr>
            <w:r>
              <w:t xml:space="preserve">dNBR</w:t>
            </w:r>
          </w:p>
        </w:tc>
        <w:tc>
          <w:p>
            <w:pPr>
              <w:pStyle w:val="Compact"/>
              <w:jc w:val="center"/>
            </w:pPr>
            <w:r>
              <w:t xml:space="preserve">48</w:t>
            </w:r>
          </w:p>
        </w:tc>
        <w:tc>
          <w:p>
            <w:pPr>
              <w:pStyle w:val="Compact"/>
              <w:jc w:val="center"/>
            </w:pPr>
            <w:r>
              <w:t xml:space="preserve">bilinear</w:t>
            </w:r>
          </w:p>
        </w:tc>
        <w:tc>
          <w:p>
            <w:pPr>
              <w:pStyle w:val="Compact"/>
              <w:jc w:val="center"/>
            </w:pPr>
            <w:r>
              <w:t xml:space="preserve">0.748</w:t>
            </w:r>
          </w:p>
        </w:tc>
        <w:tc>
          <w:p>
            <w:pPr>
              <w:pStyle w:val="Compact"/>
              <w:jc w:val="center"/>
            </w:pPr>
            <w:r>
              <w:t xml:space="preserve">0.035</w:t>
            </w:r>
          </w:p>
        </w:tc>
        <w:tc>
          <w:p>
            <w:pPr>
              <w:pStyle w:val="Compact"/>
              <w:jc w:val="center"/>
            </w:pPr>
            <w:r>
              <w:t xml:space="preserve">0.033</w:t>
            </w:r>
          </w:p>
        </w:tc>
        <w:tc>
          <w:p>
            <w:pPr>
              <w:pStyle w:val="Compact"/>
              <w:jc w:val="center"/>
            </w:pPr>
            <w:r>
              <w:t xml:space="preserve">1.076</w:t>
            </w:r>
          </w:p>
        </w:tc>
        <w:tc>
          <w:p>
            <w:pPr>
              <w:pStyle w:val="Compact"/>
              <w:jc w:val="center"/>
            </w:pPr>
            <w:r>
              <w:t xml:space="preserve">0.071</w:t>
            </w:r>
          </w:p>
        </w:tc>
        <w:tc>
          <w:p>
            <w:pPr>
              <w:pStyle w:val="Compact"/>
              <w:jc w:val="center"/>
            </w:pPr>
            <w:r>
              <w:t xml:space="preserve">0.161</w:t>
            </w:r>
          </w:p>
        </w:tc>
        <w:tc>
          <w:p>
            <w:pPr>
              <w:pStyle w:val="Compact"/>
              <w:jc w:val="center"/>
            </w:pPr>
            <w:r>
              <w:t xml:space="preserve">0.405</w:t>
            </w:r>
          </w:p>
        </w:tc>
      </w:tr>
      <w:tr>
        <w:tc>
          <w:p>
            <w:pPr>
              <w:pStyle w:val="Compact"/>
              <w:jc w:val="center"/>
            </w:pPr>
            <w:r>
              <w:t xml:space="preserve">36</w:t>
            </w:r>
          </w:p>
        </w:tc>
        <w:tc>
          <w:p>
            <w:pPr>
              <w:pStyle w:val="Compact"/>
              <w:jc w:val="center"/>
            </w:pPr>
            <w:r>
              <w:t xml:space="preserve">RdNDVI</w:t>
            </w:r>
          </w:p>
        </w:tc>
        <w:tc>
          <w:p>
            <w:pPr>
              <w:pStyle w:val="Compact"/>
              <w:jc w:val="center"/>
            </w:pPr>
            <w:r>
              <w:t xml:space="preserve">16</w:t>
            </w:r>
          </w:p>
        </w:tc>
        <w:tc>
          <w:p>
            <w:pPr>
              <w:pStyle w:val="Compact"/>
              <w:jc w:val="center"/>
            </w:pPr>
            <w:r>
              <w:t xml:space="preserve">bilinear</w:t>
            </w:r>
          </w:p>
        </w:tc>
        <w:tc>
          <w:p>
            <w:pPr>
              <w:pStyle w:val="Compact"/>
              <w:jc w:val="center"/>
            </w:pPr>
            <w:r>
              <w:t xml:space="preserve">0.747</w:t>
            </w:r>
          </w:p>
        </w:tc>
        <w:tc>
          <w:p>
            <w:pPr>
              <w:pStyle w:val="Compact"/>
              <w:jc w:val="center"/>
            </w:pPr>
            <w:r>
              <w:t xml:space="preserve">-0.983</w:t>
            </w:r>
          </w:p>
        </w:tc>
        <w:tc>
          <w:p>
            <w:pPr>
              <w:pStyle w:val="Compact"/>
              <w:jc w:val="center"/>
            </w:pPr>
            <w:r>
              <w:t xml:space="preserve">2.503</w:t>
            </w:r>
          </w:p>
        </w:tc>
        <w:tc>
          <w:p>
            <w:pPr>
              <w:pStyle w:val="Compact"/>
              <w:jc w:val="center"/>
            </w:pPr>
            <w:r>
              <w:t xml:space="preserve">0.678</w:t>
            </w:r>
          </w:p>
        </w:tc>
        <w:tc>
          <w:p>
            <w:pPr>
              <w:pStyle w:val="Compact"/>
              <w:jc w:val="center"/>
            </w:pPr>
            <w:r>
              <w:t xml:space="preserve">1.695</w:t>
            </w:r>
          </w:p>
        </w:tc>
        <w:tc>
          <w:p>
            <w:pPr>
              <w:pStyle w:val="Compact"/>
              <w:jc w:val="center"/>
            </w:pPr>
            <w:r>
              <w:t xml:space="preserve">4.856</w:t>
            </w:r>
          </w:p>
        </w:tc>
        <w:tc>
          <w:p>
            <w:pPr>
              <w:pStyle w:val="Compact"/>
              <w:jc w:val="center"/>
            </w:pPr>
            <w:r>
              <w:t xml:space="preserve">10.52</w:t>
            </w:r>
          </w:p>
        </w:tc>
      </w:tr>
      <w:tr>
        <w:tc>
          <w:p>
            <w:pPr>
              <w:pStyle w:val="Compact"/>
              <w:jc w:val="center"/>
            </w:pPr>
            <w:r>
              <w:t xml:space="preserve">37</w:t>
            </w:r>
          </w:p>
        </w:tc>
        <w:tc>
          <w:p>
            <w:pPr>
              <w:pStyle w:val="Compact"/>
              <w:jc w:val="center"/>
            </w:pPr>
            <w:r>
              <w:t xml:space="preserve">dNDVI</w:t>
            </w:r>
          </w:p>
        </w:tc>
        <w:tc>
          <w:p>
            <w:pPr>
              <w:pStyle w:val="Compact"/>
              <w:jc w:val="center"/>
            </w:pPr>
            <w:r>
              <w:t xml:space="preserve">64</w:t>
            </w:r>
          </w:p>
        </w:tc>
        <w:tc>
          <w:p>
            <w:pPr>
              <w:pStyle w:val="Compact"/>
              <w:jc w:val="center"/>
            </w:pPr>
            <w:r>
              <w:t xml:space="preserve">bicubic</w:t>
            </w:r>
          </w:p>
        </w:tc>
        <w:tc>
          <w:p>
            <w:pPr>
              <w:pStyle w:val="Compact"/>
              <w:jc w:val="center"/>
            </w:pPr>
            <w:r>
              <w:t xml:space="preserve">0.746</w:t>
            </w:r>
          </w:p>
        </w:tc>
        <w:tc>
          <w:p>
            <w:pPr>
              <w:pStyle w:val="Compact"/>
              <w:jc w:val="center"/>
            </w:pPr>
            <w:r>
              <w:t xml:space="preserve">-0.055</w:t>
            </w:r>
          </w:p>
        </w:tc>
        <w:tc>
          <w:p>
            <w:pPr>
              <w:pStyle w:val="Compact"/>
              <w:jc w:val="center"/>
            </w:pPr>
            <w:r>
              <w:t xml:space="preserve">0.082</w:t>
            </w:r>
          </w:p>
        </w:tc>
        <w:tc>
          <w:p>
            <w:pPr>
              <w:pStyle w:val="Compact"/>
              <w:jc w:val="center"/>
            </w:pPr>
            <w:r>
              <w:t xml:space="preserve">0.609</w:t>
            </w:r>
          </w:p>
        </w:tc>
        <w:tc>
          <w:p>
            <w:pPr>
              <w:pStyle w:val="Compact"/>
              <w:jc w:val="center"/>
            </w:pPr>
            <w:r>
              <w:t xml:space="preserve">0.032</w:t>
            </w:r>
          </w:p>
        </w:tc>
        <w:tc>
          <w:p>
            <w:pPr>
              <w:pStyle w:val="Compact"/>
              <w:jc w:val="center"/>
            </w:pPr>
            <w:r>
              <w:t xml:space="preserve">0.12</w:t>
            </w:r>
          </w:p>
        </w:tc>
        <w:tc>
          <w:p>
            <w:pPr>
              <w:pStyle w:val="Compact"/>
              <w:jc w:val="center"/>
            </w:pPr>
            <w:r>
              <w:t xml:space="preserve">0.266</w:t>
            </w:r>
          </w:p>
        </w:tc>
      </w:tr>
      <w:tr>
        <w:tc>
          <w:p>
            <w:pPr>
              <w:pStyle w:val="Compact"/>
              <w:jc w:val="center"/>
            </w:pPr>
            <w:r>
              <w:t xml:space="preserve">38</w:t>
            </w:r>
          </w:p>
        </w:tc>
        <w:tc>
          <w:p>
            <w:pPr>
              <w:pStyle w:val="Compact"/>
              <w:jc w:val="center"/>
            </w:pPr>
            <w:r>
              <w:t xml:space="preserve">dNDVI</w:t>
            </w:r>
          </w:p>
        </w:tc>
        <w:tc>
          <w:p>
            <w:pPr>
              <w:pStyle w:val="Compact"/>
              <w:jc w:val="center"/>
            </w:pPr>
            <w:r>
              <w:t xml:space="preserve">64</w:t>
            </w:r>
          </w:p>
        </w:tc>
        <w:tc>
          <w:p>
            <w:pPr>
              <w:pStyle w:val="Compact"/>
              <w:jc w:val="center"/>
            </w:pPr>
            <w:r>
              <w:t xml:space="preserve">bilinear</w:t>
            </w:r>
          </w:p>
        </w:tc>
        <w:tc>
          <w:p>
            <w:pPr>
              <w:pStyle w:val="Compact"/>
              <w:jc w:val="center"/>
            </w:pPr>
            <w:r>
              <w:t xml:space="preserve">0.741</w:t>
            </w:r>
          </w:p>
        </w:tc>
        <w:tc>
          <w:p>
            <w:pPr>
              <w:pStyle w:val="Compact"/>
              <w:jc w:val="center"/>
            </w:pPr>
            <w:r>
              <w:t xml:space="preserve">-0.046</w:t>
            </w:r>
          </w:p>
        </w:tc>
        <w:tc>
          <w:p>
            <w:pPr>
              <w:pStyle w:val="Compact"/>
              <w:jc w:val="center"/>
            </w:pPr>
            <w:r>
              <w:t xml:space="preserve">0.075</w:t>
            </w:r>
          </w:p>
        </w:tc>
        <w:tc>
          <w:p>
            <w:pPr>
              <w:pStyle w:val="Compact"/>
              <w:jc w:val="center"/>
            </w:pPr>
            <w:r>
              <w:t xml:space="preserve">0.627</w:t>
            </w:r>
          </w:p>
        </w:tc>
        <w:tc>
          <w:p>
            <w:pPr>
              <w:pStyle w:val="Compact"/>
              <w:jc w:val="center"/>
            </w:pPr>
            <w:r>
              <w:t xml:space="preserve">0.034</w:t>
            </w:r>
          </w:p>
        </w:tc>
        <w:tc>
          <w:p>
            <w:pPr>
              <w:pStyle w:val="Compact"/>
              <w:jc w:val="center"/>
            </w:pPr>
            <w:r>
              <w:t xml:space="preserve">0.118</w:t>
            </w:r>
          </w:p>
        </w:tc>
        <w:tc>
          <w:p>
            <w:pPr>
              <w:pStyle w:val="Compact"/>
              <w:jc w:val="center"/>
            </w:pPr>
            <w:r>
              <w:t xml:space="preserve">0.261</w:t>
            </w:r>
          </w:p>
        </w:tc>
      </w:tr>
      <w:tr>
        <w:tc>
          <w:p>
            <w:pPr>
              <w:pStyle w:val="Compact"/>
              <w:jc w:val="center"/>
            </w:pPr>
            <w:r>
              <w:t xml:space="preserve">39</w:t>
            </w:r>
          </w:p>
        </w:tc>
        <w:tc>
          <w:p>
            <w:pPr>
              <w:pStyle w:val="Compact"/>
              <w:jc w:val="center"/>
            </w:pPr>
            <w:r>
              <w:t xml:space="preserve">RdNBR2</w:t>
            </w:r>
          </w:p>
        </w:tc>
        <w:tc>
          <w:p>
            <w:pPr>
              <w:pStyle w:val="Compact"/>
              <w:jc w:val="center"/>
            </w:pPr>
            <w:r>
              <w:t xml:space="preserve">48</w:t>
            </w:r>
          </w:p>
        </w:tc>
        <w:tc>
          <w:p>
            <w:pPr>
              <w:pStyle w:val="Compact"/>
              <w:jc w:val="center"/>
            </w:pPr>
            <w:r>
              <w:t xml:space="preserve">bilinear</w:t>
            </w:r>
          </w:p>
        </w:tc>
        <w:tc>
          <w:p>
            <w:pPr>
              <w:pStyle w:val="Compact"/>
              <w:jc w:val="center"/>
            </w:pPr>
            <w:r>
              <w:t xml:space="preserve">0.737</w:t>
            </w:r>
          </w:p>
        </w:tc>
        <w:tc>
          <w:p>
            <w:pPr>
              <w:pStyle w:val="Compact"/>
              <w:jc w:val="center"/>
            </w:pPr>
            <w:r>
              <w:t xml:space="preserve">1.802</w:t>
            </w:r>
          </w:p>
        </w:tc>
        <w:tc>
          <w:p>
            <w:pPr>
              <w:pStyle w:val="Compact"/>
              <w:jc w:val="center"/>
            </w:pPr>
            <w:r>
              <w:t xml:space="preserve">0.497</w:t>
            </w:r>
          </w:p>
        </w:tc>
        <w:tc>
          <w:p>
            <w:pPr>
              <w:pStyle w:val="Compact"/>
              <w:jc w:val="center"/>
            </w:pPr>
            <w:r>
              <w:t xml:space="preserve">1.174</w:t>
            </w:r>
          </w:p>
        </w:tc>
        <w:tc>
          <w:p>
            <w:pPr>
              <w:pStyle w:val="Compact"/>
              <w:jc w:val="center"/>
            </w:pPr>
            <w:r>
              <w:t xml:space="preserve">2.361</w:t>
            </w:r>
          </w:p>
        </w:tc>
        <w:tc>
          <w:p>
            <w:pPr>
              <w:pStyle w:val="Compact"/>
              <w:jc w:val="center"/>
            </w:pPr>
            <w:r>
              <w:t xml:space="preserve">3.956</w:t>
            </w:r>
          </w:p>
        </w:tc>
        <w:tc>
          <w:p>
            <w:pPr>
              <w:pStyle w:val="Compact"/>
              <w:jc w:val="center"/>
            </w:pPr>
            <w:r>
              <w:t xml:space="preserve">8.766</w:t>
            </w:r>
          </w:p>
        </w:tc>
      </w:tr>
      <w:tr>
        <w:tc>
          <w:p>
            <w:pPr>
              <w:pStyle w:val="Compact"/>
              <w:jc w:val="center"/>
            </w:pPr>
            <w:r>
              <w:t xml:space="preserve">40</w:t>
            </w:r>
          </w:p>
        </w:tc>
        <w:tc>
          <w:p>
            <w:pPr>
              <w:pStyle w:val="Compact"/>
              <w:jc w:val="center"/>
            </w:pPr>
            <w:r>
              <w:t xml:space="preserve">RdNBR</w:t>
            </w:r>
          </w:p>
        </w:tc>
        <w:tc>
          <w:p>
            <w:pPr>
              <w:pStyle w:val="Compact"/>
              <w:jc w:val="center"/>
            </w:pPr>
            <w:r>
              <w:t xml:space="preserve">64</w:t>
            </w:r>
          </w:p>
        </w:tc>
        <w:tc>
          <w:p>
            <w:pPr>
              <w:pStyle w:val="Compact"/>
              <w:jc w:val="center"/>
            </w:pPr>
            <w:r>
              <w:t xml:space="preserve">bicubic</w:t>
            </w:r>
          </w:p>
        </w:tc>
        <w:tc>
          <w:p>
            <w:pPr>
              <w:pStyle w:val="Compact"/>
              <w:jc w:val="center"/>
            </w:pPr>
            <w:r>
              <w:t xml:space="preserve">0.737</w:t>
            </w:r>
          </w:p>
        </w:tc>
        <w:tc>
          <w:p>
            <w:pPr>
              <w:pStyle w:val="Compact"/>
              <w:jc w:val="center"/>
            </w:pPr>
            <w:r>
              <w:t xml:space="preserve">-1.448</w:t>
            </w:r>
          </w:p>
        </w:tc>
        <w:tc>
          <w:p>
            <w:pPr>
              <w:pStyle w:val="Compact"/>
              <w:jc w:val="center"/>
            </w:pPr>
            <w:r>
              <w:t xml:space="preserve">3.651</w:t>
            </w:r>
          </w:p>
        </w:tc>
        <w:tc>
          <w:p>
            <w:pPr>
              <w:pStyle w:val="Compact"/>
              <w:jc w:val="center"/>
            </w:pPr>
            <w:r>
              <w:t xml:space="preserve">0.819</w:t>
            </w:r>
          </w:p>
        </w:tc>
        <w:tc>
          <w:p>
            <w:pPr>
              <w:pStyle w:val="Compact"/>
              <w:jc w:val="center"/>
            </w:pPr>
            <w:r>
              <w:t xml:space="preserve">2.515</w:t>
            </w:r>
          </w:p>
        </w:tc>
        <w:tc>
          <w:p>
            <w:pPr>
              <w:pStyle w:val="Compact"/>
              <w:jc w:val="center"/>
            </w:pPr>
            <w:r>
              <w:t xml:space="preserve">8.717</w:t>
            </w:r>
          </w:p>
        </w:tc>
        <w:tc>
          <w:p>
            <w:pPr>
              <w:pStyle w:val="Compact"/>
              <w:jc w:val="center"/>
            </w:pPr>
            <w:r>
              <w:t xml:space="preserve">21.61</w:t>
            </w:r>
          </w:p>
        </w:tc>
      </w:tr>
      <w:tr>
        <w:tc>
          <w:p>
            <w:pPr>
              <w:pStyle w:val="Compact"/>
              <w:jc w:val="center"/>
            </w:pPr>
            <w:r>
              <w:t xml:space="preserve">41</w:t>
            </w:r>
          </w:p>
        </w:tc>
        <w:tc>
          <w:p>
            <w:pPr>
              <w:pStyle w:val="Compact"/>
              <w:jc w:val="center"/>
            </w:pPr>
            <w:r>
              <w:t xml:space="preserve">RdNBR2</w:t>
            </w:r>
          </w:p>
        </w:tc>
        <w:tc>
          <w:p>
            <w:pPr>
              <w:pStyle w:val="Compact"/>
              <w:jc w:val="center"/>
            </w:pPr>
            <w:r>
              <w:t xml:space="preserve">64</w:t>
            </w:r>
          </w:p>
        </w:tc>
        <w:tc>
          <w:p>
            <w:pPr>
              <w:pStyle w:val="Compact"/>
              <w:jc w:val="center"/>
            </w:pPr>
            <w:r>
              <w:t xml:space="preserve">bilinear</w:t>
            </w:r>
          </w:p>
        </w:tc>
        <w:tc>
          <w:p>
            <w:pPr>
              <w:pStyle w:val="Compact"/>
              <w:jc w:val="center"/>
            </w:pPr>
            <w:r>
              <w:t xml:space="preserve">0.735</w:t>
            </w:r>
          </w:p>
        </w:tc>
        <w:tc>
          <w:p>
            <w:pPr>
              <w:pStyle w:val="Compact"/>
              <w:jc w:val="center"/>
            </w:pPr>
            <w:r>
              <w:t xml:space="preserve">2.027</w:t>
            </w:r>
          </w:p>
        </w:tc>
        <w:tc>
          <w:p>
            <w:pPr>
              <w:pStyle w:val="Compact"/>
              <w:jc w:val="center"/>
            </w:pPr>
            <w:r>
              <w:t xml:space="preserve">0.451</w:t>
            </w:r>
          </w:p>
        </w:tc>
        <w:tc>
          <w:p>
            <w:pPr>
              <w:pStyle w:val="Compact"/>
              <w:jc w:val="center"/>
            </w:pPr>
            <w:r>
              <w:t xml:space="preserve">1.204</w:t>
            </w:r>
          </w:p>
        </w:tc>
        <w:tc>
          <w:p>
            <w:pPr>
              <w:pStyle w:val="Compact"/>
              <w:jc w:val="center"/>
            </w:pPr>
            <w:r>
              <w:t xml:space="preserve">2.536</w:t>
            </w:r>
          </w:p>
        </w:tc>
        <w:tc>
          <w:p>
            <w:pPr>
              <w:pStyle w:val="Compact"/>
              <w:jc w:val="center"/>
            </w:pPr>
            <w:r>
              <w:t xml:space="preserve">4.06</w:t>
            </w:r>
          </w:p>
        </w:tc>
        <w:tc>
          <w:p>
            <w:pPr>
              <w:pStyle w:val="Compact"/>
              <w:jc w:val="center"/>
            </w:pPr>
            <w:r>
              <w:t xml:space="preserve">8.801</w:t>
            </w:r>
          </w:p>
        </w:tc>
      </w:tr>
      <w:tr>
        <w:tc>
          <w:p>
            <w:pPr>
              <w:pStyle w:val="Compact"/>
              <w:jc w:val="center"/>
            </w:pPr>
            <w:r>
              <w:t xml:space="preserve">42</w:t>
            </w:r>
          </w:p>
        </w:tc>
        <w:tc>
          <w:p>
            <w:pPr>
              <w:pStyle w:val="Compact"/>
              <w:jc w:val="center"/>
            </w:pPr>
            <w:r>
              <w:t xml:space="preserve">dNBR</w:t>
            </w:r>
          </w:p>
        </w:tc>
        <w:tc>
          <w:p>
            <w:pPr>
              <w:pStyle w:val="Compact"/>
              <w:jc w:val="center"/>
            </w:pPr>
            <w:r>
              <w:t xml:space="preserve">16</w:t>
            </w:r>
          </w:p>
        </w:tc>
        <w:tc>
          <w:p>
            <w:pPr>
              <w:pStyle w:val="Compact"/>
              <w:jc w:val="center"/>
            </w:pPr>
            <w:r>
              <w:t xml:space="preserve">bicubic</w:t>
            </w:r>
          </w:p>
        </w:tc>
        <w:tc>
          <w:p>
            <w:pPr>
              <w:pStyle w:val="Compact"/>
              <w:jc w:val="center"/>
            </w:pPr>
            <w:r>
              <w:t xml:space="preserve">0.729</w:t>
            </w:r>
          </w:p>
        </w:tc>
        <w:tc>
          <w:p>
            <w:pPr>
              <w:pStyle w:val="Compact"/>
              <w:jc w:val="center"/>
            </w:pPr>
            <w:r>
              <w:t xml:space="preserve">0.032</w:t>
            </w:r>
          </w:p>
        </w:tc>
        <w:tc>
          <w:p>
            <w:pPr>
              <w:pStyle w:val="Compact"/>
              <w:jc w:val="center"/>
            </w:pPr>
            <w:r>
              <w:t xml:space="preserve">0.036</w:t>
            </w:r>
          </w:p>
        </w:tc>
        <w:tc>
          <w:p>
            <w:pPr>
              <w:pStyle w:val="Compact"/>
              <w:jc w:val="center"/>
            </w:pPr>
            <w:r>
              <w:t xml:space="preserve">1.058</w:t>
            </w:r>
          </w:p>
        </w:tc>
        <w:tc>
          <w:p>
            <w:pPr>
              <w:pStyle w:val="Compact"/>
              <w:jc w:val="center"/>
            </w:pPr>
            <w:r>
              <w:t xml:space="preserve">0.072</w:t>
            </w:r>
          </w:p>
        </w:tc>
        <w:tc>
          <w:p>
            <w:pPr>
              <w:pStyle w:val="Compact"/>
              <w:jc w:val="center"/>
            </w:pPr>
            <w:r>
              <w:t xml:space="preserve">0.168</w:t>
            </w:r>
          </w:p>
        </w:tc>
        <w:tc>
          <w:p>
            <w:pPr>
              <w:pStyle w:val="Compact"/>
              <w:jc w:val="center"/>
            </w:pPr>
            <w:r>
              <w:t xml:space="preserve">0.423</w:t>
            </w:r>
          </w:p>
        </w:tc>
      </w:tr>
      <w:tr>
        <w:tc>
          <w:p>
            <w:pPr>
              <w:pStyle w:val="Compact"/>
              <w:jc w:val="center"/>
            </w:pPr>
            <w:r>
              <w:t xml:space="preserve">43</w:t>
            </w:r>
          </w:p>
        </w:tc>
        <w:tc>
          <w:p>
            <w:pPr>
              <w:pStyle w:val="Compact"/>
              <w:jc w:val="center"/>
            </w:pPr>
            <w:r>
              <w:t xml:space="preserve">dNBR2</w:t>
            </w:r>
          </w:p>
        </w:tc>
        <w:tc>
          <w:p>
            <w:pPr>
              <w:pStyle w:val="Compact"/>
              <w:jc w:val="center"/>
            </w:pPr>
            <w:r>
              <w:t xml:space="preserve">32</w:t>
            </w:r>
          </w:p>
        </w:tc>
        <w:tc>
          <w:p>
            <w:pPr>
              <w:pStyle w:val="Compact"/>
              <w:jc w:val="center"/>
            </w:pPr>
            <w:r>
              <w:t xml:space="preserve">bilinear</w:t>
            </w:r>
          </w:p>
        </w:tc>
        <w:tc>
          <w:p>
            <w:pPr>
              <w:pStyle w:val="Compact"/>
              <w:jc w:val="center"/>
            </w:pPr>
            <w:r>
              <w:t xml:space="preserve">0.727</w:t>
            </w:r>
          </w:p>
        </w:tc>
        <w:tc>
          <w:p>
            <w:pPr>
              <w:pStyle w:val="Compact"/>
              <w:jc w:val="center"/>
            </w:pPr>
            <w:r>
              <w:t xml:space="preserve">0.026</w:t>
            </w:r>
          </w:p>
        </w:tc>
        <w:tc>
          <w:p>
            <w:pPr>
              <w:pStyle w:val="Compact"/>
              <w:jc w:val="center"/>
            </w:pPr>
            <w:r>
              <w:t xml:space="preserve">0.009</w:t>
            </w:r>
          </w:p>
        </w:tc>
        <w:tc>
          <w:p>
            <w:pPr>
              <w:pStyle w:val="Compact"/>
              <w:jc w:val="center"/>
            </w:pPr>
            <w:r>
              <w:t xml:space="preserve">1.149</w:t>
            </w:r>
          </w:p>
        </w:tc>
        <w:tc>
          <w:p>
            <w:pPr>
              <w:pStyle w:val="Compact"/>
              <w:jc w:val="center"/>
            </w:pPr>
            <w:r>
              <w:t xml:space="preserve">0.035</w:t>
            </w:r>
          </w:p>
        </w:tc>
        <w:tc>
          <w:p>
            <w:pPr>
              <w:pStyle w:val="Compact"/>
              <w:jc w:val="center"/>
            </w:pPr>
            <w:r>
              <w:t xml:space="preserve">0.062</w:t>
            </w:r>
          </w:p>
        </w:tc>
        <w:tc>
          <w:p>
            <w:pPr>
              <w:pStyle w:val="Compact"/>
              <w:jc w:val="center"/>
            </w:pPr>
            <w:r>
              <w:t xml:space="preserve">0.14</w:t>
            </w:r>
          </w:p>
        </w:tc>
      </w:tr>
      <w:tr>
        <w:tc>
          <w:p>
            <w:pPr>
              <w:pStyle w:val="Compact"/>
              <w:jc w:val="center"/>
            </w:pPr>
            <w:r>
              <w:t xml:space="preserve">44</w:t>
            </w:r>
          </w:p>
        </w:tc>
        <w:tc>
          <w:p>
            <w:pPr>
              <w:pStyle w:val="Compact"/>
              <w:jc w:val="center"/>
            </w:pPr>
            <w:r>
              <w:t xml:space="preserve">dNDVI</w:t>
            </w:r>
          </w:p>
        </w:tc>
        <w:tc>
          <w:p>
            <w:pPr>
              <w:pStyle w:val="Compact"/>
              <w:jc w:val="center"/>
            </w:pPr>
            <w:r>
              <w:t xml:space="preserve">16</w:t>
            </w:r>
          </w:p>
        </w:tc>
        <w:tc>
          <w:p>
            <w:pPr>
              <w:pStyle w:val="Compact"/>
              <w:jc w:val="center"/>
            </w:pPr>
            <w:r>
              <w:t xml:space="preserve">bicubic</w:t>
            </w:r>
          </w:p>
        </w:tc>
        <w:tc>
          <w:p>
            <w:pPr>
              <w:pStyle w:val="Compact"/>
              <w:jc w:val="center"/>
            </w:pPr>
            <w:r>
              <w:t xml:space="preserve">0.726</w:t>
            </w:r>
          </w:p>
        </w:tc>
        <w:tc>
          <w:p>
            <w:pPr>
              <w:pStyle w:val="Compact"/>
              <w:jc w:val="center"/>
            </w:pPr>
            <w:r>
              <w:t xml:space="preserve">-0.03</w:t>
            </w:r>
          </w:p>
        </w:tc>
        <w:tc>
          <w:p>
            <w:pPr>
              <w:pStyle w:val="Compact"/>
              <w:jc w:val="center"/>
            </w:pPr>
            <w:r>
              <w:t xml:space="preserve">0.065</w:t>
            </w:r>
          </w:p>
        </w:tc>
        <w:tc>
          <w:p>
            <w:pPr>
              <w:pStyle w:val="Compact"/>
              <w:jc w:val="center"/>
            </w:pPr>
            <w:r>
              <w:t xml:space="preserve">0.674</w:t>
            </w:r>
          </w:p>
        </w:tc>
        <w:tc>
          <w:p>
            <w:pPr>
              <w:pStyle w:val="Compact"/>
              <w:jc w:val="center"/>
            </w:pPr>
            <w:r>
              <w:t xml:space="preserve">0.04</w:t>
            </w:r>
          </w:p>
        </w:tc>
        <w:tc>
          <w:p>
            <w:pPr>
              <w:pStyle w:val="Compact"/>
              <w:jc w:val="center"/>
            </w:pPr>
            <w:r>
              <w:t xml:space="preserve">0.121</w:t>
            </w:r>
          </w:p>
        </w:tc>
        <w:tc>
          <w:p>
            <w:pPr>
              <w:pStyle w:val="Compact"/>
              <w:jc w:val="center"/>
            </w:pPr>
            <w:r>
              <w:t xml:space="preserve">0.267</w:t>
            </w:r>
          </w:p>
        </w:tc>
      </w:tr>
      <w:tr>
        <w:tc>
          <w:p>
            <w:pPr>
              <w:pStyle w:val="Compact"/>
              <w:jc w:val="center"/>
            </w:pPr>
            <w:r>
              <w:t xml:space="preserve">45</w:t>
            </w:r>
          </w:p>
        </w:tc>
        <w:tc>
          <w:p>
            <w:pPr>
              <w:pStyle w:val="Compact"/>
              <w:jc w:val="center"/>
            </w:pPr>
            <w:r>
              <w:t xml:space="preserve">RdNDVI</w:t>
            </w:r>
          </w:p>
        </w:tc>
        <w:tc>
          <w:p>
            <w:pPr>
              <w:pStyle w:val="Compact"/>
              <w:jc w:val="center"/>
            </w:pPr>
            <w:r>
              <w:t xml:space="preserve">16</w:t>
            </w:r>
          </w:p>
        </w:tc>
        <w:tc>
          <w:p>
            <w:pPr>
              <w:pStyle w:val="Compact"/>
              <w:jc w:val="center"/>
            </w:pPr>
            <w:r>
              <w:t xml:space="preserve">bicubic</w:t>
            </w:r>
          </w:p>
        </w:tc>
        <w:tc>
          <w:p>
            <w:pPr>
              <w:pStyle w:val="Compact"/>
              <w:jc w:val="center"/>
            </w:pPr>
            <w:r>
              <w:t xml:space="preserve">0.725</w:t>
            </w:r>
          </w:p>
        </w:tc>
        <w:tc>
          <w:p>
            <w:pPr>
              <w:pStyle w:val="Compact"/>
              <w:jc w:val="center"/>
            </w:pPr>
            <w:r>
              <w:t xml:space="preserve">-1.248</w:t>
            </w:r>
          </w:p>
        </w:tc>
        <w:tc>
          <w:p>
            <w:pPr>
              <w:pStyle w:val="Compact"/>
              <w:jc w:val="center"/>
            </w:pPr>
            <w:r>
              <w:t xml:space="preserve">2.681</w:t>
            </w:r>
          </w:p>
        </w:tc>
        <w:tc>
          <w:p>
            <w:pPr>
              <w:pStyle w:val="Compact"/>
              <w:jc w:val="center"/>
            </w:pPr>
            <w:r>
              <w:t xml:space="preserve">0.665</w:t>
            </w:r>
          </w:p>
        </w:tc>
        <w:tc>
          <w:p>
            <w:pPr>
              <w:pStyle w:val="Compact"/>
              <w:jc w:val="center"/>
            </w:pPr>
            <w:r>
              <w:t xml:space="preserve">1.618</w:t>
            </w:r>
          </w:p>
        </w:tc>
        <w:tc>
          <w:p>
            <w:pPr>
              <w:pStyle w:val="Compact"/>
              <w:jc w:val="center"/>
            </w:pPr>
            <w:r>
              <w:t xml:space="preserve">4.908</w:t>
            </w:r>
          </w:p>
        </w:tc>
        <w:tc>
          <w:p>
            <w:pPr>
              <w:pStyle w:val="Compact"/>
              <w:jc w:val="center"/>
            </w:pPr>
            <w:r>
              <w:t xml:space="preserve">10.72</w:t>
            </w:r>
          </w:p>
        </w:tc>
      </w:tr>
      <w:tr>
        <w:tc>
          <w:p>
            <w:pPr>
              <w:pStyle w:val="Compact"/>
              <w:jc w:val="center"/>
            </w:pPr>
            <w:r>
              <w:t xml:space="preserve">46</w:t>
            </w:r>
          </w:p>
        </w:tc>
        <w:tc>
          <w:p>
            <w:pPr>
              <w:pStyle w:val="Compact"/>
              <w:jc w:val="center"/>
            </w:pPr>
            <w:r>
              <w:t xml:space="preserve">dNBR2</w:t>
            </w:r>
          </w:p>
        </w:tc>
        <w:tc>
          <w:p>
            <w:pPr>
              <w:pStyle w:val="Compact"/>
              <w:jc w:val="center"/>
            </w:pPr>
            <w:r>
              <w:t xml:space="preserve">32</w:t>
            </w:r>
          </w:p>
        </w:tc>
        <w:tc>
          <w:p>
            <w:pPr>
              <w:pStyle w:val="Compact"/>
              <w:jc w:val="center"/>
            </w:pPr>
            <w:r>
              <w:t xml:space="preserve">bicubic</w:t>
            </w:r>
          </w:p>
        </w:tc>
        <w:tc>
          <w:p>
            <w:pPr>
              <w:pStyle w:val="Compact"/>
              <w:jc w:val="center"/>
            </w:pPr>
            <w:r>
              <w:t xml:space="preserve">0.715</w:t>
            </w:r>
          </w:p>
        </w:tc>
        <w:tc>
          <w:p>
            <w:pPr>
              <w:pStyle w:val="Compact"/>
              <w:jc w:val="center"/>
            </w:pPr>
            <w:r>
              <w:t xml:space="preserve">0.025</w:t>
            </w:r>
          </w:p>
        </w:tc>
        <w:tc>
          <w:p>
            <w:pPr>
              <w:pStyle w:val="Compact"/>
              <w:jc w:val="center"/>
            </w:pPr>
            <w:r>
              <w:t xml:space="preserve">0.008</w:t>
            </w:r>
          </w:p>
        </w:tc>
        <w:tc>
          <w:p>
            <w:pPr>
              <w:pStyle w:val="Compact"/>
              <w:jc w:val="center"/>
            </w:pPr>
            <w:r>
              <w:t xml:space="preserve">1.177</w:t>
            </w:r>
          </w:p>
        </w:tc>
        <w:tc>
          <w:p>
            <w:pPr>
              <w:pStyle w:val="Compact"/>
              <w:jc w:val="center"/>
            </w:pPr>
            <w:r>
              <w:t xml:space="preserve">0.035</w:t>
            </w:r>
          </w:p>
        </w:tc>
        <w:tc>
          <w:p>
            <w:pPr>
              <w:pStyle w:val="Compact"/>
              <w:jc w:val="center"/>
            </w:pPr>
            <w:r>
              <w:t xml:space="preserve">0.061</w:t>
            </w:r>
          </w:p>
        </w:tc>
        <w:tc>
          <w:p>
            <w:pPr>
              <w:pStyle w:val="Compact"/>
              <w:jc w:val="center"/>
            </w:pPr>
            <w:r>
              <w:t xml:space="preserve">0.142</w:t>
            </w:r>
          </w:p>
        </w:tc>
      </w:tr>
      <w:tr>
        <w:tc>
          <w:p>
            <w:pPr>
              <w:pStyle w:val="Compact"/>
              <w:jc w:val="center"/>
            </w:pPr>
            <w:r>
              <w:t xml:space="preserve">47</w:t>
            </w:r>
          </w:p>
        </w:tc>
        <w:tc>
          <w:p>
            <w:pPr>
              <w:pStyle w:val="Compact"/>
              <w:jc w:val="center"/>
            </w:pPr>
            <w:r>
              <w:t xml:space="preserve">dNBR2</w:t>
            </w:r>
          </w:p>
        </w:tc>
        <w:tc>
          <w:p>
            <w:pPr>
              <w:pStyle w:val="Compact"/>
              <w:jc w:val="center"/>
            </w:pPr>
            <w:r>
              <w:t xml:space="preserve">64</w:t>
            </w:r>
          </w:p>
        </w:tc>
        <w:tc>
          <w:p>
            <w:pPr>
              <w:pStyle w:val="Compact"/>
              <w:jc w:val="center"/>
            </w:pPr>
            <w:r>
              <w:t xml:space="preserve">bilinear</w:t>
            </w:r>
          </w:p>
        </w:tc>
        <w:tc>
          <w:p>
            <w:pPr>
              <w:pStyle w:val="Compact"/>
              <w:jc w:val="center"/>
            </w:pPr>
            <w:r>
              <w:t xml:space="preserve">0.714</w:t>
            </w:r>
          </w:p>
        </w:tc>
        <w:tc>
          <w:p>
            <w:pPr>
              <w:pStyle w:val="Compact"/>
              <w:jc w:val="center"/>
            </w:pPr>
            <w:r>
              <w:t xml:space="preserve">0.036</w:t>
            </w:r>
          </w:p>
        </w:tc>
        <w:tc>
          <w:p>
            <w:pPr>
              <w:pStyle w:val="Compact"/>
              <w:jc w:val="center"/>
            </w:pPr>
            <w:r>
              <w:t xml:space="preserve">0.006</w:t>
            </w:r>
          </w:p>
        </w:tc>
        <w:tc>
          <w:p>
            <w:pPr>
              <w:pStyle w:val="Compact"/>
              <w:jc w:val="center"/>
            </w:pPr>
            <w:r>
              <w:t xml:space="preserve">1.283</w:t>
            </w:r>
          </w:p>
        </w:tc>
        <w:tc>
          <w:p>
            <w:pPr>
              <w:pStyle w:val="Compact"/>
              <w:jc w:val="center"/>
            </w:pPr>
            <w:r>
              <w:t xml:space="preserve">0.043</w:t>
            </w:r>
          </w:p>
        </w:tc>
        <w:tc>
          <w:p>
            <w:pPr>
              <w:pStyle w:val="Compact"/>
              <w:jc w:val="center"/>
            </w:pPr>
            <w:r>
              <w:t xml:space="preserve">0.064</w:t>
            </w:r>
          </w:p>
        </w:tc>
        <w:tc>
          <w:p>
            <w:pPr>
              <w:pStyle w:val="Compact"/>
              <w:jc w:val="center"/>
            </w:pPr>
            <w:r>
              <w:t xml:space="preserve">0.137</w:t>
            </w:r>
          </w:p>
        </w:tc>
      </w:tr>
      <w:tr>
        <w:tc>
          <w:p>
            <w:pPr>
              <w:pStyle w:val="Compact"/>
              <w:jc w:val="center"/>
            </w:pPr>
            <w:r>
              <w:t xml:space="preserve">48</w:t>
            </w:r>
          </w:p>
        </w:tc>
        <w:tc>
          <w:p>
            <w:pPr>
              <w:pStyle w:val="Compact"/>
              <w:jc w:val="center"/>
            </w:pPr>
            <w:r>
              <w:t xml:space="preserve">dNDVI</w:t>
            </w:r>
          </w:p>
        </w:tc>
        <w:tc>
          <w:p>
            <w:pPr>
              <w:pStyle w:val="Compact"/>
              <w:jc w:val="center"/>
            </w:pPr>
            <w:r>
              <w:t xml:space="preserve">16</w:t>
            </w:r>
          </w:p>
        </w:tc>
        <w:tc>
          <w:p>
            <w:pPr>
              <w:pStyle w:val="Compact"/>
              <w:jc w:val="center"/>
            </w:pPr>
            <w:r>
              <w:t xml:space="preserve">bilinear</w:t>
            </w:r>
          </w:p>
        </w:tc>
        <w:tc>
          <w:p>
            <w:pPr>
              <w:pStyle w:val="Compact"/>
              <w:jc w:val="center"/>
            </w:pPr>
            <w:r>
              <w:t xml:space="preserve">0.707</w:t>
            </w:r>
          </w:p>
        </w:tc>
        <w:tc>
          <w:p>
            <w:pPr>
              <w:pStyle w:val="Compact"/>
              <w:jc w:val="center"/>
            </w:pPr>
            <w:r>
              <w:t xml:space="preserve">-0.023</w:t>
            </w:r>
          </w:p>
        </w:tc>
        <w:tc>
          <w:p>
            <w:pPr>
              <w:pStyle w:val="Compact"/>
              <w:jc w:val="center"/>
            </w:pPr>
            <w:r>
              <w:t xml:space="preserve">0.06</w:t>
            </w:r>
          </w:p>
        </w:tc>
        <w:tc>
          <w:p>
            <w:pPr>
              <w:pStyle w:val="Compact"/>
              <w:jc w:val="center"/>
            </w:pPr>
            <w:r>
              <w:t xml:space="preserve">0.689</w:t>
            </w:r>
          </w:p>
        </w:tc>
        <w:tc>
          <w:p>
            <w:pPr>
              <w:pStyle w:val="Compact"/>
              <w:jc w:val="center"/>
            </w:pPr>
            <w:r>
              <w:t xml:space="preserve">0.042</w:t>
            </w:r>
          </w:p>
        </w:tc>
        <w:tc>
          <w:p>
            <w:pPr>
              <w:pStyle w:val="Compact"/>
              <w:jc w:val="center"/>
            </w:pPr>
            <w:r>
              <w:t xml:space="preserve">0.12</w:t>
            </w:r>
          </w:p>
        </w:tc>
        <w:tc>
          <w:p>
            <w:pPr>
              <w:pStyle w:val="Compact"/>
              <w:jc w:val="center"/>
            </w:pPr>
            <w:r>
              <w:t xml:space="preserve">0.261</w:t>
            </w:r>
          </w:p>
        </w:tc>
      </w:tr>
      <w:tr>
        <w:tc>
          <w:p>
            <w:pPr>
              <w:pStyle w:val="Compact"/>
              <w:jc w:val="center"/>
            </w:pPr>
            <w:r>
              <w:t xml:space="preserve">49</w:t>
            </w:r>
          </w:p>
        </w:tc>
        <w:tc>
          <w:p>
            <w:pPr>
              <w:pStyle w:val="Compact"/>
              <w:jc w:val="center"/>
            </w:pPr>
            <w:r>
              <w:t xml:space="preserve">dNBR2</w:t>
            </w:r>
          </w:p>
        </w:tc>
        <w:tc>
          <w:p>
            <w:pPr>
              <w:pStyle w:val="Compact"/>
              <w:jc w:val="center"/>
            </w:pPr>
            <w:r>
              <w:t xml:space="preserve">48</w:t>
            </w:r>
          </w:p>
        </w:tc>
        <w:tc>
          <w:p>
            <w:pPr>
              <w:pStyle w:val="Compact"/>
              <w:jc w:val="center"/>
            </w:pPr>
            <w:r>
              <w:t xml:space="preserve">bilinear</w:t>
            </w:r>
          </w:p>
        </w:tc>
        <w:tc>
          <w:p>
            <w:pPr>
              <w:pStyle w:val="Compact"/>
              <w:jc w:val="center"/>
            </w:pPr>
            <w:r>
              <w:t xml:space="preserve">0.686</w:t>
            </w:r>
          </w:p>
        </w:tc>
        <w:tc>
          <w:p>
            <w:pPr>
              <w:pStyle w:val="Compact"/>
              <w:jc w:val="center"/>
            </w:pPr>
            <w:r>
              <w:t xml:space="preserve">0.033</w:t>
            </w:r>
          </w:p>
        </w:tc>
        <w:tc>
          <w:p>
            <w:pPr>
              <w:pStyle w:val="Compact"/>
              <w:jc w:val="center"/>
            </w:pPr>
            <w:r>
              <w:t xml:space="preserve">0.006</w:t>
            </w:r>
          </w:p>
        </w:tc>
        <w:tc>
          <w:p>
            <w:pPr>
              <w:pStyle w:val="Compact"/>
              <w:jc w:val="center"/>
            </w:pPr>
            <w:r>
              <w:t xml:space="preserve">1.248</w:t>
            </w:r>
          </w:p>
        </w:tc>
        <w:tc>
          <w:p>
            <w:pPr>
              <w:pStyle w:val="Compact"/>
              <w:jc w:val="center"/>
            </w:pPr>
            <w:r>
              <w:t xml:space="preserve">0.04</w:t>
            </w:r>
          </w:p>
        </w:tc>
        <w:tc>
          <w:p>
            <w:pPr>
              <w:pStyle w:val="Compact"/>
              <w:jc w:val="center"/>
            </w:pPr>
            <w:r>
              <w:t xml:space="preserve">0.063</w:t>
            </w:r>
          </w:p>
        </w:tc>
        <w:tc>
          <w:p>
            <w:pPr>
              <w:pStyle w:val="Compact"/>
              <w:jc w:val="center"/>
            </w:pPr>
            <w:r>
              <w:t xml:space="preserve">0.137</w:t>
            </w:r>
          </w:p>
        </w:tc>
      </w:tr>
      <w:tr>
        <w:tc>
          <w:p>
            <w:pPr>
              <w:pStyle w:val="Compact"/>
              <w:jc w:val="center"/>
            </w:pPr>
            <w:r>
              <w:t xml:space="preserve">50</w:t>
            </w:r>
          </w:p>
        </w:tc>
        <w:tc>
          <w:p>
            <w:pPr>
              <w:pStyle w:val="Compact"/>
              <w:jc w:val="center"/>
            </w:pPr>
            <w:r>
              <w:t xml:space="preserve">RdNBR2</w:t>
            </w:r>
          </w:p>
        </w:tc>
        <w:tc>
          <w:p>
            <w:pPr>
              <w:pStyle w:val="Compact"/>
              <w:jc w:val="center"/>
            </w:pPr>
            <w:r>
              <w:t xml:space="preserve">16</w:t>
            </w:r>
          </w:p>
        </w:tc>
        <w:tc>
          <w:p>
            <w:pPr>
              <w:pStyle w:val="Compact"/>
              <w:jc w:val="center"/>
            </w:pPr>
            <w:r>
              <w:t xml:space="preserve">bilinear</w:t>
            </w:r>
          </w:p>
        </w:tc>
        <w:tc>
          <w:p>
            <w:pPr>
              <w:pStyle w:val="Compact"/>
              <w:jc w:val="center"/>
            </w:pPr>
            <w:r>
              <w:t xml:space="preserve">0.682</w:t>
            </w:r>
          </w:p>
        </w:tc>
        <w:tc>
          <w:p>
            <w:pPr>
              <w:pStyle w:val="Compact"/>
              <w:jc w:val="center"/>
            </w:pPr>
            <w:r>
              <w:t xml:space="preserve">1.928</w:t>
            </w:r>
          </w:p>
        </w:tc>
        <w:tc>
          <w:p>
            <w:pPr>
              <w:pStyle w:val="Compact"/>
              <w:jc w:val="center"/>
            </w:pPr>
            <w:r>
              <w:t xml:space="preserve">0.465</w:t>
            </w:r>
          </w:p>
        </w:tc>
        <w:tc>
          <w:p>
            <w:pPr>
              <w:pStyle w:val="Compact"/>
              <w:jc w:val="center"/>
            </w:pPr>
            <w:r>
              <w:t xml:space="preserve">1.189</w:t>
            </w:r>
          </w:p>
        </w:tc>
        <w:tc>
          <w:p>
            <w:pPr>
              <w:pStyle w:val="Compact"/>
              <w:jc w:val="center"/>
            </w:pPr>
            <w:r>
              <w:t xml:space="preserve">2.452</w:t>
            </w:r>
          </w:p>
        </w:tc>
        <w:tc>
          <w:p>
            <w:pPr>
              <w:pStyle w:val="Compact"/>
              <w:jc w:val="center"/>
            </w:pPr>
            <w:r>
              <w:t xml:space="preserve">3.983</w:t>
            </w:r>
          </w:p>
        </w:tc>
        <w:tc>
          <w:p>
            <w:pPr>
              <w:pStyle w:val="Compact"/>
              <w:jc w:val="center"/>
            </w:pPr>
            <w:r>
              <w:t xml:space="preserve">8.676</w:t>
            </w:r>
          </w:p>
        </w:tc>
      </w:tr>
      <w:tr>
        <w:tc>
          <w:p>
            <w:pPr>
              <w:pStyle w:val="Compact"/>
              <w:jc w:val="center"/>
            </w:pPr>
            <w:r>
              <w:t xml:space="preserve">51</w:t>
            </w:r>
          </w:p>
        </w:tc>
        <w:tc>
          <w:p>
            <w:pPr>
              <w:pStyle w:val="Compact"/>
              <w:jc w:val="center"/>
            </w:pPr>
            <w:r>
              <w:t xml:space="preserve">dNBR2</w:t>
            </w:r>
          </w:p>
        </w:tc>
        <w:tc>
          <w:p>
            <w:pPr>
              <w:pStyle w:val="Compact"/>
              <w:jc w:val="center"/>
            </w:pPr>
            <w:r>
              <w:t xml:space="preserve">16</w:t>
            </w:r>
          </w:p>
        </w:tc>
        <w:tc>
          <w:p>
            <w:pPr>
              <w:pStyle w:val="Compact"/>
              <w:jc w:val="center"/>
            </w:pPr>
            <w:r>
              <w:t xml:space="preserve">bilinear</w:t>
            </w:r>
          </w:p>
        </w:tc>
        <w:tc>
          <w:p>
            <w:pPr>
              <w:pStyle w:val="Compact"/>
              <w:jc w:val="center"/>
            </w:pPr>
            <w:r>
              <w:t xml:space="preserve">0.662</w:t>
            </w:r>
          </w:p>
        </w:tc>
        <w:tc>
          <w:p>
            <w:pPr>
              <w:pStyle w:val="Compact"/>
              <w:jc w:val="center"/>
            </w:pPr>
            <w:r>
              <w:t xml:space="preserve">0.03</w:t>
            </w:r>
          </w:p>
        </w:tc>
        <w:tc>
          <w:p>
            <w:pPr>
              <w:pStyle w:val="Compact"/>
              <w:jc w:val="center"/>
            </w:pPr>
            <w:r>
              <w:t xml:space="preserve">0.009</w:t>
            </w:r>
          </w:p>
        </w:tc>
        <w:tc>
          <w:p>
            <w:pPr>
              <w:pStyle w:val="Compact"/>
              <w:jc w:val="center"/>
            </w:pPr>
            <w:r>
              <w:t xml:space="preserve">1.138</w:t>
            </w:r>
          </w:p>
        </w:tc>
        <w:tc>
          <w:p>
            <w:pPr>
              <w:pStyle w:val="Compact"/>
              <w:jc w:val="center"/>
            </w:pPr>
            <w:r>
              <w:t xml:space="preserve">0.04</w:t>
            </w:r>
          </w:p>
        </w:tc>
        <w:tc>
          <w:p>
            <w:pPr>
              <w:pStyle w:val="Compact"/>
              <w:jc w:val="center"/>
            </w:pPr>
            <w:r>
              <w:t xml:space="preserve">0.066</w:t>
            </w:r>
          </w:p>
        </w:tc>
        <w:tc>
          <w:p>
            <w:pPr>
              <w:pStyle w:val="Compact"/>
              <w:jc w:val="center"/>
            </w:pPr>
            <w:r>
              <w:t xml:space="preserve">0.143</w:t>
            </w:r>
          </w:p>
        </w:tc>
      </w:tr>
      <w:tr>
        <w:tc>
          <w:p>
            <w:pPr>
              <w:pStyle w:val="Compact"/>
              <w:jc w:val="center"/>
            </w:pPr>
            <w:r>
              <w:t xml:space="preserve">52</w:t>
            </w:r>
          </w:p>
        </w:tc>
        <w:tc>
          <w:p>
            <w:pPr>
              <w:pStyle w:val="Compact"/>
              <w:jc w:val="center"/>
            </w:pPr>
            <w:r>
              <w:t xml:space="preserve">RdNBR2</w:t>
            </w:r>
          </w:p>
        </w:tc>
        <w:tc>
          <w:p>
            <w:pPr>
              <w:pStyle w:val="Compact"/>
              <w:jc w:val="center"/>
            </w:pPr>
            <w:r>
              <w:t xml:space="preserve">16</w:t>
            </w:r>
          </w:p>
        </w:tc>
        <w:tc>
          <w:p>
            <w:pPr>
              <w:pStyle w:val="Compact"/>
              <w:jc w:val="center"/>
            </w:pPr>
            <w:r>
              <w:t xml:space="preserve">bicubic</w:t>
            </w:r>
          </w:p>
        </w:tc>
        <w:tc>
          <w:p>
            <w:pPr>
              <w:pStyle w:val="Compact"/>
              <w:jc w:val="center"/>
            </w:pPr>
            <w:r>
              <w:t xml:space="preserve">0.654</w:t>
            </w:r>
          </w:p>
        </w:tc>
        <w:tc>
          <w:p>
            <w:pPr>
              <w:pStyle w:val="Compact"/>
              <w:jc w:val="center"/>
            </w:pPr>
            <w:r>
              <w:t xml:space="preserve">1.871</w:t>
            </w:r>
          </w:p>
        </w:tc>
        <w:tc>
          <w:p>
            <w:pPr>
              <w:pStyle w:val="Compact"/>
              <w:jc w:val="center"/>
            </w:pPr>
            <w:r>
              <w:t xml:space="preserve">0.467</w:t>
            </w:r>
          </w:p>
        </w:tc>
        <w:tc>
          <w:p>
            <w:pPr>
              <w:pStyle w:val="Compact"/>
              <w:jc w:val="center"/>
            </w:pPr>
            <w:r>
              <w:t xml:space="preserve">1.198</w:t>
            </w:r>
          </w:p>
        </w:tc>
        <w:tc>
          <w:p>
            <w:pPr>
              <w:pStyle w:val="Compact"/>
              <w:jc w:val="center"/>
            </w:pPr>
            <w:r>
              <w:t xml:space="preserve">2.398</w:t>
            </w:r>
          </w:p>
        </w:tc>
        <w:tc>
          <w:p>
            <w:pPr>
              <w:pStyle w:val="Compact"/>
              <w:jc w:val="center"/>
            </w:pPr>
            <w:r>
              <w:t xml:space="preserve">3.96</w:t>
            </w:r>
          </w:p>
        </w:tc>
        <w:tc>
          <w:p>
            <w:pPr>
              <w:pStyle w:val="Compact"/>
              <w:jc w:val="center"/>
            </w:pPr>
            <w:r>
              <w:t xml:space="preserve">8.792</w:t>
            </w:r>
          </w:p>
        </w:tc>
      </w:tr>
      <w:tr>
        <w:tc>
          <w:p>
            <w:pPr>
              <w:pStyle w:val="Compact"/>
              <w:jc w:val="center"/>
            </w:pPr>
            <w:r>
              <w:t xml:space="preserve">53</w:t>
            </w:r>
          </w:p>
        </w:tc>
        <w:tc>
          <w:p>
            <w:pPr>
              <w:pStyle w:val="Compact"/>
              <w:jc w:val="center"/>
            </w:pPr>
            <w:r>
              <w:t xml:space="preserve">dNBR2</w:t>
            </w:r>
          </w:p>
        </w:tc>
        <w:tc>
          <w:p>
            <w:pPr>
              <w:pStyle w:val="Compact"/>
              <w:jc w:val="center"/>
            </w:pPr>
            <w:r>
              <w:t xml:space="preserve">16</w:t>
            </w:r>
          </w:p>
        </w:tc>
        <w:tc>
          <w:p>
            <w:pPr>
              <w:pStyle w:val="Compact"/>
              <w:jc w:val="center"/>
            </w:pPr>
            <w:r>
              <w:t xml:space="preserve">bicubic</w:t>
            </w:r>
          </w:p>
        </w:tc>
        <w:tc>
          <w:p>
            <w:pPr>
              <w:pStyle w:val="Compact"/>
              <w:jc w:val="center"/>
            </w:pPr>
            <w:r>
              <w:t xml:space="preserve">0.635</w:t>
            </w:r>
          </w:p>
        </w:tc>
        <w:tc>
          <w:p>
            <w:pPr>
              <w:pStyle w:val="Compact"/>
              <w:jc w:val="center"/>
            </w:pPr>
            <w:r>
              <w:t xml:space="preserve">0.029</w:t>
            </w:r>
          </w:p>
        </w:tc>
        <w:tc>
          <w:p>
            <w:pPr>
              <w:pStyle w:val="Compact"/>
              <w:jc w:val="center"/>
            </w:pPr>
            <w:r>
              <w:t xml:space="preserve">0.009</w:t>
            </w:r>
          </w:p>
        </w:tc>
        <w:tc>
          <w:p>
            <w:pPr>
              <w:pStyle w:val="Compact"/>
              <w:jc w:val="center"/>
            </w:pPr>
            <w:r>
              <w:t xml:space="preserve">1.156</w:t>
            </w:r>
          </w:p>
        </w:tc>
        <w:tc>
          <w:p>
            <w:pPr>
              <w:pStyle w:val="Compact"/>
              <w:jc w:val="center"/>
            </w:pPr>
            <w:r>
              <w:t xml:space="preserve">0.039</w:t>
            </w:r>
          </w:p>
        </w:tc>
        <w:tc>
          <w:p>
            <w:pPr>
              <w:pStyle w:val="Compact"/>
              <w:jc w:val="center"/>
            </w:pPr>
            <w:r>
              <w:t xml:space="preserve">0.066</w:t>
            </w:r>
          </w:p>
        </w:tc>
        <w:tc>
          <w:p>
            <w:pPr>
              <w:pStyle w:val="Compact"/>
              <w:jc w:val="center"/>
            </w:pPr>
            <w:r>
              <w:t xml:space="preserve">0.145</w:t>
            </w:r>
          </w:p>
        </w:tc>
      </w:tr>
      <w:tr>
        <w:tc>
          <w:p>
            <w:pPr>
              <w:pStyle w:val="Compact"/>
              <w:jc w:val="center"/>
            </w:pPr>
            <w:r>
              <w:t xml:space="preserve">54</w:t>
            </w:r>
          </w:p>
        </w:tc>
        <w:tc>
          <w:p>
            <w:pPr>
              <w:pStyle w:val="Compact"/>
              <w:jc w:val="center"/>
            </w:pPr>
            <w:r>
              <w:t xml:space="preserve">RdNBR</w:t>
            </w:r>
          </w:p>
        </w:tc>
        <w:tc>
          <w:p>
            <w:pPr>
              <w:pStyle w:val="Compact"/>
              <w:jc w:val="center"/>
            </w:pPr>
            <w:r>
              <w:t xml:space="preserve">48</w:t>
            </w:r>
          </w:p>
        </w:tc>
        <w:tc>
          <w:p>
            <w:pPr>
              <w:pStyle w:val="Compact"/>
              <w:jc w:val="center"/>
            </w:pPr>
            <w:r>
              <w:t xml:space="preserve">bilinear</w:t>
            </w:r>
          </w:p>
        </w:tc>
        <w:tc>
          <w:p>
            <w:pPr>
              <w:pStyle w:val="Compact"/>
              <w:jc w:val="center"/>
            </w:pPr>
            <w:r>
              <w:t xml:space="preserve">0.63</w:t>
            </w:r>
          </w:p>
        </w:tc>
        <w:tc>
          <w:p>
            <w:pPr>
              <w:pStyle w:val="Compact"/>
              <w:jc w:val="center"/>
            </w:pPr>
            <w:r>
              <w:t xml:space="preserve">-3.445</w:t>
            </w:r>
          </w:p>
        </w:tc>
        <w:tc>
          <w:p>
            <w:pPr>
              <w:pStyle w:val="Compact"/>
              <w:jc w:val="center"/>
            </w:pPr>
            <w:r>
              <w:t xml:space="preserve">5.132</w:t>
            </w:r>
          </w:p>
        </w:tc>
        <w:tc>
          <w:p>
            <w:pPr>
              <w:pStyle w:val="Compact"/>
              <w:jc w:val="center"/>
            </w:pPr>
            <w:r>
              <w:t xml:space="preserve">0.724</w:t>
            </w:r>
          </w:p>
        </w:tc>
        <w:tc>
          <w:p>
            <w:pPr>
              <w:pStyle w:val="Compact"/>
              <w:jc w:val="center"/>
            </w:pPr>
            <w:r>
              <w:t xml:space="preserve">2.072</w:t>
            </w:r>
          </w:p>
        </w:tc>
        <w:tc>
          <w:p>
            <w:pPr>
              <w:pStyle w:val="Compact"/>
              <w:jc w:val="center"/>
            </w:pPr>
            <w:r>
              <w:t xml:space="preserve">9.235</w:t>
            </w:r>
          </w:p>
        </w:tc>
        <w:tc>
          <w:p>
            <w:pPr>
              <w:pStyle w:val="Compact"/>
              <w:jc w:val="center"/>
            </w:pPr>
            <w:r>
              <w:t xml:space="preserve">22.7</w:t>
            </w:r>
          </w:p>
        </w:tc>
      </w:tr>
      <w:tr>
        <w:tc>
          <w:p>
            <w:pPr>
              <w:pStyle w:val="Compact"/>
              <w:jc w:val="center"/>
            </w:pPr>
            <w:r>
              <w:t xml:space="preserve">55</w:t>
            </w:r>
          </w:p>
        </w:tc>
        <w:tc>
          <w:p>
            <w:pPr>
              <w:pStyle w:val="Compact"/>
              <w:jc w:val="center"/>
            </w:pPr>
            <w:r>
              <w:t xml:space="preserve">dNBR2</w:t>
            </w:r>
          </w:p>
        </w:tc>
        <w:tc>
          <w:p>
            <w:pPr>
              <w:pStyle w:val="Compact"/>
              <w:jc w:val="center"/>
            </w:pPr>
            <w:r>
              <w:t xml:space="preserve">48</w:t>
            </w:r>
          </w:p>
        </w:tc>
        <w:tc>
          <w:p>
            <w:pPr>
              <w:pStyle w:val="Compact"/>
              <w:jc w:val="center"/>
            </w:pPr>
            <w:r>
              <w:t xml:space="preserve">bicubic</w:t>
            </w:r>
          </w:p>
        </w:tc>
        <w:tc>
          <w:p>
            <w:pPr>
              <w:pStyle w:val="Compact"/>
              <w:jc w:val="center"/>
            </w:pPr>
            <w:r>
              <w:t xml:space="preserve">0</w:t>
            </w:r>
          </w:p>
        </w:tc>
        <w:tc>
          <w:p>
            <w:pPr>
              <w:pStyle w:val="Compact"/>
              <w:jc w:val="center"/>
            </w:pPr>
            <w:r>
              <w:t xml:space="preserve">0.033</w:t>
            </w:r>
          </w:p>
        </w:tc>
        <w:tc>
          <w:p>
            <w:pPr>
              <w:pStyle w:val="Compact"/>
              <w:jc w:val="center"/>
            </w:pPr>
            <w:r>
              <w:t xml:space="preserve">0.006</w:t>
            </w:r>
          </w:p>
        </w:tc>
        <w:tc>
          <w:p>
            <w:pPr>
              <w:pStyle w:val="Compact"/>
              <w:jc w:val="center"/>
            </w:pPr>
            <w:r>
              <w:t xml:space="preserve">1.284</w:t>
            </w:r>
          </w:p>
        </w:tc>
        <w:tc>
          <w:p>
            <w:pPr>
              <w:pStyle w:val="Compact"/>
              <w:jc w:val="center"/>
            </w:pPr>
            <w:r>
              <w:t xml:space="preserve">0.04</w:t>
            </w:r>
          </w:p>
        </w:tc>
        <w:tc>
          <w:p>
            <w:pPr>
              <w:pStyle w:val="Compact"/>
              <w:jc w:val="center"/>
            </w:pPr>
            <w:r>
              <w:t xml:space="preserve">0.062</w:t>
            </w:r>
          </w:p>
        </w:tc>
        <w:tc>
          <w:p>
            <w:pPr>
              <w:pStyle w:val="Compact"/>
              <w:jc w:val="center"/>
            </w:pPr>
            <w:r>
              <w:t xml:space="preserve">0.138</w:t>
            </w:r>
          </w:p>
        </w:tc>
      </w:tr>
      <w:tr>
        <w:tc>
          <w:p>
            <w:pPr>
              <w:pStyle w:val="Compact"/>
              <w:jc w:val="center"/>
            </w:pPr>
            <w:r>
              <w:t xml:space="preserve">56</w:t>
            </w:r>
          </w:p>
        </w:tc>
        <w:tc>
          <w:p>
            <w:pPr>
              <w:pStyle w:val="Compact"/>
              <w:jc w:val="center"/>
            </w:pPr>
            <w:r>
              <w:t xml:space="preserve">dNBR2</w:t>
            </w:r>
          </w:p>
        </w:tc>
        <w:tc>
          <w:p>
            <w:pPr>
              <w:pStyle w:val="Compact"/>
              <w:jc w:val="center"/>
            </w:pPr>
            <w:r>
              <w:t xml:space="preserve">64</w:t>
            </w:r>
          </w:p>
        </w:tc>
        <w:tc>
          <w:p>
            <w:pPr>
              <w:pStyle w:val="Compact"/>
              <w:jc w:val="center"/>
            </w:pPr>
            <w:r>
              <w:t xml:space="preserve">bicubic</w:t>
            </w:r>
          </w:p>
        </w:tc>
        <w:tc>
          <w:p>
            <w:pPr>
              <w:pStyle w:val="Compact"/>
              <w:jc w:val="center"/>
            </w:pPr>
            <w:r>
              <w:t xml:space="preserve">0</w:t>
            </w:r>
          </w:p>
        </w:tc>
        <w:tc>
          <w:p>
            <w:pPr>
              <w:pStyle w:val="Compact"/>
              <w:jc w:val="center"/>
            </w:pPr>
            <w:r>
              <w:t xml:space="preserve">0.037</w:t>
            </w:r>
          </w:p>
        </w:tc>
        <w:tc>
          <w:p>
            <w:pPr>
              <w:pStyle w:val="Compact"/>
              <w:jc w:val="center"/>
            </w:pPr>
            <w:r>
              <w:t xml:space="preserve">0.005</w:t>
            </w:r>
          </w:p>
        </w:tc>
        <w:tc>
          <w:p>
            <w:pPr>
              <w:pStyle w:val="Compact"/>
              <w:jc w:val="center"/>
            </w:pPr>
            <w:r>
              <w:t xml:space="preserve">1.313</w:t>
            </w:r>
          </w:p>
        </w:tc>
        <w:tc>
          <w:p>
            <w:pPr>
              <w:pStyle w:val="Compact"/>
              <w:jc w:val="center"/>
            </w:pPr>
            <w:r>
              <w:t xml:space="preserve">0.043</w:t>
            </w:r>
          </w:p>
        </w:tc>
        <w:tc>
          <w:p>
            <w:pPr>
              <w:pStyle w:val="Compact"/>
              <w:jc w:val="center"/>
            </w:pPr>
            <w:r>
              <w:t xml:space="preserve">0.064</w:t>
            </w:r>
          </w:p>
        </w:tc>
        <w:tc>
          <w:p>
            <w:pPr>
              <w:pStyle w:val="Compact"/>
              <w:jc w:val="center"/>
            </w:pPr>
            <w:r>
              <w:t xml:space="preserve">0.139</w:t>
            </w:r>
          </w:p>
        </w:tc>
      </w:tr>
    </w:tbl>
    <w:p>
      <w:pPr>
        <w:pStyle w:val="TableCaption"/>
      </w:pPr>
      <w:r>
        <w:t xml:space="preserve">Supplemental Table 2: Model parameter estimates for different neighborhood sizes. Values represent the mean parameter estimates with 95% credible intervals in parentheses.</w:t>
      </w:r>
    </w:p>
    <w:tbl>
      <w:tblPr>
        <w:tblStyle w:val="TableNormal"/>
        <w:tblW w:type="pct" w:w="5000.0"/>
        <w:tblLook w:firstRow="1"/>
        <w:tblCaption w:val="Supplemental Table 2: Model parameter estimates for different neighborhood sizes. Values represent the mean parameter estimates with 95% credible intervals in parentheses."/>
      </w:tblPr>
      <w:tblGrid>
        <w:gridCol w:w="2706"/>
        <w:gridCol w:w="1303"/>
        <w:gridCol w:w="1303"/>
        <w:gridCol w:w="1303"/>
        <w:gridCol w:w="1303"/>
      </w:tblGrid>
      <w:tr>
        <w:trPr>
          <w:cnfStyle w:firstRow="1"/>
        </w:trPr>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center"/>
            </w:pPr>
            <w:r>
              <w:t xml:space="preserve">90m x 90m</w:t>
            </w:r>
            <w:r>
              <w:t xml:space="preserve"> </w:t>
            </w:r>
            <w:r>
              <w:t xml:space="preserve">neighborhood</w:t>
            </w:r>
          </w:p>
        </w:tc>
        <w:tc>
          <w:tcPr>
            <w:tcBorders>
              <w:bottom w:val="single"/>
            </w:tcBorders>
            <w:vAlign w:val="bottom"/>
          </w:tcPr>
          <w:p>
            <w:pPr>
              <w:pStyle w:val="Compact"/>
              <w:jc w:val="center"/>
            </w:pPr>
            <w:r>
              <w:t xml:space="preserve">150m x 150m</w:t>
            </w:r>
            <w:r>
              <w:t xml:space="preserve"> </w:t>
            </w:r>
            <w:r>
              <w:t xml:space="preserve">neighborhood</w:t>
            </w:r>
          </w:p>
        </w:tc>
        <w:tc>
          <w:tcPr>
            <w:tcBorders>
              <w:bottom w:val="single"/>
            </w:tcBorders>
            <w:vAlign w:val="bottom"/>
          </w:tcPr>
          <w:p>
            <w:pPr>
              <w:pStyle w:val="Compact"/>
              <w:jc w:val="center"/>
            </w:pPr>
            <w:r>
              <w:t xml:space="preserve">210m x 210m</w:t>
            </w:r>
            <w:r>
              <w:t xml:space="preserve"> </w:t>
            </w:r>
            <w:r>
              <w:t xml:space="preserve">neighborhood</w:t>
            </w:r>
          </w:p>
        </w:tc>
        <w:tc>
          <w:tcPr>
            <w:tcBorders>
              <w:bottom w:val="single"/>
            </w:tcBorders>
            <w:vAlign w:val="bottom"/>
          </w:tcPr>
          <w:p>
            <w:pPr>
              <w:pStyle w:val="Compact"/>
              <w:jc w:val="center"/>
            </w:pPr>
            <w:r>
              <w:t xml:space="preserve">270m x 270m</w:t>
            </w:r>
            <w:r>
              <w:t xml:space="preserve"> </w:t>
            </w:r>
            <w:r>
              <w:t xml:space="preserve">neighborhood</w:t>
            </w:r>
          </w:p>
        </w:tc>
      </w:tr>
      <w:tr>
        <w:tc>
          <w:p>
            <w:pPr>
              <w:pStyle w:val="Compact"/>
              <w:jc w:val="left"/>
            </w:pPr>
            <m:oMath>
              <m:sSub>
                <m:e>
                  <m:r>
                    <m:t>β</m:t>
                  </m:r>
                </m:e>
                <m:sub>
                  <m:r>
                    <m:t>0</m:t>
                  </m:r>
                </m:sub>
              </m:sSub>
            </m:oMath>
          </w:p>
        </w:tc>
        <w:tc>
          <w:p>
            <w:pPr>
              <w:pStyle w:val="Compact"/>
              <w:jc w:val="center"/>
            </w:pPr>
            <w:r>
              <w:t xml:space="preserve">-2.415 (-2.588, -2.255)</w:t>
            </w:r>
          </w:p>
        </w:tc>
        <w:tc>
          <w:p>
            <w:pPr>
              <w:pStyle w:val="Compact"/>
              <w:jc w:val="center"/>
            </w:pPr>
            <w:r>
              <w:t xml:space="preserve">-2.432 (-2.605, -2.271)</w:t>
            </w:r>
          </w:p>
        </w:tc>
        <w:tc>
          <w:p>
            <w:pPr>
              <w:pStyle w:val="Compact"/>
              <w:jc w:val="center"/>
            </w:pPr>
            <w:r>
              <w:t xml:space="preserve">-2.447 (-2.619, -2.279)</w:t>
            </w:r>
          </w:p>
        </w:tc>
        <w:tc>
          <w:p>
            <w:pPr>
              <w:pStyle w:val="Compact"/>
              <w:jc w:val="center"/>
            </w:pPr>
            <w:r>
              <w:t xml:space="preserve">-2.45 (-2.618, -2.288)</w:t>
            </w:r>
          </w:p>
        </w:tc>
      </w:tr>
      <w:tr>
        <w:tc>
          <w:p>
            <w:pPr>
              <w:pStyle w:val="Compact"/>
              <w:jc w:val="left"/>
            </w:pPr>
            <m:oMath>
              <m:sSub>
                <m:e>
                  <m:r>
                    <m:t>β</m:t>
                  </m:r>
                </m:e>
                <m:sub>
                  <m:r>
                    <m:rPr>
                      <m:sty m:val="p"/>
                    </m:rPr>
                    <m:t>nbhd_stdev_NDVI</m:t>
                  </m:r>
                </m:sub>
              </m:sSub>
            </m:oMath>
          </w:p>
        </w:tc>
        <w:tc>
          <w:p>
            <w:pPr>
              <w:pStyle w:val="Compact"/>
              <w:jc w:val="center"/>
            </w:pPr>
            <w:r>
              <w:t xml:space="preserve">-0.208 (-0.247, -0.17)</w:t>
            </w:r>
          </w:p>
        </w:tc>
        <w:tc>
          <w:p>
            <w:pPr>
              <w:pStyle w:val="Compact"/>
              <w:jc w:val="center"/>
            </w:pPr>
            <w:r>
              <w:t xml:space="preserve">-0.212 (-0.255, -0.17)</w:t>
            </w:r>
          </w:p>
        </w:tc>
        <w:tc>
          <w:p>
            <w:pPr>
              <w:pStyle w:val="Compact"/>
              <w:jc w:val="center"/>
            </w:pPr>
            <w:r>
              <w:t xml:space="preserve">-0.203 (-0.248, -0.158)</w:t>
            </w:r>
          </w:p>
        </w:tc>
        <w:tc>
          <w:p>
            <w:pPr>
              <w:pStyle w:val="Compact"/>
              <w:jc w:val="center"/>
            </w:pPr>
            <w:r>
              <w:t xml:space="preserve">-0.195 (-0.242, -0.148)</w:t>
            </w:r>
          </w:p>
        </w:tc>
      </w:tr>
      <w:tr>
        <w:tc>
          <w:p>
            <w:pPr>
              <w:pStyle w:val="Compact"/>
              <w:jc w:val="left"/>
            </w:pPr>
            <m:oMath>
              <m:sSub>
                <m:e>
                  <m:r>
                    <m:t>β</m:t>
                  </m:r>
                </m:e>
                <m:sub>
                  <m:r>
                    <m:rPr>
                      <m:sty m:val="p"/>
                    </m:rPr>
                    <m:t>prefire_NDVI</m:t>
                  </m:r>
                </m:sub>
              </m:sSub>
            </m:oMath>
          </w:p>
        </w:tc>
        <w:tc>
          <w:p>
            <w:pPr>
              <w:pStyle w:val="Compact"/>
              <w:jc w:val="center"/>
            </w:pPr>
            <w:r>
              <w:t xml:space="preserve">1.044 (0.911, 1.174)</w:t>
            </w:r>
          </w:p>
        </w:tc>
        <w:tc>
          <w:p>
            <w:pPr>
              <w:pStyle w:val="Compact"/>
              <w:jc w:val="center"/>
            </w:pPr>
            <w:r>
              <w:t xml:space="preserve">1.13 (1.028, 1.229)</w:t>
            </w:r>
          </w:p>
        </w:tc>
        <w:tc>
          <w:p>
            <w:pPr>
              <w:pStyle w:val="Compact"/>
              <w:jc w:val="center"/>
            </w:pPr>
            <w:r>
              <w:t xml:space="preserve">1.141 (1.057, 1.222)</w:t>
            </w:r>
          </w:p>
        </w:tc>
        <w:tc>
          <w:p>
            <w:pPr>
              <w:pStyle w:val="Compact"/>
              <w:jc w:val="center"/>
            </w:pPr>
            <w:r>
              <w:t xml:space="preserve">1.132 (1.056, 1.209)</w:t>
            </w:r>
          </w:p>
        </w:tc>
      </w:tr>
      <w:tr>
        <w:tc>
          <w:p>
            <w:pPr>
              <w:pStyle w:val="Compact"/>
              <w:jc w:val="left"/>
            </w:pPr>
            <m:oMath>
              <m:sSub>
                <m:e>
                  <m:r>
                    <m:t>β</m:t>
                  </m:r>
                </m:e>
                <m:sub>
                  <m:r>
                    <m:rPr>
                      <m:sty m:val="p"/>
                    </m:rPr>
                    <m:t>fm100</m:t>
                  </m:r>
                </m:sub>
              </m:sSub>
            </m:oMath>
          </w:p>
        </w:tc>
        <w:tc>
          <w:p>
            <w:pPr>
              <w:pStyle w:val="Compact"/>
              <w:jc w:val="center"/>
            </w:pPr>
            <w:r>
              <w:t xml:space="preserve">-0.569 (-0.71, -0.423)</w:t>
            </w:r>
          </w:p>
        </w:tc>
        <w:tc>
          <w:p>
            <w:pPr>
              <w:pStyle w:val="Compact"/>
              <w:jc w:val="center"/>
            </w:pPr>
            <w:r>
              <w:t xml:space="preserve">-0.564 (-0.709, -0.419)</w:t>
            </w:r>
          </w:p>
        </w:tc>
        <w:tc>
          <w:p>
            <w:pPr>
              <w:pStyle w:val="Compact"/>
              <w:jc w:val="center"/>
            </w:pPr>
            <w:r>
              <w:t xml:space="preserve">-0.561 (-0.697, -0.428)</w:t>
            </w:r>
          </w:p>
        </w:tc>
        <w:tc>
          <w:p>
            <w:pPr>
              <w:pStyle w:val="Compact"/>
              <w:jc w:val="center"/>
            </w:pPr>
            <w:r>
              <w:t xml:space="preserve">-0.565 (-0.712, -0.422)</w:t>
            </w:r>
          </w:p>
        </w:tc>
      </w:tr>
      <w:tr>
        <w:tc>
          <w:p>
            <w:pPr>
              <w:pStyle w:val="Compact"/>
              <w:jc w:val="left"/>
            </w:pPr>
            <m:oMath>
              <m:sSub>
                <m:e>
                  <m:r>
                    <m:t>β</m:t>
                  </m:r>
                </m:e>
                <m:sub>
                  <m:r>
                    <m:rPr>
                      <m:sty m:val="p"/>
                    </m:rPr>
                    <m:t>pahl</m:t>
                  </m:r>
                </m:sub>
              </m:sSub>
            </m:oMath>
          </w:p>
        </w:tc>
        <w:tc>
          <w:p>
            <w:pPr>
              <w:pStyle w:val="Compact"/>
              <w:jc w:val="center"/>
            </w:pPr>
            <w:r>
              <w:t xml:space="preserve">0.239 (0.208, 0.271)</w:t>
            </w:r>
          </w:p>
        </w:tc>
        <w:tc>
          <w:p>
            <w:pPr>
              <w:pStyle w:val="Compact"/>
              <w:jc w:val="center"/>
            </w:pPr>
            <w:r>
              <w:t xml:space="preserve">0.238 (0.205, 0.269)</w:t>
            </w:r>
          </w:p>
        </w:tc>
        <w:tc>
          <w:p>
            <w:pPr>
              <w:pStyle w:val="Compact"/>
              <w:jc w:val="center"/>
            </w:pPr>
            <w:r>
              <w:t xml:space="preserve">0.239 (0.207, 0.269)</w:t>
            </w:r>
          </w:p>
        </w:tc>
        <w:tc>
          <w:p>
            <w:pPr>
              <w:pStyle w:val="Compact"/>
              <w:jc w:val="center"/>
            </w:pPr>
            <w:r>
              <w:t xml:space="preserve">0.24 (0.209, 0.272)</w:t>
            </w:r>
          </w:p>
        </w:tc>
      </w:tr>
      <w:tr>
        <w:tc>
          <w:p>
            <w:pPr>
              <w:pStyle w:val="Compact"/>
              <w:jc w:val="left"/>
            </w:pPr>
            <m:oMath>
              <m:sSub>
                <m:e>
                  <m:r>
                    <m:t>β</m:t>
                  </m:r>
                </m:e>
                <m:sub>
                  <m:r>
                    <m:rPr>
                      <m:sty m:val="p"/>
                    </m:rPr>
                    <m:t>topographic_roughness</m:t>
                  </m:r>
                </m:sub>
              </m:sSub>
            </m:oMath>
          </w:p>
        </w:tc>
        <w:tc>
          <w:p>
            <w:pPr>
              <w:pStyle w:val="Compact"/>
              <w:jc w:val="center"/>
            </w:pPr>
            <w:r>
              <w:t xml:space="preserve">-0.01 (-0.042, 0.022)</w:t>
            </w:r>
          </w:p>
        </w:tc>
        <w:tc>
          <w:p>
            <w:pPr>
              <w:pStyle w:val="Compact"/>
              <w:jc w:val="center"/>
            </w:pPr>
            <w:r>
              <w:t xml:space="preserve">-0.006 (-0.039, 0.027)</w:t>
            </w:r>
          </w:p>
        </w:tc>
        <w:tc>
          <w:p>
            <w:pPr>
              <w:pStyle w:val="Compact"/>
              <w:jc w:val="center"/>
            </w:pPr>
            <w:r>
              <w:t xml:space="preserve">-0.002 (-0.037, 0.032)</w:t>
            </w:r>
          </w:p>
        </w:tc>
        <w:tc>
          <w:p>
            <w:pPr>
              <w:pStyle w:val="Compact"/>
              <w:jc w:val="center"/>
            </w:pPr>
            <w:r>
              <w:t xml:space="preserve">-0.002 (-0.036, 0.033)</w:t>
            </w:r>
          </w:p>
        </w:tc>
      </w:tr>
      <w:tr>
        <w:tc>
          <w:p>
            <w:pPr>
              <w:pStyle w:val="Compact"/>
              <w:jc w:val="left"/>
            </w:pPr>
            <m:oMath>
              <m:sSub>
                <m:e>
                  <m:r>
                    <m:t>β</m:t>
                  </m:r>
                </m:e>
                <m:sub>
                  <m:r>
                    <m:rPr>
                      <m:sty m:val="p"/>
                    </m:rPr>
                    <m:t>nbhd_mean_NDVI</m:t>
                  </m:r>
                </m:sub>
              </m:sSub>
            </m:oMath>
          </w:p>
        </w:tc>
        <w:tc>
          <w:p>
            <w:pPr>
              <w:pStyle w:val="Compact"/>
              <w:jc w:val="center"/>
            </w:pPr>
            <w:r>
              <w:t xml:space="preserve">-0.14 (-0.278, 0.002)</w:t>
            </w:r>
          </w:p>
        </w:tc>
        <w:tc>
          <w:p>
            <w:pPr>
              <w:pStyle w:val="Compact"/>
              <w:jc w:val="center"/>
            </w:pPr>
            <w:r>
              <w:t xml:space="preserve">-0.265 (-0.381, -0.148)</w:t>
            </w:r>
          </w:p>
        </w:tc>
        <w:tc>
          <w:p>
            <w:pPr>
              <w:pStyle w:val="Compact"/>
              <w:jc w:val="center"/>
            </w:pPr>
            <w:r>
              <w:t xml:space="preserve">-0.293 (-0.392, -0.193)</w:t>
            </w:r>
          </w:p>
        </w:tc>
        <w:tc>
          <w:p>
            <w:pPr>
              <w:pStyle w:val="Compact"/>
              <w:jc w:val="center"/>
            </w:pPr>
            <w:r>
              <w:t xml:space="preserve">-0.293 (-0.389, -0.198)</w:t>
            </w:r>
          </w:p>
        </w:tc>
      </w:tr>
      <w:tr>
        <w:tc>
          <w:p>
            <w:pPr>
              <w:pStyle w:val="Compact"/>
              <w:jc w:val="left"/>
            </w:pPr>
            <m:oMath>
              <m:sSub>
                <m:e>
                  <m:r>
                    <m:t>β</m:t>
                  </m:r>
                </m:e>
                <m:sub>
                  <m:r>
                    <m:rPr>
                      <m:sty m:val="p"/>
                    </m:rPr>
                    <m:t>nbhd_stdev_NDVI*prefire_NDVI</m:t>
                  </m:r>
                </m:sub>
              </m:sSub>
            </m:oMath>
          </w:p>
        </w:tc>
        <w:tc>
          <w:p>
            <w:pPr>
              <w:pStyle w:val="Compact"/>
              <w:jc w:val="center"/>
            </w:pPr>
            <w:r>
              <w:t xml:space="preserve">0.125 (0.029, 0.218)</w:t>
            </w:r>
          </w:p>
        </w:tc>
        <w:tc>
          <w:p>
            <w:pPr>
              <w:pStyle w:val="Compact"/>
              <w:jc w:val="center"/>
            </w:pPr>
            <w:r>
              <w:t xml:space="preserve">0.06 (-0.013, 0.135)</w:t>
            </w:r>
          </w:p>
        </w:tc>
        <w:tc>
          <w:p>
            <w:pPr>
              <w:pStyle w:val="Compact"/>
              <w:jc w:val="center"/>
            </w:pPr>
            <w:r>
              <w:t xml:space="preserve">0.022 (-0.045, 0.09)</w:t>
            </w:r>
          </w:p>
        </w:tc>
        <w:tc>
          <w:p>
            <w:pPr>
              <w:pStyle w:val="Compact"/>
              <w:jc w:val="center"/>
            </w:pPr>
            <w:r>
              <w:t xml:space="preserve">0.009 (-0.054, 0.072)</w:t>
            </w:r>
          </w:p>
        </w:tc>
      </w:tr>
      <w:tr>
        <w:tc>
          <w:p>
            <w:pPr>
              <w:pStyle w:val="Compact"/>
              <w:jc w:val="left"/>
            </w:pPr>
            <m:oMath>
              <m:sSub>
                <m:e>
                  <m:r>
                    <m:t>β</m:t>
                  </m:r>
                </m:e>
                <m:sub>
                  <m:r>
                    <m:rPr>
                      <m:sty m:val="p"/>
                    </m:rPr>
                    <m:t>nbhd_stdev_NDVI*nbhd_mean_NDVI</m:t>
                  </m:r>
                </m:sub>
              </m:sSub>
            </m:oMath>
          </w:p>
        </w:tc>
        <w:tc>
          <w:p>
            <w:pPr>
              <w:pStyle w:val="Compact"/>
              <w:jc w:val="center"/>
            </w:pPr>
            <w:r>
              <w:t xml:space="preserve">-0.129 (-0.223, -0.034)</w:t>
            </w:r>
          </w:p>
        </w:tc>
        <w:tc>
          <w:p>
            <w:pPr>
              <w:pStyle w:val="Compact"/>
              <w:jc w:val="center"/>
            </w:pPr>
            <w:r>
              <w:t xml:space="preserve">-0.078 (-0.151, -0.006)</w:t>
            </w:r>
          </w:p>
        </w:tc>
        <w:tc>
          <w:p>
            <w:pPr>
              <w:pStyle w:val="Compact"/>
              <w:jc w:val="center"/>
            </w:pPr>
            <w:r>
              <w:t xml:space="preserve">-0.03 (-0.095, 0.035)</w:t>
            </w:r>
          </w:p>
        </w:tc>
        <w:tc>
          <w:p>
            <w:pPr>
              <w:pStyle w:val="Compact"/>
              <w:jc w:val="center"/>
            </w:pPr>
            <w:r>
              <w:t xml:space="preserve">-0.006 (-0.068, 0.054)</w:t>
            </w:r>
          </w:p>
        </w:tc>
      </w:tr>
      <w:tr>
        <w:tc>
          <w:p>
            <w:pPr>
              <w:pStyle w:val="Compact"/>
              <w:jc w:val="left"/>
            </w:pPr>
            <m:oMath>
              <m:sSub>
                <m:e>
                  <m:r>
                    <m:t>β</m:t>
                  </m:r>
                </m:e>
                <m:sub>
                  <m:r>
                    <m:rPr>
                      <m:sty m:val="p"/>
                    </m:rPr>
                    <m:t>nbhd_stdev_NDVI*fm100</m:t>
                  </m:r>
                </m:sub>
              </m:sSub>
            </m:oMath>
          </w:p>
        </w:tc>
        <w:tc>
          <w:p>
            <w:pPr>
              <w:pStyle w:val="Compact"/>
              <w:jc w:val="center"/>
            </w:pPr>
            <w:r>
              <w:t xml:space="preserve">-0.037 (-0.081, 0.006)</w:t>
            </w:r>
          </w:p>
        </w:tc>
        <w:tc>
          <w:p>
            <w:pPr>
              <w:pStyle w:val="Compact"/>
              <w:jc w:val="center"/>
            </w:pPr>
            <w:r>
              <w:t xml:space="preserve">-0.035 (-0.078, 0.01)</w:t>
            </w:r>
          </w:p>
        </w:tc>
        <w:tc>
          <w:p>
            <w:pPr>
              <w:pStyle w:val="Compact"/>
              <w:jc w:val="center"/>
            </w:pPr>
            <w:r>
              <w:t xml:space="preserve">-0.03 (-0.076, 0.014)</w:t>
            </w:r>
          </w:p>
        </w:tc>
        <w:tc>
          <w:p>
            <w:pPr>
              <w:pStyle w:val="Compact"/>
              <w:jc w:val="center"/>
            </w:pPr>
            <w:r>
              <w:t xml:space="preserve">-0.023 (-0.07, 0.023)</w:t>
            </w:r>
          </w:p>
        </w:tc>
      </w:tr>
      <w:tr>
        <w:tc>
          <w:p>
            <w:pPr>
              <w:pStyle w:val="Compact"/>
              <w:jc w:val="left"/>
            </w:pPr>
            <m:oMath>
              <m:sSub>
                <m:e>
                  <m:r>
                    <m:t>β</m:t>
                  </m:r>
                </m:e>
                <m:sub>
                  <m:r>
                    <m:rPr>
                      <m:sty m:val="p"/>
                    </m:rPr>
                    <m:t>nbhd_mean_NDVI*prefire_NDVI</m:t>
                  </m:r>
                </m:sub>
              </m:sSub>
            </m:oMath>
          </w:p>
        </w:tc>
        <w:tc>
          <w:p>
            <w:pPr>
              <w:pStyle w:val="Compact"/>
              <w:jc w:val="center"/>
            </w:pPr>
            <w:r>
              <w:t xml:space="preserve">-0.573 (-0.62, -0.526)</w:t>
            </w:r>
          </w:p>
        </w:tc>
        <w:tc>
          <w:p>
            <w:pPr>
              <w:pStyle w:val="Compact"/>
              <w:jc w:val="center"/>
            </w:pPr>
            <w:r>
              <w:t xml:space="preserve">-0.564 (-0.612, -0.516)</w:t>
            </w:r>
          </w:p>
        </w:tc>
        <w:tc>
          <w:p>
            <w:pPr>
              <w:pStyle w:val="Compact"/>
              <w:jc w:val="center"/>
            </w:pPr>
            <w:r>
              <w:t xml:space="preserve">-0.549 (-0.596, -0.502)</w:t>
            </w:r>
          </w:p>
        </w:tc>
        <w:tc>
          <w:p>
            <w:pPr>
              <w:pStyle w:val="Compact"/>
              <w:jc w:val="center"/>
            </w:pPr>
            <w:r>
              <w:t xml:space="preserve">-0.537 (-0.587, -0.49)</w:t>
            </w:r>
          </w:p>
        </w:tc>
      </w:tr>
    </w:tbl>
    <w:p>
      <w:pPr>
        <w:pStyle w:val="FigureWithCaption"/>
      </w:pPr>
      <w:r>
        <w:drawing>
          <wp:inline>
            <wp:extent cx="4114800" cy="2743200"/>
            <wp:effectExtent b="0" l="0" r="0" t="0"/>
            <wp:docPr descr="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25"/>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Supplemental Figure 1: 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FigureWithCaption"/>
      </w:pPr>
      <w:r>
        <w:drawing>
          <wp:inline>
            <wp:extent cx="3657600" cy="1828800"/>
            <wp:effectExtent b="0" l="0" r="0" t="0"/>
            <wp:docPr descr="Supplemental Figure 2: 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26"/>
                    <a:stretch>
                      <a:fillRect/>
                    </a:stretch>
                  </pic:blipFill>
                  <pic:spPr bwMode="auto">
                    <a:xfrm>
                      <a:off x="0" y="0"/>
                      <a:ext cx="3657600" cy="1828800"/>
                    </a:xfrm>
                    <a:prstGeom prst="rect">
                      <a:avLst/>
                    </a:prstGeom>
                    <a:noFill/>
                    <a:ln w="9525">
                      <a:noFill/>
                      <a:headEnd/>
                      <a:tailEnd/>
                    </a:ln>
                  </pic:spPr>
                </pic:pic>
              </a:graphicData>
            </a:graphic>
          </wp:inline>
        </w:drawing>
      </w:r>
    </w:p>
    <w:p>
      <w:pPr>
        <w:pStyle w:val="ImageCaption"/>
      </w:pPr>
      <w:r>
        <w:t xml:space="preserve">Supplemental Figure 2: 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w:t>
      </w:r>
      <w:r>
        <w:t xml:space="preserve"> </w:t>
      </w:r>
      <w:r>
        <w:t xml:space="preserve">“</w:t>
      </w:r>
      <w:r>
        <w:t xml:space="preserve">hole in the forest</w:t>
      </w:r>
      <w:r>
        <w:t xml:space="preserve">”</w:t>
      </w:r>
      <w:r>
        <w:t xml:space="preserve"> </w:t>
      </w:r>
      <w:r>
        <w:t xml:space="preserve">decoupling, which occurs more frequently, and the right panel depicts the</w:t>
      </w:r>
      <w:r>
        <w:t xml:space="preserve"> </w:t>
      </w:r>
      <w:r>
        <w:t xml:space="preserve">“</w:t>
      </w:r>
      <w:r>
        <w:t xml:space="preserve">isolated patch</w:t>
      </w:r>
      <w:r>
        <w:t xml:space="preserve">”</w:t>
      </w:r>
      <w:r>
        <w:t xml:space="preserve"> </w:t>
      </w:r>
      <w:r>
        <w:t xml:space="preserve">decoupling.</w:t>
      </w:r>
    </w:p>
    <w:p>
      <w:pPr>
        <w:pStyle w:val="Heading1"/>
      </w:pPr>
      <w:bookmarkStart w:id="27" w:name="references"/>
      <w:bookmarkEnd w:id="27"/>
      <w:r>
        <w:t xml:space="preserve">References</w:t>
      </w:r>
    </w:p>
    <w:p>
      <w:pPr>
        <w:pStyle w:val="Bibliography"/>
      </w:pPr>
      <w:r>
        <w:t xml:space="preserve">1.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 Key CH, Benson NC (2006) Landscape Assessment (LA). 55.</w:t>
      </w:r>
    </w:p>
    <w:p>
      <w:pPr>
        <w:pStyle w:val="Bibliography"/>
      </w:pPr>
      <w:r>
        <w:t xml:space="preserve">3.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4.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5.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6.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7.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8.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9.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10.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11.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p>
      <w:pPr>
        <w:pStyle w:val="Bibliography"/>
      </w:pPr>
      <w:r>
        <w:t xml:space="preserve">12.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13. Calkin DE, Gebert KM, Jones JG, Neilson RP (2005) Forest Service Large Fire Area Burned and Suppression Expenditure Trends, 19702002.</w:t>
      </w:r>
      <w:r>
        <w:t xml:space="preserve"> </w:t>
      </w:r>
      <w:r>
        <w:rPr>
          <w:i/>
        </w:rPr>
        <w:t xml:space="preserve">j for</w:t>
      </w:r>
      <w:r>
        <w:t xml:space="preserve"> </w:t>
      </w:r>
      <w:r>
        <w:t xml:space="preserve">103(4):179–183.</w:t>
      </w:r>
    </w:p>
    <w:p>
      <w:pPr>
        <w:pStyle w:val="Bibliography"/>
      </w:pPr>
      <w:r>
        <w:t xml:space="preserve">14. Cansler CA, McKenzie D (2014) Climate, fire size, and biophysical setting control fire severity and spatial pattern in the northern Cascade Range, USA.</w:t>
      </w:r>
      <w:r>
        <w:t xml:space="preserve"> </w:t>
      </w:r>
      <w:r>
        <w:rPr>
          <w:i/>
        </w:rPr>
        <w:t xml:space="preserve">Ecological Applications</w:t>
      </w:r>
      <w:r>
        <w:t xml:space="preserve"> </w:t>
      </w:r>
      <w:r>
        <w:t xml:space="preserve">24(5):1037–1056.</w:t>
      </w:r>
    </w:p>
    <w:p>
      <w:pPr>
        <w:pStyle w:val="Bibliography"/>
      </w:pPr>
      <w:r>
        <w:t xml:space="preserve">15. Harvey BJ, Donato DC, Turner MG (2016) Drivers and trends in landscape patterns of stand-replacing fire in forests of the US Northern Rocky Mountains (1984-2010).</w:t>
      </w:r>
      <w:r>
        <w:t xml:space="preserve"> </w:t>
      </w:r>
      <w:r>
        <w:rPr>
          <w:i/>
        </w:rPr>
        <w:t xml:space="preserve">Landscape Ecology</w:t>
      </w:r>
      <w:r>
        <w:t xml:space="preserve"> </w:t>
      </w:r>
      <w:r>
        <w:t xml:space="preserve">31(10):2367–2383.</w:t>
      </w:r>
    </w:p>
    <w:p>
      <w:pPr>
        <w:pStyle w:val="Bibliography"/>
      </w:pPr>
      <w:r>
        <w:t xml:space="preserve">16. Randerson JT, Chen Y, Werf GR van der, Rogers BM, Morton DC (2012) Global burned area and biomass burning emissions from small fires.</w:t>
      </w:r>
      <w:r>
        <w:t xml:space="preserve"> </w:t>
      </w:r>
      <w:r>
        <w:rPr>
          <w:i/>
        </w:rPr>
        <w:t xml:space="preserve">Journal of Geophysical Research: Biogeosciences</w:t>
      </w:r>
      <w:r>
        <w:t xml:space="preserve"> </w:t>
      </w:r>
      <w:r>
        <w:t xml:space="preserve">117(G4). doi:</w:t>
      </w:r>
      <w:hyperlink r:id="rId28">
        <w:r>
          <w:rPr>
            <w:rStyle w:val="Hyperlink"/>
          </w:rPr>
          <w:t xml:space="preserve">10.1029/2012JG002128</w:t>
        </w:r>
      </w:hyperlink>
      <w:r>
        <w:t xml:space="preserve">.</w:t>
      </w:r>
    </w:p>
    <w:p>
      <w:pPr>
        <w:pStyle w:val="Bibliography"/>
      </w:pPr>
      <w:r>
        <w:t xml:space="preserve">17.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p>
      <w:pPr>
        <w:pStyle w:val="Bibliography"/>
      </w:pPr>
      <w:r>
        <w:t xml:space="preserve">18.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p>
      <w:pPr>
        <w:pStyle w:val="Bibliography"/>
      </w:pPr>
      <w:r>
        <w:t xml:space="preserve">19. Boschetti L, Roy DP, Justice CO, Humber ML (2015) MODISLandsat fusion for large area 30m burned area mapping.</w:t>
      </w:r>
      <w:r>
        <w:t xml:space="preserve"> </w:t>
      </w:r>
      <w:r>
        <w:rPr>
          <w:i/>
        </w:rPr>
        <w:t xml:space="preserve">Remote Sensing of Environment</w:t>
      </w:r>
      <w:r>
        <w:t xml:space="preserve"> </w:t>
      </w:r>
      <w:r>
        <w:t xml:space="preserve">161:27–42.</w:t>
      </w:r>
    </w:p>
    <w:p>
      <w:pPr>
        <w:pStyle w:val="Bibliography"/>
      </w:pPr>
      <w:r>
        <w:t xml:space="preserve">20.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21.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22.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23.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24. Asner GP, et al. (2016) Progressive forest canopy water loss during the 20122015 California drought.</w:t>
      </w:r>
      <w:r>
        <w:t xml:space="preserve"> </w:t>
      </w:r>
      <w:r>
        <w:rPr>
          <w:i/>
        </w:rPr>
        <w:t xml:space="preserve">Proceedings of the National Academy of Sciences</w:t>
      </w:r>
      <w:r>
        <w:t xml:space="preserve"> </w:t>
      </w:r>
      <w:r>
        <w:t xml:space="preserve">113(2):E249–E255.</w:t>
      </w:r>
    </w:p>
    <w:p>
      <w:pPr>
        <w:pStyle w:val="Bibliography"/>
      </w:pPr>
      <w:r>
        <w:t xml:space="preserve">25. Young DJN, et al. (2017) Long-term climate and competition explain forest mortality patterns under extreme drought.</w:t>
      </w:r>
      <w:r>
        <w:t xml:space="preserve"> </w:t>
      </w:r>
      <w:r>
        <w:rPr>
          <w:i/>
        </w:rPr>
        <w:t xml:space="preserve">Ecology Letters</w:t>
      </w:r>
      <w:r>
        <w:t xml:space="preserve"> </w:t>
      </w:r>
      <w:r>
        <w:t xml:space="preserve">20(1):78–86.</w:t>
      </w:r>
    </w:p>
    <w:p>
      <w:pPr>
        <w:pStyle w:val="Bibliography"/>
      </w:pPr>
      <w:r>
        <w:t xml:space="preserve">26.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p>
      <w:pPr>
        <w:pStyle w:val="Bibliography"/>
      </w:pPr>
      <w:r>
        <w:t xml:space="preserve">27.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9(8):e103236.</w:t>
      </w:r>
    </w:p>
    <w:p>
      <w:pPr>
        <w:pStyle w:val="Bibliography"/>
      </w:pPr>
      <w:r>
        <w:t xml:space="preserve">28.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p>
      <w:pPr>
        <w:pStyle w:val="Bibliography"/>
      </w:pPr>
      <w:r>
        <w:t xml:space="preserve">29.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30.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31. Kéfi S, et al. (2014) Early Warning Signals of Ecological Transitions: Methods for Spatial Patterns.</w:t>
      </w:r>
      <w:r>
        <w:t xml:space="preserve"> </w:t>
      </w:r>
      <w:r>
        <w:rPr>
          <w:i/>
        </w:rPr>
        <w:t xml:space="preserve">PLoS ONE</w:t>
      </w:r>
      <w:r>
        <w:t xml:space="preserve"> </w:t>
      </w:r>
      <w:r>
        <w:t xml:space="preserve">9(3):e92097.</w:t>
      </w:r>
    </w:p>
    <w:p>
      <w:pPr>
        <w:pStyle w:val="Bibliography"/>
      </w:pPr>
      <w:r>
        <w:t xml:space="preserve">32.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33. Gao B-c (1996) NDWIA normalized difference water index for remote sensing of vegetation liquid water from space.</w:t>
      </w:r>
      <w:r>
        <w:t xml:space="preserve"> </w:t>
      </w:r>
      <w:r>
        <w:rPr>
          <w:i/>
        </w:rPr>
        <w:t xml:space="preserve">Remote Sensing of Environment</w:t>
      </w:r>
      <w:r>
        <w:t xml:space="preserve"> </w:t>
      </w:r>
      <w:r>
        <w:t xml:space="preserve">58(3):257–266.</w:t>
      </w:r>
    </w:p>
    <w:p>
      <w:pPr>
        <w:pStyle w:val="Bibliography"/>
      </w:pPr>
      <w:r>
        <w:t xml:space="preserve">34. Huesca M, García M, Roth KL, Casas A, Ustin SL (2016) Canopy structural attributes derived from AVIRIS imaging spectroscopy data in a mixed broadleaf/conifer forest.</w:t>
      </w:r>
      <w:r>
        <w:t xml:space="preserve"> </w:t>
      </w:r>
      <w:r>
        <w:rPr>
          <w:i/>
        </w:rPr>
        <w:t xml:space="preserve">Remote Sensing of Environment</w:t>
      </w:r>
      <w:r>
        <w:t xml:space="preserve"> </w:t>
      </w:r>
      <w:r>
        <w:t xml:space="preserve">182:208–226.</w:t>
      </w:r>
    </w:p>
    <w:p>
      <w:pPr>
        <w:pStyle w:val="Bibliography"/>
      </w:pPr>
      <w:r>
        <w:t xml:space="preserve">35.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36. USGS (2017) Landsat 8 Surface Reflectance Code (LASRC) Product Guide. 40.</w:t>
      </w:r>
    </w:p>
    <w:p>
      <w:pPr>
        <w:pStyle w:val="Bibliography"/>
      </w:pPr>
      <w:r>
        <w:t xml:space="preserve">37. USGS (2017) Landsat 4-7 Surface Reflectance (LEDAPS) Product Guide. 41.</w:t>
      </w:r>
    </w:p>
    <w:p>
      <w:pPr>
        <w:pStyle w:val="Bibliography"/>
      </w:pPr>
      <w:r>
        <w:t xml:space="preserve">38.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39.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bc8d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f737d4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5">
    <w:nsid w:val="1e7c135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c0d2c12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66779b8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ee8bd6b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df" /><Relationship Type="http://schemas.openxmlformats.org/officeDocument/2006/relationships/hyperlink" Id="rId23" Target="http://frap.fire.ca.gov/projects/fire_data/fire_perimeters_index" TargetMode="External" /><Relationship Type="http://schemas.openxmlformats.org/officeDocument/2006/relationships/hyperlink" Id="rId28" Target="https://doi.org/10.1029/2012JG002128" TargetMode="External" /></Relationships>
</file>

<file path=word/_rels/footnotes.xml.rels><?xml version="1.0" encoding="UTF-8"?>
<Relationships xmlns="http://schemas.openxmlformats.org/package/2006/relationships"><Relationship Type="http://schemas.openxmlformats.org/officeDocument/2006/relationships/hyperlink" Id="rId23" Target="http://frap.fire.ca.gov/projects/fire_data/fire_perimeters_index" TargetMode="External" /><Relationship Type="http://schemas.openxmlformats.org/officeDocument/2006/relationships/hyperlink" Id="rId28" Target="https://doi.org/10.1029/2012JG0021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2019-06-17T01:43:33Z</dcterms:created>
  <dcterms:modified xsi:type="dcterms:W3CDTF">2019-06-17T01:43:33Z</dcterms:modified>
</cp:coreProperties>
</file>