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0.pdf" ContentType="application/pdf"/>
  <Override PartName="/word/media/rId32.pdf" ContentType="application/pdf"/>
  <Override PartName="/word/media/rId46.pdf" ContentType="application/pdf"/>
  <Override PartName="/word/media/rId44.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Stephen</w:t>
      </w:r>
      <w:r>
        <w:t xml:space="preserve"> </w:t>
      </w:r>
      <w:r>
        <w:t xml:space="preserve">E.</w:t>
      </w:r>
      <w:r>
        <w:t xml:space="preserve"> </w:t>
      </w:r>
      <w:r>
        <w:t xml:space="preserve">Fick</w:t>
      </w:r>
      <w:r>
        <w:rPr>
          <w:vertAlign w:val="superscript"/>
        </w:rPr>
        <w:t xml:space="preserve">4,5</w:t>
      </w:r>
      <w:r>
        <w:t xml:space="preserve">,</w:t>
      </w:r>
      <w:r>
        <w:t xml:space="preserve"> </w:t>
      </w:r>
      <w:r>
        <w:t xml:space="preserve">Chhaya</w:t>
      </w:r>
      <w:r>
        <w:t xml:space="preserve"> </w:t>
      </w:r>
      <w:r>
        <w:t xml:space="preserve">M.</w:t>
      </w:r>
      <w:r>
        <w:t xml:space="preserve"> </w:t>
      </w:r>
      <w:r>
        <w:t xml:space="preserve">Werner</w:t>
      </w:r>
      <w:r>
        <w:rPr>
          <w:vertAlign w:val="superscript"/>
        </w:rPr>
        <w:t xml:space="preserve">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5</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t xml:space="preserve"> </w:t>
      </w:r>
      <w:r>
        <w:rPr>
          <w:vertAlign w:val="superscript"/>
        </w:rPr>
        <w:t xml:space="preserve">6</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The</w:t>
      </w:r>
      <w:r>
        <w:t xml:space="preserve"> </w:t>
      </w:r>
      <w:r>
        <w:t xml:space="preserve">long-term</w:t>
      </w:r>
      <w:r>
        <w:t xml:space="preserve"> </w:t>
      </w:r>
      <w:r>
        <w:t xml:space="preserve">peristence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Measurements</w:t>
      </w:r>
      <w:r>
        <w:t xml:space="preserve"> </w:t>
      </w:r>
      <w:r>
        <w:t xml:space="preserve">of</w:t>
      </w:r>
      <w:r>
        <w:t xml:space="preserve"> </w:t>
      </w:r>
      <w:r>
        <w:t xml:space="preserve">resilience</w:t>
      </w:r>
      <w:r>
        <w:t xml:space="preserve"> </w:t>
      </w:r>
      <w:r>
        <w:t xml:space="preserve">for</w:t>
      </w:r>
      <w:r>
        <w:t xml:space="preserve"> </w:t>
      </w:r>
      <w:r>
        <w:t xml:space="preserve">these</w:t>
      </w:r>
      <w:r>
        <w:t xml:space="preserve"> </w:t>
      </w:r>
      <w:r>
        <w:t xml:space="preserve">valuable</w:t>
      </w:r>
      <w:r>
        <w:t xml:space="preserve"> </w:t>
      </w:r>
      <w:r>
        <w:t xml:space="preserve">ecosystems</w:t>
      </w:r>
      <w:r>
        <w:t xml:space="preserve"> </w:t>
      </w:r>
      <w:r>
        <w:t xml:space="preserve">are</w:t>
      </w:r>
      <w:r>
        <w:t xml:space="preserve"> </w:t>
      </w:r>
      <w:r>
        <w:t xml:space="preserve">critical,</w:t>
      </w:r>
      <w:r>
        <w:t xml:space="preserve"> </w:t>
      </w:r>
      <w:r>
        <w:t xml:space="preserve">but</w:t>
      </w:r>
      <w:r>
        <w:t xml:space="preserve"> </w:t>
      </w:r>
      <w:r>
        <w:t xml:space="preserve">are</w:t>
      </w:r>
      <w:r>
        <w:t xml:space="preserve"> </w:t>
      </w:r>
      <w:r>
        <w:t xml:space="preserve">challenging</w:t>
      </w:r>
      <w:r>
        <w:t xml:space="preserve"> </w:t>
      </w:r>
      <w:r>
        <w:t xml:space="preserve">to</w:t>
      </w:r>
      <w:r>
        <w:t xml:space="preserve"> </w:t>
      </w:r>
      <w:r>
        <w:t xml:space="preserve">capture</w:t>
      </w:r>
      <w:r>
        <w:t xml:space="preserve"> </w:t>
      </w:r>
      <w:r>
        <w:t xml:space="preserve">at</w:t>
      </w:r>
      <w:r>
        <w:t xml:space="preserve"> </w:t>
      </w:r>
      <w:r>
        <w:t xml:space="preserve">relevant</w:t>
      </w:r>
      <w:r>
        <w:t xml:space="preserve"> </w:t>
      </w:r>
      <w:r>
        <w:t xml:space="preserve">scales</w:t>
      </w:r>
      <w:r>
        <w:t xml:space="preserve"> </w:t>
      </w:r>
      <w:r>
        <w:t xml:space="preserve">given</w:t>
      </w:r>
      <w:r>
        <w:t xml:space="preserve"> </w:t>
      </w:r>
      <w:r>
        <w:t xml:space="preserve">a</w:t>
      </w:r>
      <w:r>
        <w:t xml:space="preserve"> </w:t>
      </w:r>
      <w:r>
        <w:t xml:space="preserve">forest’s</w:t>
      </w:r>
      <w:r>
        <w:t xml:space="preserve"> </w:t>
      </w:r>
      <w:r>
        <w:t xml:space="preserve">temporal</w:t>
      </w:r>
      <w:r>
        <w:t xml:space="preserve"> </w:t>
      </w:r>
      <w:r>
        <w:t xml:space="preserve">longevity</w:t>
      </w:r>
      <w:r>
        <w:t xml:space="preserve"> </w:t>
      </w:r>
      <w:r>
        <w:t xml:space="preserve">and</w:t>
      </w:r>
      <w:r>
        <w:t xml:space="preserve"> </w:t>
      </w:r>
      <w:r>
        <w:t xml:space="preserve">vast</w:t>
      </w:r>
      <w:r>
        <w:t xml:space="preserve"> </w:t>
      </w:r>
      <w:r>
        <w:t xml:space="preserve">spatial</w:t>
      </w:r>
      <w:r>
        <w:t xml:space="preserve"> </w:t>
      </w:r>
      <w:r>
        <w:t xml:space="preserve">extent.</w:t>
      </w:r>
      <w:r>
        <w:t xml:space="preserve"> </w:t>
      </w:r>
      <w:r>
        <w:t xml:space="preserve">Wildfire</w:t>
      </w:r>
      <w:r>
        <w:t xml:space="preserve"> </w:t>
      </w:r>
      <w:r>
        <w:t xml:space="preserve">disturbance</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structuring</w:t>
      </w:r>
      <w:r>
        <w:t xml:space="preserve"> </w:t>
      </w:r>
      <w:r>
        <w:t xml:space="preserve">the</w:t>
      </w:r>
      <w:r>
        <w:t xml:space="preserve"> </w:t>
      </w:r>
      <w:r>
        <w:t xml:space="preserve">vegetation</w:t>
      </w:r>
      <w:r>
        <w:t xml:space="preserve"> </w:t>
      </w:r>
      <w:r>
        <w:t xml:space="preserve">of</w:t>
      </w:r>
      <w:r>
        <w:t xml:space="preserve"> </w:t>
      </w:r>
      <w:r>
        <w:t xml:space="preserve">many</w:t>
      </w:r>
      <w:r>
        <w:t xml:space="preserve"> </w:t>
      </w:r>
      <w:r>
        <w:t xml:space="preserve">forests,</w:t>
      </w:r>
      <w:r>
        <w:t xml:space="preserve"> </w:t>
      </w:r>
      <w:r>
        <w:t xml:space="preserve">and</w:t>
      </w:r>
      <w:r>
        <w:t xml:space="preserve"> </w:t>
      </w:r>
      <w:r>
        <w:t xml:space="preserve">vegetation</w:t>
      </w:r>
      <w:r>
        <w:t xml:space="preserve"> </w:t>
      </w:r>
      <w:r>
        <w:t xml:space="preserve">structure</w:t>
      </w:r>
      <w:r>
        <w:t xml:space="preserve"> </w:t>
      </w:r>
      <w:r>
        <w:t xml:space="preserve">can</w:t>
      </w:r>
      <w:r>
        <w:t xml:space="preserve"> </w:t>
      </w:r>
      <w:r>
        <w:t xml:space="preserve">feedback</w:t>
      </w:r>
      <w:r>
        <w:t xml:space="preserve"> </w:t>
      </w:r>
      <w:r>
        <w:t xml:space="preserve">to</w:t>
      </w:r>
      <w:r>
        <w:t xml:space="preserve"> </w:t>
      </w:r>
      <w:r>
        <w:t xml:space="preserve">influence</w:t>
      </w:r>
      <w:r>
        <w:t xml:space="preserve"> </w:t>
      </w:r>
      <w:r>
        <w:t xml:space="preserve">wildfire</w:t>
      </w:r>
      <w:r>
        <w:t xml:space="preserve"> </w:t>
      </w:r>
      <w:r>
        <w:t xml:space="preserve">behavior.</w:t>
      </w:r>
      <w:r>
        <w:t xml:space="preserve"> </w:t>
      </w:r>
      <w:r>
        <w:t xml:space="preserve">High</w:t>
      </w:r>
      <w:r>
        <w:t xml:space="preserve"> </w:t>
      </w:r>
      <w:r>
        <w:t xml:space="preserve">fuel</w:t>
      </w:r>
      <w:r>
        <w:t xml:space="preserve"> </w:t>
      </w:r>
      <w:r>
        <w:t xml:space="preserve">loads</w:t>
      </w:r>
      <w:r>
        <w:t xml:space="preserve"> </w:t>
      </w:r>
      <w:r>
        <w:t xml:space="preserve">and</w:t>
      </w:r>
      <w:r>
        <w:t xml:space="preserve"> </w:t>
      </w:r>
      <w:r>
        <w:t xml:space="preserve">hot,</w:t>
      </w:r>
      <w:r>
        <w:t xml:space="preserve"> </w:t>
      </w:r>
      <w:r>
        <w:t xml:space="preserve">dry</w:t>
      </w:r>
      <w:r>
        <w:t xml:space="preserve"> </w:t>
      </w:r>
      <w:r>
        <w:t xml:space="preserve">conditions</w:t>
      </w:r>
      <w:r>
        <w:t xml:space="preserve"> </w:t>
      </w:r>
      <w:r>
        <w:t xml:space="preserve">are</w:t>
      </w:r>
      <w:r>
        <w:t xml:space="preserve"> </w:t>
      </w:r>
      <w:r>
        <w:t xml:space="preserve">known</w:t>
      </w:r>
      <w:r>
        <w:t xml:space="preserve"> </w:t>
      </w:r>
      <w:r>
        <w:t xml:space="preserve">to</w:t>
      </w:r>
      <w:r>
        <w:t xml:space="preserve"> </w:t>
      </w:r>
      <w:r>
        <w:t xml:space="preserve">increase</w:t>
      </w:r>
      <w:r>
        <w:t xml:space="preserve"> </w:t>
      </w:r>
      <w:r>
        <w:t xml:space="preserve">wildfire-induced</w:t>
      </w:r>
      <w:r>
        <w:t xml:space="preserve"> </w:t>
      </w:r>
      <w:r>
        <w:t xml:space="preserve">tree</w:t>
      </w:r>
      <w:r>
        <w:t xml:space="preserve"> </w:t>
      </w:r>
      <w:r>
        <w:t xml:space="preserve">mortality,</w:t>
      </w:r>
      <w:r>
        <w:t xml:space="preserve"> </w:t>
      </w:r>
      <w:r>
        <w:t xml:space="preserve">but</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wildfire</w:t>
      </w:r>
      <w:r>
        <w:t xml:space="preserve"> </w:t>
      </w:r>
      <w:r>
        <w:t xml:space="preserve">disturbance</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We</w:t>
      </w:r>
      <w:r>
        <w:t xml:space="preserve"> </w:t>
      </w:r>
      <w:r>
        <w:t xml:space="preserve">investigate</w:t>
      </w:r>
      <w:r>
        <w:t xml:space="preserve"> </w:t>
      </w:r>
      <w:r>
        <w:t xml:space="preserve">the</w:t>
      </w:r>
      <w:r>
        <w:t xml:space="preserve"> </w:t>
      </w:r>
      <w:r>
        <w:t xml:space="preserve">system-wide</w:t>
      </w:r>
      <w:r>
        <w:t xml:space="preserve"> </w:t>
      </w:r>
      <w:r>
        <w:t xml:space="preserve">generality</w:t>
      </w:r>
      <w:r>
        <w:t xml:space="preserve"> </w:t>
      </w:r>
      <w:r>
        <w:t xml:space="preserve">of</w:t>
      </w:r>
      <w:r>
        <w:t xml:space="preserve"> </w:t>
      </w:r>
      <w:r>
        <w:t xml:space="preserve">variable</w:t>
      </w:r>
      <w:r>
        <w:t xml:space="preserve"> </w:t>
      </w:r>
      <w:r>
        <w:t xml:space="preserve">forest</w:t>
      </w:r>
      <w:r>
        <w:t xml:space="preserve"> </w:t>
      </w:r>
      <w:r>
        <w:t xml:space="preserve">structure</w:t>
      </w:r>
      <w:r>
        <w:t xml:space="preserve"> </w:t>
      </w:r>
      <w:r>
        <w:t xml:space="preserve">confering</w:t>
      </w:r>
      <w:r>
        <w:t xml:space="preserve"> </w:t>
      </w:r>
      <w:r>
        <w:t xml:space="preserve">resilience</w:t>
      </w:r>
      <w:r>
        <w:t xml:space="preserve"> </w:t>
      </w:r>
      <w:r>
        <w:t xml:space="preserve">to</w:t>
      </w:r>
      <w:r>
        <w:t xml:space="preserve"> </w:t>
      </w:r>
      <w:r>
        <w:t xml:space="preserve">the</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mountain</w:t>
      </w:r>
      <w:r>
        <w:t xml:space="preserve"> </w:t>
      </w:r>
      <w:r>
        <w:t xml:space="preserve">range.</w:t>
      </w:r>
      <w:r>
        <w:t xml:space="preserve"> </w:t>
      </w:r>
      <w:r>
        <w:t xml:space="preserve">Vegetation</w:t>
      </w:r>
      <w:r>
        <w:t xml:space="preserve"> </w:t>
      </w:r>
      <w:r>
        <w:t xml:space="preserve">structure</w:t>
      </w:r>
      <w:r>
        <w:t xml:space="preserve"> </w:t>
      </w:r>
      <w:r>
        <w:t xml:space="preserve">and</w:t>
      </w:r>
      <w:r>
        <w:t xml:space="preserve"> </w:t>
      </w:r>
      <w:r>
        <w:t xml:space="preserve">disturbance</w:t>
      </w:r>
      <w:r>
        <w:t xml:space="preserve"> </w:t>
      </w:r>
      <w:r>
        <w:t xml:space="preserve">severity</w:t>
      </w:r>
      <w:r>
        <w:t xml:space="preserve"> </w:t>
      </w:r>
      <w:r>
        <w:t xml:space="preserve">can</w:t>
      </w:r>
      <w:r>
        <w:t xml:space="preserve"> </w:t>
      </w:r>
      <w:r>
        <w:t xml:space="preserve">be</w:t>
      </w:r>
      <w:r>
        <w:t xml:space="preserve"> </w:t>
      </w:r>
      <w:r>
        <w:t xml:space="preserve">reliably</w:t>
      </w:r>
      <w:r>
        <w:t xml:space="preserve"> </w:t>
      </w:r>
      <w:r>
        <w:t xml:space="preserve">detected</w:t>
      </w:r>
      <w:r>
        <w:t xml:space="preserve"> </w:t>
      </w:r>
      <w:r>
        <w:t xml:space="preserve">at</w:t>
      </w:r>
      <w:r>
        <w:t xml:space="preserve"> </w:t>
      </w:r>
      <w:r>
        <w:t xml:space="preserve">system-wide</w:t>
      </w:r>
      <w:r>
        <w:t xml:space="preserve"> </w:t>
      </w:r>
      <w:r>
        <w:t xml:space="preserve">spatiotemporal</w:t>
      </w:r>
      <w:r>
        <w:t xml:space="preserve"> </w:t>
      </w:r>
      <w:r>
        <w:t xml:space="preserve">scales</w:t>
      </w:r>
      <w:r>
        <w:t xml:space="preserve"> </w:t>
      </w:r>
      <w:r>
        <w:t xml:space="preserve">using</w:t>
      </w:r>
      <w:r>
        <w:t xml:space="preserve"> </w:t>
      </w:r>
      <w:r>
        <w:t xml:space="preserve">satellite</w:t>
      </w:r>
      <w:r>
        <w:t xml:space="preserve"> </w:t>
      </w:r>
      <w:r>
        <w:t xml:space="preserve">imagery.</w:t>
      </w:r>
      <w:r>
        <w:t xml:space="preserve"> </w:t>
      </w:r>
      <w:r>
        <w:t xml:space="preserve">We</w:t>
      </w:r>
      <w:r>
        <w:t xml:space="preserve"> </w:t>
      </w:r>
      <w:r>
        <w:t xml:space="preserve">use</w:t>
      </w:r>
      <w:r>
        <w:t xml:space="preserve"> </w:t>
      </w:r>
      <w:r>
        <w:t xml:space="preserve">massively</w:t>
      </w:r>
      <w:r>
        <w:t xml:space="preserve"> </w:t>
      </w:r>
      <w:r>
        <w:t xml:space="preserve">parallel</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Landsat</w:t>
      </w:r>
      <w:r>
        <w:t xml:space="preserve"> </w:t>
      </w:r>
      <w:r>
        <w:t xml:space="preserve">satellite</w:t>
      </w:r>
      <w:r>
        <w:t xml:space="preserve"> </w:t>
      </w:r>
      <w:r>
        <w:t xml:space="preserve">imagery</w:t>
      </w:r>
      <w:r>
        <w:t xml:space="preserve"> </w:t>
      </w:r>
      <w:r>
        <w:t xml:space="preserve">to</w:t>
      </w:r>
      <w:r>
        <w:t xml:space="preserve"> </w:t>
      </w:r>
      <w:r>
        <w:t xml:space="preserve">generate</w:t>
      </w:r>
      <w:r>
        <w:t xml:space="preserve"> </w:t>
      </w:r>
      <w:r>
        <w:t xml:space="preserve">the</w:t>
      </w:r>
      <w:r>
        <w:t xml:space="preserve"> </w:t>
      </w:r>
      <w:r>
        <w:t xml:space="preserve">most</w:t>
      </w:r>
      <w:r>
        <w:t xml:space="preserve"> </w:t>
      </w:r>
      <w:r>
        <w:t xml:space="preserve">comprehensive</w:t>
      </w:r>
      <w:r>
        <w:t xml:space="preserve"> </w:t>
      </w:r>
      <w:r>
        <w:t xml:space="preserve">dataset</w:t>
      </w:r>
      <w:r>
        <w:t xml:space="preserve"> </w:t>
      </w:r>
      <w:r>
        <w:t xml:space="preserve">of</w:t>
      </w:r>
      <w:r>
        <w:t xml:space="preserve"> </w:t>
      </w:r>
      <w:r>
        <w:t xml:space="preserve">wildfire</w:t>
      </w:r>
      <w:r>
        <w:t xml:space="preserve"> </w:t>
      </w:r>
      <w:r>
        <w:t xml:space="preserve">severity</w:t>
      </w:r>
      <w:r>
        <w:t xml:space="preserve"> </w:t>
      </w:r>
      <w:r>
        <w:t xml:space="preserve">and</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w:t>
      </w:r>
      <w:r>
        <w:t xml:space="preserve"> </w:t>
      </w:r>
      <w:r>
        <w:t xml:space="preserve">this</w:t>
      </w:r>
      <w:r>
        <w:t xml:space="preserve"> </w:t>
      </w:r>
      <w:r>
        <w:t xml:space="preserve">region</w:t>
      </w:r>
      <w:r>
        <w:t xml:space="preserve"> </w:t>
      </w:r>
      <w:r>
        <w:t xml:space="preserve">to</w:t>
      </w:r>
      <w:r>
        <w:t xml:space="preserve"> </w:t>
      </w:r>
      <w:r>
        <w:t xml:space="preserve">date,</w:t>
      </w:r>
      <w:r>
        <w:t xml:space="preserve"> </w:t>
      </w:r>
      <w:r>
        <w:t xml:space="preserve">spanning</w:t>
      </w:r>
      <w:r>
        <w:t xml:space="preserve"> </w:t>
      </w:r>
      <w:r>
        <w:t xml:space="preserve">its</w:t>
      </w:r>
      <w:r>
        <w:t xml:space="preserve"> </w:t>
      </w:r>
      <w:r>
        <w:t xml:space="preserve">entire</w:t>
      </w:r>
      <w:r>
        <w:t xml:space="preserve"> </w:t>
      </w:r>
      <w:r>
        <w:t xml:space="preserve">spatial</w:t>
      </w:r>
      <w:r>
        <w:t xml:space="preserve"> </w:t>
      </w:r>
      <w:r>
        <w:t xml:space="preserve">extent</w:t>
      </w:r>
      <w:r>
        <w:t xml:space="preserve"> </w:t>
      </w:r>
      <w:r>
        <w:t xml:space="preserve">and</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all</w:t>
      </w:r>
      <w:r>
        <w:t xml:space="preserve"> </w:t>
      </w:r>
      <w:r>
        <w:t xml:space="preserve">known</w:t>
      </w:r>
      <w:r>
        <w:t xml:space="preserve"> </w:t>
      </w:r>
      <w:r>
        <w:t xml:space="preserve">wildfires</w:t>
      </w:r>
      <w:r>
        <w:t xml:space="preserve"> </w:t>
      </w:r>
      <w:r>
        <w:t xml:space="preserve">covering</w:t>
      </w:r>
      <w:r>
        <w:t xml:space="preserve"> </w:t>
      </w:r>
      <w:r>
        <w:t xml:space="preserve">greater</w:t>
      </w:r>
      <w:r>
        <w:t xml:space="preserve"> </w:t>
      </w:r>
      <w:r>
        <w:t xml:space="preserve">than</w:t>
      </w:r>
      <w:r>
        <w:t xml:space="preserve"> </w:t>
      </w:r>
      <w:r>
        <w:t xml:space="preserve">4</w:t>
      </w:r>
      <w:r>
        <w:t xml:space="preserve"> </w:t>
      </w:r>
      <w:r>
        <w:t xml:space="preserve">hectares.</w:t>
      </w:r>
      <w:r>
        <w:t xml:space="preserve"> </w:t>
      </w:r>
      <w:r>
        <w:t xml:space="preserve">We</w:t>
      </w:r>
      <w:r>
        <w:t xml:space="preserve"> </w:t>
      </w:r>
      <w:r>
        <w:t xml:space="preserve">find</w:t>
      </w:r>
      <w:r>
        <w:t xml:space="preserve"> </w:t>
      </w:r>
      <w:r>
        <w:t xml:space="preserve">that,</w:t>
      </w:r>
      <w:r>
        <w:t xml:space="preserve"> </w:t>
      </w:r>
      <w:r>
        <w:t xml:space="preserve">on</w:t>
      </w:r>
      <w:r>
        <w:t xml:space="preserve"> </w:t>
      </w:r>
      <w:r>
        <w:t xml:space="preserve">a</w:t>
      </w:r>
      <w:r>
        <w:t xml:space="preserve"> </w:t>
      </w:r>
      <w:r>
        <w:t xml:space="preserve">system-wide</w:t>
      </w:r>
      <w:r>
        <w:t xml:space="preserve"> </w:t>
      </w:r>
      <w:r>
        <w:t xml:space="preserve">scale,</w:t>
      </w:r>
      <w:r>
        <w:t xml:space="preserve"> </w:t>
      </w:r>
      <w:r>
        <w:t xml:space="preserve">greater</w:t>
      </w:r>
      <w:r>
        <w:t xml:space="preserve"> </w:t>
      </w:r>
      <w:r>
        <w:t xml:space="preserve">variability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We</w:t>
      </w:r>
      <w:r>
        <w:t xml:space="preserve"> </w:t>
      </w:r>
      <w:r>
        <w:t xml:space="preserve">find</w:t>
      </w:r>
      <w:r>
        <w:t xml:space="preserve"> </w:t>
      </w:r>
      <w:r>
        <w:t xml:space="preserve">the</w:t>
      </w:r>
      <w:r>
        <w:t xml:space="preserve"> </w:t>
      </w:r>
      <w:r>
        <w:t xml:space="preserve">most</w:t>
      </w:r>
      <w:r>
        <w:t xml:space="preserve"> </w:t>
      </w:r>
      <w:r>
        <w:t xml:space="preserve">support</w:t>
      </w:r>
      <w:r>
        <w:t xml:space="preserve"> </w:t>
      </w:r>
      <w:r>
        <w:t xml:space="preserve">for</w:t>
      </w:r>
      <w:r>
        <w:t xml:space="preserve"> </w:t>
      </w:r>
      <w:r>
        <w:t xml:space="preserve">this</w:t>
      </w:r>
      <w:r>
        <w:t xml:space="preserve"> </w:t>
      </w:r>
      <w:r>
        <w:t xml:space="preserve">relationship</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vegetation</w:t>
      </w:r>
      <w:r>
        <w:t xml:space="preserve"> </w:t>
      </w:r>
      <w:r>
        <w:t xml:space="preserve">structure</w:t>
      </w:r>
      <w:r>
        <w:t xml:space="preserve"> </w:t>
      </w:r>
      <w:r>
        <w:t xml:space="preserve">tested,</w:t>
      </w:r>
      <w:r>
        <w:t xml:space="preserve"> </w:t>
      </w:r>
      <w:r>
        <w:t xml:space="preserve">indicating</w:t>
      </w:r>
      <w:r>
        <w:t xml:space="preserve"> </w:t>
      </w:r>
      <w:r>
        <w:t xml:space="preserve">this</w:t>
      </w:r>
      <w:r>
        <w:t xml:space="preserve"> </w:t>
      </w:r>
      <w:r>
        <w:t xml:space="preserve">phenomenon</w:t>
      </w:r>
      <w:r>
        <w:t xml:space="preserve"> </w:t>
      </w:r>
      <w:r>
        <w:t xml:space="preserve">manifests</w:t>
      </w:r>
      <w:r>
        <w:t xml:space="preserve"> </w:t>
      </w:r>
      <w:r>
        <w:t xml:space="preserve">at</w:t>
      </w:r>
      <w:r>
        <w:t xml:space="preserve"> </w:t>
      </w:r>
      <w:r>
        <w:t xml:space="preserve">a</w:t>
      </w:r>
      <w:r>
        <w:t xml:space="preserve"> </w:t>
      </w:r>
      <w:r>
        <w:t xml:space="preserve">local</w:t>
      </w:r>
      <w:r>
        <w:t xml:space="preserve"> </w:t>
      </w:r>
      <w:r>
        <w:t xml:space="preserve">scale.</w:t>
      </w:r>
      <w:r>
        <w:t xml:space="preserve"> </w:t>
      </w:r>
      <w:r>
        <w:t xml:space="preserve">Variable</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yellow</w:t>
      </w:r>
      <w:r>
        <w:t xml:space="preserve"> </w:t>
      </w:r>
      <w:r>
        <w:t xml:space="preserve">pine/mixed-conifer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inevitable</w:t>
      </w:r>
      <w:r>
        <w:t xml:space="preserve"> </w:t>
      </w:r>
      <w:r>
        <w:t xml:space="preserve">wildfire</w:t>
      </w:r>
      <w:r>
        <w:t xml:space="preserve"> </w:t>
      </w:r>
      <w:r>
        <w:t xml:space="preserve">disturbance</w:t>
      </w:r>
      <w:r>
        <w:t xml:space="preserve"> </w:t>
      </w:r>
      <w:r>
        <w:t xml:space="preserve">on</w:t>
      </w:r>
      <w:r>
        <w:t xml:space="preserve"> </w:t>
      </w:r>
      <w:r>
        <w:t xml:space="preserve">average,</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r>
        <w:t xml:space="preserve"> </w:t>
      </w:r>
      <w:r>
        <w:t xml:space="preserve">Efforts</w:t>
      </w:r>
      <w:r>
        <w:t xml:space="preserve"> </w:t>
      </w:r>
      <w:r>
        <w:t xml:space="preserve">to</w:t>
      </w:r>
      <w:r>
        <w:t xml:space="preserve"> </w:t>
      </w:r>
      <w:r>
        <w:t xml:space="preserve">maintain</w:t>
      </w:r>
      <w:r>
        <w:t xml:space="preserve"> </w:t>
      </w:r>
      <w:r>
        <w:t xml:space="preserve">or</w:t>
      </w:r>
      <w:r>
        <w:t xml:space="preserve"> </w:t>
      </w:r>
      <w:r>
        <w:t xml:space="preserve">increase</w:t>
      </w:r>
      <w:r>
        <w:t xml:space="preserve"> </w:t>
      </w:r>
      <w:r>
        <w:t xml:space="preserve">vegetation</w:t>
      </w:r>
      <w:r>
        <w:t xml:space="preserve"> </w:t>
      </w:r>
      <w:r>
        <w:t xml:space="preserve">structure</w:t>
      </w:r>
      <w:r>
        <w:t xml:space="preserve"> </w:t>
      </w:r>
      <w:r>
        <w:t xml:space="preserve">variability</w:t>
      </w:r>
      <w:r>
        <w:t xml:space="preserve"> </w:t>
      </w:r>
      <w:r>
        <w:t xml:space="preserve">in</w:t>
      </w:r>
      <w:r>
        <w:t xml:space="preserve"> </w:t>
      </w:r>
      <w:r>
        <w:t xml:space="preserve">forests,</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some</w:t>
      </w:r>
      <w:r>
        <w:t xml:space="preserve"> </w:t>
      </w:r>
      <w:r>
        <w:t xml:space="preserve">conditions,</w:t>
      </w:r>
      <w:r>
        <w:t xml:space="preserve"> </w:t>
      </w:r>
      <w:r>
        <w:t xml:space="preserve">should</w:t>
      </w:r>
      <w:r>
        <w:t xml:space="preserve"> </w:t>
      </w:r>
      <w:r>
        <w:t xml:space="preserve">be</w:t>
      </w:r>
      <w:r>
        <w:t xml:space="preserve"> </w:t>
      </w:r>
      <w:r>
        <w:t xml:space="preserve">continued.</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 Lenoir</w:t>
      </w:r>
      <w:r>
        <w:t xml:space="preserve"> </w:t>
      </w:r>
      <w:r>
        <w:rPr>
          <w:i/>
        </w:rPr>
        <w:t xml:space="preserve">et al.</w:t>
      </w:r>
      <w:r>
        <w:t xml:space="preserve"> </w:t>
      </w:r>
      <w:r>
        <w:t xml:space="preserve">2013)</w:t>
      </w:r>
      <w:r>
        <w:t xml:space="preserve">, and temporal environmental variation</w:t>
      </w:r>
      <w:r>
        <w:t xml:space="preserve"> </w:t>
      </w:r>
      <w:r>
        <w:t xml:space="preserve">(Questad &amp;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heterogeneity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heterogeneity in forest structure on forest resilience.</w:t>
      </w:r>
    </w:p>
    <w:p>
      <w:pPr>
        <w:pStyle w:val="BodyText"/>
      </w:pPr>
      <w:r>
        <w:t xml:space="preserve">Resilience of forest ecosystems is fundamentally challenging to quantify because forests comprise long-lived species, span large geographic extents, and are affected by disturbances at a very broad range of spatial scales. The ease or difficulty with which a disturbance changes a system’s state is resistance, and it is a key component of resilience</w:t>
      </w:r>
      <w:r>
        <w:t xml:space="preserve"> </w:t>
      </w:r>
      <w:r>
        <w:t xml:space="preserve">(Walker</w:t>
      </w:r>
      <w:r>
        <w:t xml:space="preserve"> </w:t>
      </w:r>
      <w:r>
        <w:rPr>
          <w:i/>
        </w:rPr>
        <w:t xml:space="preserve">et al.</w:t>
      </w:r>
      <w:r>
        <w:t xml:space="preserve"> </w:t>
      </w:r>
      <w:r>
        <w:t xml:space="preserve">2004)</w:t>
      </w:r>
      <w:r>
        <w:t xml:space="preserve">. In yellow pine/mixed-conifer forests of California’s Sierra Nevada mountain range, wildfire disturbance alters the system state at landscape scales with the deaths of overstory trees. Thus, a more resistant forest system should generally experience lower tree mortality when a fire inevitably occurs.</w:t>
      </w:r>
    </w:p>
    <w:p>
      <w:pPr>
        <w:pStyle w:val="BodyText"/>
      </w:pPr>
      <w:r>
        <w:t xml:space="preserve">Wildfire 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w:t>
      </w:r>
      <w:r>
        <w:t xml:space="preserve">and</w:t>
      </w:r>
      <w:r>
        <w:t xml:space="preserve"> </w:t>
      </w:r>
      <w:r>
        <w:t xml:space="preserve">Parks</w:t>
      </w:r>
      <w:r>
        <w:t xml:space="preserve"> </w:t>
      </w:r>
      <w:r>
        <w:rPr>
          <w:i/>
        </w:rPr>
        <w:t xml:space="preserve">et al.</w:t>
      </w:r>
      <w:r>
        <w:t xml:space="preserve"> </w:t>
      </w:r>
      <w:r>
        <w:t xml:space="preserve">(2018b)</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local environmental heterogeneity across broad spatial extents</w:t>
      </w:r>
      <w:r>
        <w:t xml:space="preserve"> </w:t>
      </w:r>
      <w:r>
        <w:t xml:space="preserve">(Wood</w:t>
      </w:r>
      <w:r>
        <w:t xml:space="preserve"> </w:t>
      </w:r>
      <w:r>
        <w:rPr>
          <w:i/>
        </w:rPr>
        <w:t xml:space="preserve">et al.</w:t>
      </w:r>
      <w:r>
        <w:t xml:space="preserve"> </w:t>
      </w:r>
      <w:r>
        <w:t xml:space="preserve">2012)</w:t>
      </w:r>
      <w:r>
        <w:t xml:space="preserve">. Developed for image classification and computer vision, texture analysis characterizes each pixel in an image by a summary statistic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The value of each pixel represents a measure of local heterogenity within a predefined moving window, and the heterogeneity measurement itself varies across each pixel in the image. Ecologists have successfully used texture measurements to augment predictions of ecosystem properties such as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spatial-heterogeneity"/>
      <w:r>
        <w:t xml:space="preserve">Creation and maintenance of spatial heterogeneity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as well as areas containing trees that are more widely spaced trees where resources are more limiting</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forest structure can also influence these pattern-forming processes; for example, vegetation overstory density alters microclimate and changes understory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is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(Agee &amp; Skinner 2005; Stephens</w:t>
      </w:r>
      <w:r>
        <w:t xml:space="preserve"> </w:t>
      </w:r>
      <w:r>
        <w:rPr>
          <w:i/>
        </w:rPr>
        <w:t xml:space="preserve">et al.</w:t>
      </w:r>
      <w:r>
        <w:t xml:space="preserve"> </w:t>
      </w:r>
      <w:r>
        <w:t xml:space="preserve">2008)</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small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pine/mixed-conifer forests of the Sierra San Pedro Mártir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due to their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variability in forest structure is meaningful for resilience</w:t>
      </w:r>
      <w:r>
        <w:t xml:space="preserve"> </w:t>
      </w:r>
      <w:r>
        <w:t xml:space="preserve">(Kotliar &amp; Wiens 1990)</w:t>
      </w:r>
      <w:r>
        <w:t xml:space="preserve">.</w:t>
      </w:r>
    </w:p>
    <w:p>
      <w:pPr>
        <w:pStyle w:val="BodyText"/>
      </w:pPr>
      <w:r>
        <w:t xml:space="preserve">We use Landsat satellite data and a new image processing approach to calculate wildfire severity for all Sierra Nevada wildfires since 1984 that burned in yellow pine/mixed-conifer forest and covered more than 4 hectares. We calibrate 56 configurations of our algorithmic approach to groud-based wildfire severity measurments, and select the best performing severity metric to generate a comprehensive, system-wide severity dataset. We pair these data with image texture analysis to ask: does spatial variability in forest structure increase the resilience of California yellow pine/mixed-conifer forests by reducing the severity of wildfires? Further, we ask whether the influence of structural heterogeneity on fire severity depends on topographic, fire weather, or other fuel conditions.</w:t>
      </w:r>
    </w:p>
    <w:p>
      <w:pPr>
        <w:pStyle w:val="Heading1"/>
      </w:pPr>
      <w:bookmarkStart w:id="24" w:name="methods"/>
      <w:r>
        <w:t xml:space="preserve">Methods</w:t>
      </w:r>
      <w:bookmarkEnd w:id="24"/>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 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CBI measurements.</w:t>
      </w:r>
    </w:p>
    <w:p>
      <w:pPr>
        <w:pStyle w:val="Heading2"/>
      </w:pPr>
      <w:bookmarkStart w:id="26" w:name="study-system"/>
      <w:r>
        <w:t xml:space="preserve">Study system</w:t>
      </w:r>
      <w:bookmarkEnd w:id="26"/>
    </w:p>
    <w:p>
      <w:pPr>
        <w:pStyle w:val="FirstParagraph"/>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as well as shrubs</w:t>
      </w:r>
      <w:r>
        <w:t xml:space="preserve"> </w:t>
      </w:r>
      <w:r>
        <w:t xml:space="preserve">(Stephens &amp; Collins 2004; Collins</w:t>
      </w:r>
      <w:r>
        <w:t xml:space="preserve"> </w:t>
      </w:r>
      <w:r>
        <w:rPr>
          <w:i/>
        </w:rPr>
        <w:t xml:space="preserve">et al.</w:t>
      </w:r>
      <w:r>
        <w:t xml:space="preserve"> </w:t>
      </w:r>
      <w:r>
        <w:t xml:space="preserve">2015; Safford &amp; Stevens 2017)</w:t>
      </w:r>
      <w:r>
        <w:t xml:space="preserve">. We considered</w:t>
      </w:r>
      <w:r>
        <w:t xml:space="preserve"> </w:t>
      </w:r>
      <w:r>
        <w:t xml:space="preserve">“</w:t>
      </w:r>
      <w:r>
        <w:t xml:space="preserve">yellow pine/mixed-conifer forest</w:t>
      </w:r>
      <w:r>
        <w:t xml:space="preserve">”</w:t>
      </w:r>
      <w:r>
        <w:t xml:space="preserve"> </w:t>
      </w:r>
      <w:r>
        <w:t xml:space="preserve">to be all area designated as a yellow pine, dry mixed conifer, or moist mixed conifer pre-settlement fire regime (PFR) in the USFS Fire Return Interval Departure database (</w:t>
      </w:r>
      <w:hyperlink r:id="rId27">
        <w:r>
          <w:rPr>
            <w:rStyle w:val="Hyperlink"/>
          </w:rPr>
          <w:t xml:space="preserve">https://www.fs.usda.gov/detail/r5/landmanagement/gis/?cid=STELPRDB5327836</w:t>
        </w:r>
      </w:hyperlink>
      <w:r>
        <w:t xml:space="preserve">). We used the PFR to define our system because it reflects potential vegetation and is less sensitive to recent land cover change</w:t>
      </w:r>
      <w:r>
        <w:t xml:space="preserve"> </w:t>
      </w:r>
      <w:r>
        <w:t xml:space="preserve">(Steel</w:t>
      </w:r>
      <w:r>
        <w:t xml:space="preserve"> </w:t>
      </w:r>
      <w:r>
        <w:rPr>
          <w:i/>
        </w:rPr>
        <w:t xml:space="preserve">et al.</w:t>
      </w:r>
      <w:r>
        <w:t xml:space="preserve"> </w:t>
      </w:r>
      <w:r>
        <w:t xml:space="preserve">2018)</w:t>
      </w:r>
      <w:r>
        <w:t xml:space="preserve">. We considered the Sierra Nevada region to be the area within the Sierra Nevada Foothills, the High Sierra Nevada, and the Tehachapi Mountain Area Jepson ecoregions.</w:t>
      </w:r>
    </w:p>
    <w:p>
      <w:pPr>
        <w:pStyle w:val="BodyText"/>
      </w:pPr>
      <w:r>
        <w:t xml:space="preserve">The historical range of variation of this system is characterized by relatively low tree density (mean of 143.8 trees ha</w:t>
      </w:r>
      <w:r>
        <w:rPr>
          <w:vertAlign w:val="superscript"/>
        </w:rPr>
        <w:t xml:space="preserve">-1</w:t>
      </w:r>
      <w:r>
        <w:t xml:space="preserve">), open canopy (mean of 34.4% canopy cover), and heterogeneous forest struture with highly variable tree density, large and small canopy gaps, and clumps of vegetation dominated by large trees</w:t>
      </w:r>
      <w:r>
        <w:t xml:space="preserve"> </w:t>
      </w:r>
      <w:r>
        <w:t xml:space="preserve">(North 2012; Safford &amp; Stevens 2017)</w:t>
      </w:r>
      <w:r>
        <w:t xml:space="preserve">. The heterogeneous forest structure manifested at scales ranging from less than one hectare to tens of thousands of hectares, and was maintained by topographic effects on average water availability and frequent, low-severity fire</w:t>
      </w:r>
      <w:r>
        <w:t xml:space="preserve"> </w:t>
      </w:r>
      <w:r>
        <w:t xml:space="preserve">(North 2012; Collins</w:t>
      </w:r>
      <w:r>
        <w:t xml:space="preserve"> </w:t>
      </w:r>
      <w:r>
        <w:rPr>
          <w:i/>
        </w:rPr>
        <w:t xml:space="preserve">et al.</w:t>
      </w:r>
      <w:r>
        <w:t xml:space="preserve"> </w:t>
      </w:r>
      <w:r>
        <w:t xml:space="preserve">2015; Steel</w:t>
      </w:r>
      <w:r>
        <w:t xml:space="preserve"> </w:t>
      </w:r>
      <w:r>
        <w:rPr>
          <w:i/>
        </w:rPr>
        <w:t xml:space="preserve">et al.</w:t>
      </w:r>
      <w:r>
        <w:t xml:space="preserve"> </w:t>
      </w:r>
      <w:r>
        <w:t xml:space="preserve">2015)</w:t>
      </w:r>
      <w:r>
        <w:t xml:space="preserve">. Prior to the era of Euroamerican fire suppression, approximately 5 to 18% of the yellow pine/mixed-conifer system burned annually with an average fire return interval in any given place of about 11 years</w:t>
      </w:r>
      <w:r>
        <w:t xml:space="preserve"> </w:t>
      </w:r>
      <w:r>
        <w:t xml:space="preserve">(North</w:t>
      </w:r>
      <w:r>
        <w:t xml:space="preserve"> </w:t>
      </w:r>
      <w:r>
        <w:rPr>
          <w:i/>
        </w:rPr>
        <w:t xml:space="preserve">et al.</w:t>
      </w:r>
      <w:r>
        <w:t xml:space="preserve"> </w:t>
      </w:r>
      <w:r>
        <w:t xml:space="preserve">2012; Steel</w:t>
      </w:r>
      <w:r>
        <w:t xml:space="preserve"> </w:t>
      </w:r>
      <w:r>
        <w:rPr>
          <w:i/>
        </w:rPr>
        <w:t xml:space="preserve">et al.</w:t>
      </w:r>
      <w:r>
        <w:t xml:space="preserve"> </w:t>
      </w:r>
      <w:r>
        <w:t xml:space="preserve">2015; Safford &amp; Stevens 2017)</w:t>
      </w:r>
      <w:r>
        <w:t xml:space="preserve">. The frequent fire prevented the accumulation of fuel on the ground and reduced the potential for high intensity subsequent fires</w:t>
      </w:r>
      <w:r>
        <w:t xml:space="preserve"> </w:t>
      </w:r>
      <w:r>
        <w:t xml:space="preserve">(Steel</w:t>
      </w:r>
      <w:r>
        <w:t xml:space="preserve"> </w:t>
      </w:r>
      <w:r>
        <w:rPr>
          <w:i/>
        </w:rPr>
        <w:t xml:space="preserve">et al.</w:t>
      </w:r>
      <w:r>
        <w:t xml:space="preserve"> </w:t>
      </w:r>
      <w:r>
        <w:t xml:space="preserve">2015)</w:t>
      </w:r>
      <w:r>
        <w:t xml:space="preserve">.</w:t>
      </w:r>
    </w:p>
    <w:p>
      <w:pPr>
        <w:pStyle w:val="BodyText"/>
      </w:pPr>
      <w:r>
        <w:t xml:space="preserve">As a result of 150 years of effective fire suppression in this system, overall tree density has increased by a factor of 2.75, canopy cover has increased by 25-49%, and average tree size has decreased by 25 to 40% reflecting a dramatic increase in small trees and loss of large trees</w:t>
      </w:r>
      <w:r>
        <w:t xml:space="preserve"> </w:t>
      </w:r>
      <w:r>
        <w:t xml:space="preserve">(Dolanc</w:t>
      </w:r>
      <w:r>
        <w:t xml:space="preserve"> </w:t>
      </w:r>
      <w:r>
        <w:rPr>
          <w:i/>
        </w:rPr>
        <w:t xml:space="preserve">et al.</w:t>
      </w:r>
      <w:r>
        <w:t xml:space="preserve"> </w:t>
      </w:r>
      <w:r>
        <w:t xml:space="preserve">2014; McIntyre</w:t>
      </w:r>
      <w:r>
        <w:t xml:space="preserve"> </w:t>
      </w:r>
      <w:r>
        <w:rPr>
          <w:i/>
        </w:rPr>
        <w:t xml:space="preserve">et al.</w:t>
      </w:r>
      <w:r>
        <w:t xml:space="preserve"> </w:t>
      </w:r>
      <w:r>
        <w:t xml:space="preserve">2014; Stephens</w:t>
      </w:r>
      <w:r>
        <w:t xml:space="preserve"> </w:t>
      </w:r>
      <w:r>
        <w:rPr>
          <w:i/>
        </w:rPr>
        <w:t xml:space="preserve">et al.</w:t>
      </w:r>
      <w:r>
        <w:t xml:space="preserve"> </w:t>
      </w:r>
      <w:r>
        <w:t xml:space="preserve">2015; Safford &amp; Stevens 2017)</w:t>
      </w:r>
      <w:r>
        <w:t xml:space="preserve">. This forest infilling has homogenized forest structure on fine scales with the loss of canopy gaps and the fusion of small tree clumps into larger continuous canopy</w:t>
      </w:r>
      <w:r>
        <w:t xml:space="preserve"> </w:t>
      </w:r>
      <w:r>
        <w:t xml:space="preserve">(Lydersen</w:t>
      </w:r>
      <w:r>
        <w:t xml:space="preserve"> </w:t>
      </w:r>
      <w:r>
        <w:rPr>
          <w:i/>
        </w:rPr>
        <w:t xml:space="preserve">et al.</w:t>
      </w:r>
      <w:r>
        <w:t xml:space="preserve"> </w:t>
      </w:r>
      <w:r>
        <w:t xml:space="preserve">2013)</w:t>
      </w:r>
      <w:r>
        <w:t xml:space="preserve">. The dense fuel loading and anthropogenic climate change are leading to larger fires and larger patches of complete tree mortality, which homogenizes the forest structure on landscape scales</w:t>
      </w:r>
      <w:r>
        <w:t xml:space="preserve"> </w:t>
      </w:r>
      <w:r>
        <w:t xml:space="preserve">(Westerling</w:t>
      </w:r>
      <w:r>
        <w:t xml:space="preserve"> </w:t>
      </w:r>
      <w:r>
        <w:rPr>
          <w:i/>
        </w:rPr>
        <w:t xml:space="preserve">et al.</w:t>
      </w:r>
      <w:r>
        <w:t xml:space="preserve"> </w:t>
      </w:r>
      <w:r>
        <w:t xml:space="preserve">2006; Miller &amp; Safford 2012; Abatzoglou &amp; Williams 2016; Steel</w:t>
      </w:r>
      <w:r>
        <w:t xml:space="preserve"> </w:t>
      </w:r>
      <w:r>
        <w:rPr>
          <w:i/>
        </w:rPr>
        <w:t xml:space="preserve">et al.</w:t>
      </w:r>
      <w:r>
        <w:t xml:space="preserve"> </w:t>
      </w:r>
      <w:r>
        <w:t xml:space="preserve">2018)</w:t>
      </w:r>
      <w:r>
        <w:t xml:space="preserve">.</w:t>
      </w:r>
    </w:p>
    <w:p>
      <w:pPr>
        <w:pStyle w:val="Heading2"/>
      </w:pPr>
      <w:bookmarkStart w:id="28" w:name="a-new-approach-to-remotely-sensing-wildfire-severity"/>
      <w:r>
        <w:t xml:space="preserve">A new approach to remotely sensing wildfire severity</w:t>
      </w:r>
      <w:bookmarkEnd w:id="28"/>
    </w:p>
    <w:p>
      <w:pPr>
        <w:pStyle w:val="FirstParagraph"/>
      </w:pPr>
      <w:r>
        <w:t xml:space="preserve">Forest vegetation characteristics and wildfire severity can be reliably detected at long temporal and vast spatial scales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massively parallel cloud-based geographic information system and image hosting platform, for all image collation and processing</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To minimize bias in assessing general features of wildfire in this system, it is critical to include small fires in analyses. For instance, Miller and Safford (in prep) found that the modern average fire size was greater than natural range of variation in average fire size in Sierra Nevada yellow pine/mixed-conifer forest when only comparing fires covering greater than a minimum threshold size. However, they found that the modern average fire size was less than the natural range of variation in average fire size when comparing all fires with no size cutoff (Miller and Safford,</w:t>
      </w:r>
      <w:r>
        <w:t xml:space="preserve"> </w:t>
      </w:r>
      <w:r>
        <w:t xml:space="preserve">). A key driver of wildfire size is whether initial suppression efforts were successful</w:t>
      </w:r>
      <w:r>
        <w:t xml:space="preserve"> </w:t>
      </w:r>
      <w:r>
        <w:t xml:space="preserve">(Calkin</w:t>
      </w:r>
      <w:r>
        <w:t xml:space="preserve"> </w:t>
      </w:r>
      <w:r>
        <w:rPr>
          <w:i/>
        </w:rPr>
        <w:t xml:space="preserve">et al.</w:t>
      </w:r>
      <w:r>
        <w:t xml:space="preserve"> </w:t>
      </w:r>
      <w:r>
        <w:t xml:space="preserve">2005)</w:t>
      </w:r>
      <w:r>
        <w:t xml:space="preserve">. Under fire suppression management, 98% of wildfires are extinguished before they reach 120ha</w:t>
      </w:r>
      <w:r>
        <w:t xml:space="preserve"> </w:t>
      </w:r>
      <w:r>
        <w:t xml:space="preserve">(Calkin</w:t>
      </w:r>
      <w:r>
        <w:t xml:space="preserve"> </w:t>
      </w:r>
      <w:r>
        <w:rPr>
          <w:i/>
        </w:rPr>
        <w:t xml:space="preserve">et al.</w:t>
      </w:r>
      <w:r>
        <w:t xml:space="preserve"> </w:t>
      </w:r>
      <w:r>
        <w:t xml:space="preserve">2005)</w:t>
      </w:r>
      <w:r>
        <w:t xml:space="preserve">. The 2% of fires that escape initial suppression often burn in extreme fuel and weather conditions, and these fires constitute 97.5% of the total area burned in this system. Thus, suppression activity exerts a bias on wildfire behavior, whereby the largest fires may not be representative of typical fire behavior though they make up the vast majority of burned area</w:t>
      </w:r>
      <w:r>
        <w:t xml:space="preserve"> </w:t>
      </w:r>
      <w:r>
        <w:t xml:space="preserve">(Safford &amp; Stevens 2017)</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2">
        <w:r>
          <w:rPr>
            <w:rStyle w:val="Hyperlink"/>
          </w:rPr>
          <w:t xml:space="preserve">http://frap.fire.ca.gov/projects/fire_data/fire_perimeters_index</w:t>
        </w:r>
      </w:hyperlink>
      <w:r>
        <w:t xml:space="preserve">) which includes all known fires that covered more than 4 hectares. Using this database, we quantified severity within each perimeter of 972 wildfires in the Sierra Nevada yellow pine/mixed-conifer forest that burned between 1984 and 2017. Our approach more than doubles the number of fires with severity measurements in this system compared to the current standard, which only includes fires covering greater than 80 ha</w:t>
      </w:r>
      <w:r>
        <w:t xml:space="preserve"> </w:t>
      </w:r>
      <w:r>
        <w:t xml:space="preserve">(Miller &amp; Thode 2007; Miller &amp; Safford 2012; Miller</w:t>
      </w:r>
      <w:r>
        <w:t xml:space="preserve"> </w:t>
      </w:r>
      <w:r>
        <w:rPr>
          <w:i/>
        </w:rPr>
        <w:t xml:space="preserve">et al.</w:t>
      </w:r>
      <w:r>
        <w:t xml:space="preserve"> </w:t>
      </w:r>
      <w:r>
        <w:t xml:space="preserve">2012; Steel</w:t>
      </w:r>
      <w:r>
        <w:t xml:space="preserve"> </w:t>
      </w:r>
      <w:r>
        <w:rPr>
          <w:i/>
        </w:rPr>
        <w:t xml:space="preserve">et al.</w:t>
      </w:r>
      <w:r>
        <w:t xml:space="preserve"> </w:t>
      </w:r>
      <w:r>
        <w:t xml:space="preserve">2018)</w:t>
      </w:r>
      <w:r>
        <w:t xml:space="preserve">.</w:t>
      </w:r>
    </w:p>
    <w:p>
      <w:pPr>
        <w:pStyle w:val="Heading3"/>
      </w:pPr>
      <w:bookmarkStart w:id="29" w:name="fetching-and-processing-pre--and-postfire-imagery"/>
      <w:r>
        <w:t xml:space="preserve">Fetching and processing pre- and postfire imagery</w:t>
      </w:r>
      <w:bookmarkEnd w:id="29"/>
    </w:p>
    <w:p>
      <w:pPr>
        <w:pStyle w:val="FirstParagraph"/>
      </w:pPr>
      <w:r>
        <w:t xml:space="preserve">We leveraged the cloud-based data catalog, the large parallel processing system, and the distribution of computation tasks in Google Earth Engine to enable rapid high-throughput analyses using millions of gigabytes of earth observation data</w:t>
      </w:r>
      <w:r>
        <w:t xml:space="preserve"> </w:t>
      </w:r>
      <w:r>
        <w:t xml:space="preserve">(Gorelick</w:t>
      </w:r>
      <w:r>
        <w:t xml:space="preserve"> </w:t>
      </w:r>
      <w:r>
        <w:rPr>
          <w:i/>
        </w:rPr>
        <w:t xml:space="preserve">et al.</w:t>
      </w:r>
      <w:r>
        <w:t xml:space="preserve"> </w:t>
      </w:r>
      <w:r>
        <w:t xml:space="preserve">2017)</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w:t>
      </w:r>
    </w:p>
    <w:p>
      <w:pPr>
        <w:pStyle w:val="BodyText"/>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 2).</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 1) correlates with vegetation density, canopy cover, and leaf area index (LAI)</w:t>
      </w:r>
      <w:r>
        <w:t xml:space="preserve"> </w:t>
      </w:r>
      <w:r>
        <w:t xml:space="preserve">(Rouse</w:t>
      </w:r>
      <w:r>
        <w:t xml:space="preserve"> </w:t>
      </w:r>
      <w:r>
        <w:rPr>
          <w:i/>
        </w:rPr>
        <w:t xml:space="preserve">et al.</w:t>
      </w:r>
      <w:r>
        <w:t xml:space="preserve"> </w:t>
      </w:r>
      <w:r>
        <w:t xml:space="preserve">1973)</w:t>
      </w:r>
      <w:r>
        <w:t xml:space="preserve">. Normalized difference moisture index (NDMI; Eq. 2) correlates with similar vegetation characteristics as NDVI, but doesn’t saturate at high levels of foliar biomass</w:t>
      </w:r>
      <w:r>
        <w:t xml:space="preserve"> </w:t>
      </w:r>
      <w:r>
        <w:t xml:space="preserve">(Gao 1996,</w:t>
      </w:r>
      <w:r>
        <w:t xml:space="preserve"> </w:t>
      </w:r>
      <w:r>
        <w:t xml:space="preserve">@Huesca2016</w:t>
      </w:r>
      <w:r>
        <w:t xml:space="preserve">)</w:t>
      </w:r>
      <w:r>
        <w:t xml:space="preserve">. Normalized burn ratio (NBR; Eq. 3) and normalized burn ratio version 2 (NBR2; Eq. 4) respond strongly to fire effects on vegetation</w:t>
      </w:r>
      <w:r>
        <w:t xml:space="preserve"> </w:t>
      </w:r>
      <w:r>
        <w:t xml:space="preserve">(García &amp; Caselles 1991; Key &amp; Benson 2006; Hawbaker</w:t>
      </w:r>
      <w:r>
        <w:t xml:space="preserve"> </w:t>
      </w:r>
      <w:r>
        <w:rPr>
          <w:i/>
        </w:rPr>
        <w:t xml:space="preserve">et al.</w:t>
      </w:r>
      <w:r>
        <w:t xml:space="preserve"> </w:t>
      </w:r>
      <w:r>
        <w:t xml:space="preserve">2017; USGS 2017a, b)</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composited each prefire image collection into a single prefire image using a median reducer, which calculated the median of the unmasked values on a per-pixel basis across the stack of images in the prefire collection. We similarly composited the postfire image collection into a single postfire image. Composite pre- and postfire images can be successfully used to measure wildfire severity instead of using raw, individual scenes</w:t>
      </w:r>
      <w:r>
        <w:t xml:space="preserve"> </w:t>
      </w:r>
      <w:r>
        <w:t xml:space="preserve">(Parks</w:t>
      </w:r>
      <w:r>
        <w:t xml:space="preserve"> </w:t>
      </w:r>
      <w:r>
        <w:rPr>
          <w:i/>
        </w:rPr>
        <w:t xml:space="preserve">et al.</w:t>
      </w:r>
      <w:r>
        <w:t xml:space="preserve"> </w:t>
      </w:r>
      <w:r>
        <w:t xml:space="preserve">2018b)</w:t>
      </w:r>
      <w:r>
        <w:t xml:space="preserve">.</w:t>
      </w:r>
    </w:p>
    <w:p>
      <w:pPr>
        <w:pStyle w:val="Heading3"/>
      </w:pPr>
      <w:bookmarkStart w:id="31" w:name="calculating-wildfire-severity"/>
      <w:r>
        <w:t xml:space="preserve">Calculating wildfire severity</w:t>
      </w:r>
      <w:bookmarkEnd w:id="31"/>
    </w:p>
    <w:p>
      <w:pPr>
        <w:pStyle w:val="FirstParagraph"/>
      </w:pPr>
      <w:r>
        <w:t xml:space="preserve">There is some debate about the most useful measure of remotely-sensed wildfire severity</w:t>
      </w:r>
      <w:r>
        <w:t xml:space="preserve"> </w:t>
      </w:r>
      <w:r>
        <w:t xml:space="preserve">(Miller &amp; Safford 2012; Parks</w:t>
      </w:r>
      <w:r>
        <w:t xml:space="preserve"> </w:t>
      </w:r>
      <w:r>
        <w:rPr>
          <w:i/>
        </w:rPr>
        <w:t xml:space="preserve">et al.</w:t>
      </w:r>
      <w:r>
        <w:t xml:space="preserve"> </w:t>
      </w:r>
      <w:r>
        <w:t xml:space="preserve">2014; Hawbaker</w:t>
      </w:r>
      <w:r>
        <w:t xml:space="preserve"> </w:t>
      </w:r>
      <w:r>
        <w:rPr>
          <w:i/>
        </w:rPr>
        <w:t xml:space="preserve">et al.</w:t>
      </w:r>
      <w:r>
        <w:t xml:space="preserve"> </w:t>
      </w:r>
      <w:r>
        <w:t xml:space="preserve">2017)</w:t>
      </w:r>
      <w:r>
        <w:t xml:space="preserve">, so we calculated the most commonly used metrics to validate against ground-based data. 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 5).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 </w:t>
      </w:r>
      <w:r>
        <w:t xml:space="preserve">using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Example algorithm outputs are shown in Fig. 3.</w:t>
      </w:r>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r>
        <w:t xml:space="preserve">Calibrating remotely-sensed wildfire severity with field-measured wildfire severity</w:t>
      </w:r>
      <w:bookmarkEnd w:id="33"/>
    </w:p>
    <w:p>
      <w:pPr>
        <w:pStyle w:val="FirstParagraph"/>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 1). The Composite Burn Index (CBI) is a metric of vegetation mortality across several vertical vegetation strata</w:t>
      </w:r>
      <w:r>
        <w:t xml:space="preserve"> </w:t>
      </w:r>
      <w:r>
        <w:t xml:space="preserve">(Key &amp; Benson 2006)</w:t>
      </w:r>
      <w:r>
        <w:t xml:space="preserve"> </w:t>
      </w:r>
      <w:r>
        <w:t xml:space="preserve">and has a long history of use as a standard for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2018b; Prichard &amp; Kennedy 2014)</w:t>
      </w:r>
      <w:r>
        <w:t xml:space="preserve">. The CBI ranges from 0 (no fire impacts) to 3 (very high fire impacts) and is an integrated measure of vegetation mortality, scorching, and resprouting assessed in different vertical forest strata within a 30m diameter field plot</w:t>
      </w:r>
      <w:r>
        <w:t xml:space="preserve"> </w:t>
      </w:r>
      <w:r>
        <w:t xml:space="preserve">(Key &amp; Benson 2006)</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fit a non-linear model to each remotely-sensed severity metric of the following form:</w:t>
      </w:r>
    </w:p>
    <w:p>
      <w:pPr>
        <w:pStyle w:val="Compact"/>
        <w:numPr>
          <w:numId w:val="1005"/>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8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4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(R Core Team 2018)</w:t>
      </w:r>
      <w:r>
        <w:t xml:space="preserve">.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w:t>
      </w:r>
    </w:p>
    <w:p>
      <w:pPr>
        <w:pStyle w:val="Heading2"/>
      </w:pPr>
      <w:bookmarkStart w:id="34" w:name="remote-sensing-other-conditions"/>
      <w:r>
        <w:t xml:space="preserve">Remote sensing other conditions</w:t>
      </w:r>
      <w:bookmarkEnd w:id="34"/>
    </w:p>
    <w:p>
      <w:pPr>
        <w:pStyle w:val="Heading3"/>
      </w:pPr>
      <w:bookmarkStart w:id="35" w:name="variability-of-vegetation"/>
      <w:r>
        <w:t xml:space="preserve">Variability of vegetation</w:t>
      </w:r>
      <w:bookmarkEnd w:id="35"/>
    </w:p>
    <w:p>
      <w:pPr>
        <w:pStyle w:val="FirstParagraph"/>
      </w:pPr>
      <w:r>
        <w:t xml:space="preserve">We used texture analysis to calculate a remotely-sensed measure of local forest variability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forest variability for each pixel as the standard deviation of the NDVI values of its neighbors (not including itself) (See Fig. 4). NDVI correlates well with foliar biomass, leaf area index, and vegetation density</w:t>
      </w:r>
      <w:r>
        <w:t xml:space="preserve"> </w:t>
      </w:r>
      <w:r>
        <w:t xml:space="preserve">(Rouse</w:t>
      </w:r>
      <w:r>
        <w:t xml:space="preserve"> </w:t>
      </w:r>
      <w:r>
        <w:rPr>
          <w:i/>
        </w:rPr>
        <w:t xml:space="preserve">et al.</w:t>
      </w:r>
      <w:r>
        <w:t xml:space="preserve"> </w:t>
      </w:r>
      <w:r>
        <w:t xml:space="preserve">1973)</w:t>
      </w:r>
      <w:r>
        <w:t xml:space="preserve">, so a higher standard deviation of NDVI within a given local neighborhood corresponds to more of a mixture of dense patches and sparsely vegetated patches (see Fig. 4).</w:t>
      </w:r>
    </w:p>
    <w:p>
      <w:pPr>
        <w:pStyle w:val="CaptionedFigure"/>
      </w:pPr>
      <w:r>
        <w:drawing>
          <wp:inline>
            <wp:extent cx="3810000" cy="2540000"/>
            <wp:effectExtent b="0" l="0" r="0" t="0"/>
            <wp:docPr descr="Example of homogenous forest (top row) and heterogenous forest (bottom row) with the same mean NDVI values (~0.6). Each column represents heterogene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heterogeneity measured using a different neighborhood size.</w:t>
      </w:r>
      <w:r>
        <w:t xml:space="preserve"> </w:t>
      </w:r>
    </w:p>
    <w:p>
      <w:pPr>
        <w:pStyle w:val="Heading3"/>
      </w:pPr>
      <w:bookmarkStart w:id="37" w:name="topographic-conditions"/>
      <w:r>
        <w:t xml:space="preserve">Topographic conditions</w:t>
      </w:r>
      <w:bookmarkEnd w:id="37"/>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vegetation heterogeneity (approximately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(Eq. 9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Compact"/>
        <w:numPr>
          <w:numId w:val="1006"/>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38" w:name="moisture-conditions"/>
      <w:r>
        <w:t xml:space="preserve">Moisture conditions</w:t>
      </w:r>
      <w:bookmarkEnd w:id="38"/>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(Abatzoglou 2013)</w:t>
      </w:r>
      <w:r>
        <w:t xml:space="preserve">. For our purposes,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w:t>
      </w:r>
    </w:p>
    <w:p>
      <w:pPr>
        <w:pStyle w:val="Heading3"/>
      </w:pPr>
      <w:bookmarkStart w:id="39" w:name="remote-samples"/>
      <w:r>
        <w:t xml:space="preserve">Remote samples</w:t>
      </w:r>
      <w:bookmarkEnd w:id="39"/>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The random sampling amounted to 54109 total samples across 972 fires.</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used the Relative Burn Ratio (RBR) calculated using bicubic interpolation within a 48-day window to derive our response variable for analyses of vegetation heterogeneity, as it showed the best correspondence to field severity data measured as average R</w:t>
      </w:r>
      <w:r>
        <w:rPr>
          <w:vertAlign w:val="superscript"/>
        </w:rPr>
        <w:t xml:space="preserve">2</w:t>
      </w:r>
      <w:r>
        <w:t xml:space="preserve"> </w:t>
      </w:r>
      <w:r>
        <w:t xml:space="preserve">in the 5-fold cross validation. To quantify resilience, we were most interested in analyzing when the wildfire disturbance resulted in complete or near complete tree morality– when a particular area burned at high severity. Using the non-linear relationship between RBR and CBI from the best performing calibration model, we calculated the threshold RBR that corresponds to</w:t>
      </w:r>
      <w:r>
        <w:t xml:space="preserve"> </w:t>
      </w:r>
      <w:r>
        <w:t xml:space="preserve">“</w:t>
      </w:r>
      <w:r>
        <w:t xml:space="preserve">high severity</w:t>
      </w:r>
      <w:r>
        <w:t xml:space="preserve">”</w:t>
      </w:r>
      <w:r>
        <w:t xml:space="preserve"> </w:t>
      </w:r>
      <w:r>
        <w:t xml:space="preserve">(CBI value of 2.25). If the severity at a remote sample point was greater than this threshold, the point was scored as a 1. We used the mixed effects logistic regression model described in Eq. 10 to assess the effect of variability in forest structure on the probability of high severity wildfire. We scaled all continuous predictor variables, and treated each individual fire as having a random intercept effect.</w:t>
      </w:r>
    </w:p>
    <w:p>
      <w:pPr>
        <w:pStyle w:val="Compact"/>
        <w:numPr>
          <w:numId w:val="1007"/>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FirstParagraph"/>
      </w:pPr>
      <w:r>
        <w:t xml:space="preserve">Each neighborhood size (90m x 90m, 150m x 150m, 210m x 210m, and 270m x 270m)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(Vehtari</w:t>
      </w:r>
      <w:r>
        <w:t xml:space="preserve"> </w:t>
      </w:r>
      <w:r>
        <w:rPr>
          <w:i/>
        </w:rPr>
        <w:t xml:space="preserve">et al.</w:t>
      </w:r>
      <w:r>
        <w:t xml:space="preserve"> </w:t>
      </w:r>
      <w:r>
        <w:t xml:space="preserve">2016)</w:t>
      </w:r>
      <w:r>
        <w:t xml:space="preserve">. We inferred that the neighborhood size window used in the best-performing model reflected the scale at which the forest structure variability effect had the most support.</w:t>
      </w:r>
    </w:p>
    <w:p>
      <w:pPr>
        <w:pStyle w:val="Heading2"/>
      </w:pPr>
      <w:bookmarkStart w:id="41" w:name="statistical-software-and-data-availability"/>
      <w:r>
        <w:t xml:space="preserve">Statistical software and data availability</w:t>
      </w:r>
      <w:bookmarkEnd w:id="41"/>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(Hoffman &amp; Gelman 2014; Bürkner 2017)</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(Bürkner 2017)</w:t>
      </w:r>
      <w:r>
        <w:t xml:space="preserve">.</w:t>
      </w:r>
    </w:p>
    <w:p>
      <w:pPr>
        <w:pStyle w:val="Heading1"/>
      </w:pPr>
      <w:bookmarkStart w:id="42" w:name="results"/>
      <w:r>
        <w:t xml:space="preserve">Results</w:t>
      </w:r>
      <w:bookmarkEnd w:id="42"/>
    </w:p>
    <w:p>
      <w:pPr>
        <w:pStyle w:val="Heading2"/>
      </w:pPr>
      <w:bookmarkStart w:id="43" w:name="a-new-approach-to-remotely-sensing-wildfire-severity-1"/>
      <w:r>
        <w:t xml:space="preserve">A new approach to remotely sensing wildfire severity</w:t>
      </w:r>
      <w:bookmarkEnd w:id="43"/>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w:t>
      </w:r>
      <w:r>
        <w:t xml:space="preserve"> </w:t>
      </w:r>
      <m:oMath>
        <m:sSup>
          <m:e>
            <m:r>
              <m:t>R</m:t>
            </m:r>
          </m:e>
          <m:sup>
            <m:r>
              <m:t>2</m:t>
            </m:r>
          </m:sup>
        </m:sSup>
        <m:r>
          <m:t>=</m:t>
        </m:r>
      </m:oMath>
      <w:r>
        <w:t xml:space="preserve"> </w:t>
      </w:r>
      <w:r>
        <w:t xml:space="preserve">0.82; Fig. 5; Supp. Table 1). Our method to calculate remotely sensed severity using automated Landsat image fetching performs as well or better than most other reported methods that use hand-curation of Landsat imagery (see review in</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(Fig. 5). The top three models are depicted in Fig. 5.</w:t>
      </w:r>
    </w:p>
    <w:p>
      <w:pPr>
        <w:pStyle w:val="TableCaption"/>
      </w:pPr>
      <w:r>
        <w:t xml:space="preserve">Model parameter estimates for different neighborhood sizes.</w:t>
      </w:r>
    </w:p>
    <w:tbl>
      <w:tblPr>
        <w:tblStyle w:val="Table"/>
        <w:tblW w:type="pct" w:w="0.0"/>
        <w:tblLook w:firstRow="1"/>
        <w:tblCaption w:val="Model parameter estimates for different neighborhood sizes."/>
      </w:tblPr>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left"/>
            </w:pPr>
            <w:r>
              <w:t xml:space="preserve">90m x 90m neighborhood</w:t>
            </w:r>
          </w:p>
        </w:tc>
        <w:tc>
          <w:tcPr>
            <w:tcBorders>
              <w:bottom w:val="single"/>
            </w:tcBorders>
            <w:vAlign w:val="bottom"/>
          </w:tcPr>
          <w:p>
            <w:pPr>
              <w:pStyle w:val="Compact"/>
              <w:jc w:val="left"/>
            </w:pPr>
            <w:r>
              <w:t xml:space="preserve">150m x 150m neighborhood}</w:t>
            </w:r>
          </w:p>
        </w:tc>
        <w:tc>
          <w:tcPr>
            <w:tcBorders>
              <w:bottom w:val="single"/>
            </w:tcBorders>
            <w:vAlign w:val="bottom"/>
          </w:tcPr>
          <w:p>
            <w:pPr>
              <w:pStyle w:val="Compact"/>
              <w:jc w:val="left"/>
            </w:pPr>
            <w:r>
              <w:t xml:space="preserve">210m x 210m neighborhood</w:t>
            </w:r>
          </w:p>
        </w:tc>
        <w:tc>
          <w:tcPr>
            <w:tcBorders>
              <w:bottom w:val="single"/>
            </w:tcBorders>
            <w:vAlign w:val="bottom"/>
          </w:tcPr>
          <w:p>
            <w:pPr>
              <w:pStyle w:val="Compact"/>
              <w:jc w:val="left"/>
            </w:pPr>
            <w:r>
              <w:t xml:space="preserve">270m x 270m neighborhood</w:t>
            </w:r>
          </w:p>
        </w:tc>
      </w:tr>
      <w:tr>
        <w:tc>
          <w:p>
            <w:pPr>
              <w:pStyle w:val="Compact"/>
              <w:jc w:val="left"/>
            </w:pPr>
            <m:oMath>
              <m:sSub>
                <m:e>
                  <m:r>
                    <m:t>β</m:t>
                  </m:r>
                </m:e>
                <m:sub>
                  <m:r>
                    <m:t>0</m:t>
                  </m:r>
                </m:sub>
              </m:sSub>
            </m:oMath>
          </w:p>
        </w:tc>
        <w:tc>
          <w:p>
            <w:pPr>
              <w:pStyle w:val="Compact"/>
              <w:jc w:val="left"/>
            </w:pPr>
            <w:r>
              <w:t xml:space="preserve">-2.415 (-2.588, -2.255)</w:t>
            </w:r>
          </w:p>
        </w:tc>
        <w:tc>
          <w:p>
            <w:pPr>
              <w:pStyle w:val="Compact"/>
              <w:jc w:val="left"/>
            </w:pPr>
            <w:r>
              <w:t xml:space="preserve">-2.432 (-2.605, -2.271)</w:t>
            </w:r>
          </w:p>
        </w:tc>
        <w:tc>
          <w:p>
            <w:pPr>
              <w:pStyle w:val="Compact"/>
              <w:jc w:val="left"/>
            </w:pPr>
            <w:r>
              <w:t xml:space="preserve">-2.447 (-2.619, -2.279)</w:t>
            </w:r>
          </w:p>
        </w:tc>
        <w:tc>
          <w:p>
            <w:pPr>
              <w:pStyle w:val="Compact"/>
              <w:jc w:val="left"/>
            </w:pPr>
            <w:r>
              <w:t xml:space="preserve">-2.45 (-2.618, -2.288)</w:t>
            </w:r>
          </w:p>
        </w:tc>
      </w:tr>
      <w:tr>
        <w:tc>
          <w:p>
            <w:pPr>
              <w:pStyle w:val="Compact"/>
              <w:jc w:val="left"/>
            </w:pPr>
            <m:oMath>
              <m:sSub>
                <m:e>
                  <m:r>
                    <m:t>β</m:t>
                  </m:r>
                </m:e>
                <m:sub>
                  <m:r>
                    <m:rPr>
                      <m:sty m:val="p"/>
                    </m:rPr>
                    <m:t>nbhd_stdev_NDVI</m:t>
                  </m:r>
                </m:sub>
              </m:sSub>
            </m:oMath>
          </w:p>
        </w:tc>
        <w:tc>
          <w:p>
            <w:pPr>
              <w:pStyle w:val="Compact"/>
              <w:jc w:val="left"/>
            </w:pPr>
            <w:r>
              <w:t xml:space="preserve">-0.208 (-0.247, -0.17)</w:t>
            </w:r>
          </w:p>
        </w:tc>
        <w:tc>
          <w:p>
            <w:pPr>
              <w:pStyle w:val="Compact"/>
              <w:jc w:val="left"/>
            </w:pPr>
            <w:r>
              <w:t xml:space="preserve">-0.212 (-0.255, -0.17)</w:t>
            </w:r>
          </w:p>
        </w:tc>
        <w:tc>
          <w:p>
            <w:pPr>
              <w:pStyle w:val="Compact"/>
              <w:jc w:val="left"/>
            </w:pPr>
            <w:r>
              <w:t xml:space="preserve">-0.203 (-0.248, -0.158)</w:t>
            </w:r>
          </w:p>
        </w:tc>
        <w:tc>
          <w:p>
            <w:pPr>
              <w:pStyle w:val="Compact"/>
              <w:jc w:val="left"/>
            </w:pPr>
            <w:r>
              <w:t xml:space="preserve">-0.195 (-0.242, -0.148)</w:t>
            </w:r>
          </w:p>
        </w:tc>
      </w:tr>
      <w:tr>
        <w:tc>
          <w:p>
            <w:pPr>
              <w:pStyle w:val="Compact"/>
              <w:jc w:val="left"/>
            </w:pPr>
            <m:oMath>
              <m:sSub>
                <m:e>
                  <m:r>
                    <m:t>β</m:t>
                  </m:r>
                </m:e>
                <m:sub>
                  <m:r>
                    <m:rPr>
                      <m:sty m:val="p"/>
                    </m:rPr>
                    <m:t>prefire_NDVI</m:t>
                  </m:r>
                </m:sub>
              </m:sSub>
            </m:oMath>
          </w:p>
        </w:tc>
        <w:tc>
          <w:p>
            <w:pPr>
              <w:pStyle w:val="Compact"/>
              <w:jc w:val="left"/>
            </w:pPr>
            <w:r>
              <w:t xml:space="preserve">1.044 (0.911, 1.174)</w:t>
            </w:r>
          </w:p>
        </w:tc>
        <w:tc>
          <w:p>
            <w:pPr>
              <w:pStyle w:val="Compact"/>
              <w:jc w:val="left"/>
            </w:pPr>
            <w:r>
              <w:t xml:space="preserve">1.13 (1.028, 1.229)</w:t>
            </w:r>
          </w:p>
        </w:tc>
        <w:tc>
          <w:p>
            <w:pPr>
              <w:pStyle w:val="Compact"/>
              <w:jc w:val="left"/>
            </w:pPr>
            <w:r>
              <w:t xml:space="preserve">1.141 (1.057, 1.222)</w:t>
            </w:r>
          </w:p>
        </w:tc>
        <w:tc>
          <w:p>
            <w:pPr>
              <w:pStyle w:val="Compact"/>
              <w:jc w:val="left"/>
            </w:pPr>
            <w:r>
              <w:t xml:space="preserve">1.132 (1.056, 1.209)</w:t>
            </w:r>
          </w:p>
        </w:tc>
      </w:tr>
      <w:tr>
        <w:tc>
          <w:p>
            <w:pPr>
              <w:pStyle w:val="Compact"/>
              <w:jc w:val="left"/>
            </w:pPr>
            <m:oMath>
              <m:sSub>
                <m:e>
                  <m:r>
                    <m:t>β</m:t>
                  </m:r>
                </m:e>
                <m:sub>
                  <m:r>
                    <m:rPr>
                      <m:sty m:val="p"/>
                    </m:rPr>
                    <m:t>fm100</m:t>
                  </m:r>
                </m:sub>
              </m:sSub>
            </m:oMath>
          </w:p>
        </w:tc>
        <w:tc>
          <w:p>
            <w:pPr>
              <w:pStyle w:val="Compact"/>
              <w:jc w:val="left"/>
            </w:pPr>
            <w:r>
              <w:t xml:space="preserve">-0.569 (-0.71, -0.423)</w:t>
            </w:r>
          </w:p>
        </w:tc>
        <w:tc>
          <w:p>
            <w:pPr>
              <w:pStyle w:val="Compact"/>
              <w:jc w:val="left"/>
            </w:pPr>
            <w:r>
              <w:t xml:space="preserve">-0.564 (-0.709, -0.419)</w:t>
            </w:r>
          </w:p>
        </w:tc>
        <w:tc>
          <w:p>
            <w:pPr>
              <w:pStyle w:val="Compact"/>
              <w:jc w:val="left"/>
            </w:pPr>
            <w:r>
              <w:t xml:space="preserve">-0.561 (-0.697, -0.428)</w:t>
            </w:r>
          </w:p>
        </w:tc>
        <w:tc>
          <w:p>
            <w:pPr>
              <w:pStyle w:val="Compact"/>
              <w:jc w:val="left"/>
            </w:pPr>
            <w:r>
              <w:t xml:space="preserve">-0.565 (-0.712, -0.422)</w:t>
            </w:r>
          </w:p>
        </w:tc>
      </w:tr>
      <w:tr>
        <w:tc>
          <w:p>
            <w:pPr>
              <w:pStyle w:val="Compact"/>
              <w:jc w:val="left"/>
            </w:pPr>
            <m:oMath>
              <m:sSub>
                <m:e>
                  <m:r>
                    <m:t>β</m:t>
                  </m:r>
                </m:e>
                <m:sub>
                  <m:r>
                    <m:rPr>
                      <m:sty m:val="p"/>
                    </m:rPr>
                    <m:t>pahl</m:t>
                  </m:r>
                </m:sub>
              </m:sSub>
            </m:oMath>
          </w:p>
        </w:tc>
        <w:tc>
          <w:p>
            <w:pPr>
              <w:pStyle w:val="Compact"/>
              <w:jc w:val="left"/>
            </w:pPr>
            <w:r>
              <w:t xml:space="preserve">0.239 (0.208, 0.271)</w:t>
            </w:r>
          </w:p>
        </w:tc>
        <w:tc>
          <w:p>
            <w:pPr>
              <w:pStyle w:val="Compact"/>
              <w:jc w:val="left"/>
            </w:pPr>
            <w:r>
              <w:t xml:space="preserve">0.238 (0.205, 0.269)</w:t>
            </w:r>
          </w:p>
        </w:tc>
        <w:tc>
          <w:p>
            <w:pPr>
              <w:pStyle w:val="Compact"/>
              <w:jc w:val="left"/>
            </w:pPr>
            <w:r>
              <w:t xml:space="preserve">0.239 (0.207, 0.269)</w:t>
            </w:r>
          </w:p>
        </w:tc>
        <w:tc>
          <w:p>
            <w:pPr>
              <w:pStyle w:val="Compact"/>
              <w:jc w:val="left"/>
            </w:pPr>
            <w:r>
              <w:t xml:space="preserve">0.24 (0.209, 0.272)</w:t>
            </w:r>
          </w:p>
        </w:tc>
      </w:tr>
      <w:tr>
        <w:tc>
          <w:p>
            <w:pPr>
              <w:pStyle w:val="Compact"/>
              <w:jc w:val="left"/>
            </w:pPr>
            <m:oMath>
              <m:sSub>
                <m:e>
                  <m:r>
                    <m:t>β</m:t>
                  </m:r>
                </m:e>
                <m:sub>
                  <m:r>
                    <m:rPr>
                      <m:sty m:val="p"/>
                    </m:rPr>
                    <m:t>topographic_roughness</m:t>
                  </m:r>
                </m:sub>
              </m:sSub>
            </m:oMath>
          </w:p>
        </w:tc>
        <w:tc>
          <w:p>
            <w:pPr>
              <w:pStyle w:val="Compact"/>
              <w:jc w:val="left"/>
            </w:pPr>
            <w:r>
              <w:t xml:space="preserve">-0.01 (-0.042, 0.022)</w:t>
            </w:r>
          </w:p>
        </w:tc>
        <w:tc>
          <w:p>
            <w:pPr>
              <w:pStyle w:val="Compact"/>
              <w:jc w:val="left"/>
            </w:pPr>
            <w:r>
              <w:t xml:space="preserve">-0.006 (-0.039, 0.027)</w:t>
            </w:r>
          </w:p>
        </w:tc>
        <w:tc>
          <w:p>
            <w:pPr>
              <w:pStyle w:val="Compact"/>
              <w:jc w:val="left"/>
            </w:pPr>
            <w:r>
              <w:t xml:space="preserve">-0.002 (-0.037, 0.032)</w:t>
            </w:r>
          </w:p>
        </w:tc>
        <w:tc>
          <w:p>
            <w:pPr>
              <w:pStyle w:val="Compact"/>
              <w:jc w:val="left"/>
            </w:pPr>
            <w:r>
              <w:t xml:space="preserve">-0.002 (-0.036, 0.033)</w:t>
            </w:r>
          </w:p>
        </w:tc>
      </w:tr>
      <w:tr>
        <w:tc>
          <w:p>
            <w:pPr>
              <w:pStyle w:val="Compact"/>
              <w:jc w:val="left"/>
            </w:pPr>
            <m:oMath>
              <m:sSub>
                <m:e>
                  <m:r>
                    <m:t>β</m:t>
                  </m:r>
                </m:e>
                <m:sub>
                  <m:r>
                    <m:rPr>
                      <m:sty m:val="p"/>
                    </m:rPr>
                    <m:t>nbhd_mean_NDVI</m:t>
                  </m:r>
                </m:sub>
              </m:sSub>
            </m:oMath>
          </w:p>
        </w:tc>
        <w:tc>
          <w:p>
            <w:pPr>
              <w:pStyle w:val="Compact"/>
              <w:jc w:val="left"/>
            </w:pPr>
            <w:r>
              <w:t xml:space="preserve">-0.14 (-0.278, 0.002)</w:t>
            </w:r>
          </w:p>
        </w:tc>
        <w:tc>
          <w:p>
            <w:pPr>
              <w:pStyle w:val="Compact"/>
              <w:jc w:val="left"/>
            </w:pPr>
            <w:r>
              <w:t xml:space="preserve">-0.265 (-0.381, -0.148)</w:t>
            </w:r>
          </w:p>
        </w:tc>
        <w:tc>
          <w:p>
            <w:pPr>
              <w:pStyle w:val="Compact"/>
              <w:jc w:val="left"/>
            </w:pPr>
            <w:r>
              <w:t xml:space="preserve">-0.293 (-0.392, -0.193)</w:t>
            </w:r>
          </w:p>
        </w:tc>
        <w:tc>
          <w:p>
            <w:pPr>
              <w:pStyle w:val="Compact"/>
              <w:jc w:val="left"/>
            </w:pPr>
            <w:r>
              <w:t xml:space="preserve">-0.293 (-0.389, -0.198)</w:t>
            </w:r>
          </w:p>
        </w:tc>
      </w:tr>
      <w:tr>
        <w:tc>
          <w:p>
            <w:pPr>
              <w:pStyle w:val="Compact"/>
              <w:jc w:val="left"/>
            </w:pPr>
            <m:oMath>
              <m:sSub>
                <m:e>
                  <m:r>
                    <m:t>β</m:t>
                  </m:r>
                </m:e>
                <m:sub>
                  <m:r>
                    <m:rPr>
                      <m:sty m:val="p"/>
                    </m:rPr>
                    <m:t>nbhd_stdev_NDVI*prefire_NDVI</m:t>
                  </m:r>
                </m:sub>
              </m:sSub>
            </m:oMath>
          </w:p>
        </w:tc>
        <w:tc>
          <w:p>
            <w:pPr>
              <w:pStyle w:val="Compact"/>
              <w:jc w:val="left"/>
            </w:pPr>
            <w:r>
              <w:t xml:space="preserve">0.125 (0.029, 0.218)</w:t>
            </w:r>
          </w:p>
        </w:tc>
        <w:tc>
          <w:p>
            <w:pPr>
              <w:pStyle w:val="Compact"/>
              <w:jc w:val="left"/>
            </w:pPr>
            <w:r>
              <w:t xml:space="preserve">0.06 (-0.013, 0.135)</w:t>
            </w:r>
          </w:p>
        </w:tc>
        <w:tc>
          <w:p>
            <w:pPr>
              <w:pStyle w:val="Compact"/>
              <w:jc w:val="left"/>
            </w:pPr>
            <w:r>
              <w:t xml:space="preserve">0.022 (-0.045, 0.09)</w:t>
            </w:r>
          </w:p>
        </w:tc>
        <w:tc>
          <w:p>
            <w:pPr>
              <w:pStyle w:val="Compact"/>
              <w:jc w:val="left"/>
            </w:pPr>
            <w:r>
              <w:t xml:space="preserve">0.009 (-0.054, 0.072)</w:t>
            </w:r>
          </w:p>
        </w:tc>
      </w:tr>
      <w:tr>
        <w:tc>
          <w:p>
            <w:pPr>
              <w:pStyle w:val="Compact"/>
              <w:jc w:val="left"/>
            </w:pPr>
            <m:oMath>
              <m:sSub>
                <m:e>
                  <m:r>
                    <m:t>β</m:t>
                  </m:r>
                </m:e>
                <m:sub>
                  <m:r>
                    <m:rPr>
                      <m:sty m:val="p"/>
                    </m:rPr>
                    <m:t>nbhd_stdev_NDVI*nbhd_mean_NDVI</m:t>
                  </m:r>
                </m:sub>
              </m:sSub>
            </m:oMath>
          </w:p>
        </w:tc>
        <w:tc>
          <w:p>
            <w:pPr>
              <w:pStyle w:val="Compact"/>
              <w:jc w:val="left"/>
            </w:pPr>
            <w:r>
              <w:t xml:space="preserve">-0.129 (-0.223, -0.034)</w:t>
            </w:r>
          </w:p>
        </w:tc>
        <w:tc>
          <w:p>
            <w:pPr>
              <w:pStyle w:val="Compact"/>
              <w:jc w:val="left"/>
            </w:pPr>
            <w:r>
              <w:t xml:space="preserve">-0.078 (-0.151, -0.006)</w:t>
            </w:r>
          </w:p>
        </w:tc>
        <w:tc>
          <w:p>
            <w:pPr>
              <w:pStyle w:val="Compact"/>
              <w:jc w:val="left"/>
            </w:pPr>
            <w:r>
              <w:t xml:space="preserve">-0.03 (-0.095, 0.035)</w:t>
            </w:r>
          </w:p>
        </w:tc>
        <w:tc>
          <w:p>
            <w:pPr>
              <w:pStyle w:val="Compact"/>
              <w:jc w:val="left"/>
            </w:pPr>
            <w:r>
              <w:t xml:space="preserve">-0.006 (-0.068, 0.054)</w:t>
            </w:r>
          </w:p>
        </w:tc>
      </w:tr>
      <w:tr>
        <w:tc>
          <w:p>
            <w:pPr>
              <w:pStyle w:val="Compact"/>
              <w:jc w:val="left"/>
            </w:pPr>
            <m:oMath>
              <m:sSub>
                <m:e>
                  <m:r>
                    <m:t>β</m:t>
                  </m:r>
                </m:e>
                <m:sub>
                  <m:r>
                    <m:rPr>
                      <m:sty m:val="p"/>
                    </m:rPr>
                    <m:t>nbhd_stdev_NDVI*fm100</m:t>
                  </m:r>
                </m:sub>
              </m:sSub>
            </m:oMath>
          </w:p>
        </w:tc>
        <w:tc>
          <w:p>
            <w:pPr>
              <w:pStyle w:val="Compact"/>
              <w:jc w:val="left"/>
            </w:pPr>
            <w:r>
              <w:t xml:space="preserve">-0.037 (-0.081, 0.006)</w:t>
            </w:r>
          </w:p>
        </w:tc>
        <w:tc>
          <w:p>
            <w:pPr>
              <w:pStyle w:val="Compact"/>
              <w:jc w:val="left"/>
            </w:pPr>
            <w:r>
              <w:t xml:space="preserve">-0.035 (-0.078, 0.01)</w:t>
            </w:r>
          </w:p>
        </w:tc>
        <w:tc>
          <w:p>
            <w:pPr>
              <w:pStyle w:val="Compact"/>
              <w:jc w:val="left"/>
            </w:pPr>
            <w:r>
              <w:t xml:space="preserve">-0.03 (-0.076, 0.014)</w:t>
            </w:r>
          </w:p>
        </w:tc>
        <w:tc>
          <w:p>
            <w:pPr>
              <w:pStyle w:val="Compact"/>
              <w:jc w:val="left"/>
            </w:pPr>
            <w:r>
              <w:t xml:space="preserve">-0.023 (-0.07, 0.023)</w:t>
            </w:r>
          </w:p>
        </w:tc>
      </w:tr>
      <w:tr>
        <w:tc>
          <w:p>
            <w:pPr>
              <w:pStyle w:val="Compact"/>
              <w:jc w:val="left"/>
            </w:pPr>
            <m:oMath>
              <m:sSub>
                <m:e>
                  <m:r>
                    <m:t>β</m:t>
                  </m:r>
                </m:e>
                <m:sub>
                  <m:r>
                    <m:rPr>
                      <m:sty m:val="p"/>
                    </m:rPr>
                    <m:t>nbhd_mean_NDVI*prefire_NDVI</m:t>
                  </m:r>
                </m:sub>
              </m:sSub>
            </m:oMath>
          </w:p>
        </w:tc>
        <w:tc>
          <w:p>
            <w:pPr>
              <w:pStyle w:val="Compact"/>
              <w:jc w:val="left"/>
            </w:pPr>
            <w:r>
              <w:t xml:space="preserve">-0.573 (-0.62, -0.526)</w:t>
            </w:r>
          </w:p>
        </w:tc>
        <w:tc>
          <w:p>
            <w:pPr>
              <w:pStyle w:val="Compact"/>
              <w:jc w:val="left"/>
            </w:pPr>
            <w:r>
              <w:t xml:space="preserve">-0.564 (-0.612, -0.516)</w:t>
            </w:r>
          </w:p>
        </w:tc>
        <w:tc>
          <w:p>
            <w:pPr>
              <w:pStyle w:val="Compact"/>
              <w:jc w:val="left"/>
            </w:pPr>
            <w:r>
              <w:t xml:space="preserve">-0.549 (-0.596, -0.502)</w:t>
            </w:r>
          </w:p>
        </w:tc>
        <w:tc>
          <w:p>
            <w:pPr>
              <w:pStyle w:val="Compact"/>
              <w:jc w:val="left"/>
            </w:pPr>
            <w:r>
              <w:t xml:space="preserve">-0.537 (-0.587, -0.49)</w:t>
            </w:r>
          </w:p>
        </w:tc>
      </w:tr>
    </w:tbl>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 8 (Fig. 5).</w:t>
      </w:r>
    </w:p>
    <w:p>
      <w:pPr>
        <w:pStyle w:val="Heading2"/>
      </w:pPr>
      <w:bookmarkStart w:id="45" w:name="prefire-vegetation-density-annual-heat-load-100-hour-fuel-moisture-and-topographic-roughness-effects-on-wildfire-severity"/>
      <w:r>
        <w:t xml:space="preserve">Prefire vegetation density, annual heat load, 100-hour fuel moisture, and topographic roughness effects on wildfire severity</w:t>
      </w:r>
      <w:bookmarkEnd w:id="45"/>
    </w:p>
    <w:p>
      <w:pPr>
        <w:pStyle w:val="CaptionedFigure"/>
      </w:pPr>
      <w:r>
        <w:drawing>
          <wp:inline>
            <wp:extent cx="3810000" cy="2540000"/>
            <wp:effectExtent b="0" l="0" r="0" t="0"/>
            <wp:docPr descr="The main effects of the covariates having the strongest relationships with the probability of high 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of the covariates having the strongest relationships with the probability of high 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found that the strongest influence on the probability of a forested area burning at high severity is the density of the vegetation, as measured by the prefire NDVI (</w:t>
      </w:r>
      <m:oMath>
        <m:sSub>
          <m:e>
            <m:r>
              <m:t>β</m:t>
            </m:r>
          </m:e>
          <m:sub>
            <m:r>
              <m:rPr>
                <m:sty m:val="p"/>
              </m:rPr>
              <m:t>prefire_ndvi</m:t>
            </m:r>
          </m:sub>
        </m:sSub>
        <m:r>
          <m:t>=</m:t>
        </m:r>
      </m:oMath>
      <w:r>
        <w:t xml:space="preserve"> </w:t>
      </w:r>
      <w:r>
        <w:t xml:space="preserve">1.044; 95% CI: [0.911, 1.174]) on the log-odds scale; Fig. 6).</w:t>
      </w:r>
    </w:p>
    <w:p>
      <w:pPr>
        <w:pStyle w:val="BodyText"/>
      </w:pPr>
      <w:r>
        <w:t xml:space="preserve">For all 4 models using different neighborhood sizes for the heterogeneity and topographic roughness predictors, a greater prefire NDVI led to a greater probability of high severity fire. Potential annual heat load, which integrates aspect, slope, and latitude, also had a strong positive relationship with the probability of a high severity fire (</w:t>
      </w:r>
      <m:oMath>
        <m:sSub>
          <m:e>
            <m:r>
              <m:t>β</m:t>
            </m:r>
          </m:e>
          <m:sub>
            <m:r>
              <m:rPr>
                <m:sty m:val="p"/>
              </m:rPr>
              <m:t>pahl</m:t>
            </m:r>
          </m:sub>
        </m:sSub>
        <m:r>
          <m:t>=</m:t>
        </m:r>
      </m:oMath>
      <w:r>
        <w:t xml:space="preserve"> </w:t>
      </w:r>
      <w:r>
        <w:t xml:space="preserve">0.239; 95% CI: [0.208, 0.271]) Fig. 6).</w:t>
      </w:r>
    </w:p>
    <w:p>
      <w:pPr>
        <w:pStyle w:val="BodyText"/>
      </w:pPr>
      <w:r>
        <w:t xml:space="preserve">Areas that were located on southwest facing slopes at lower latitudes tended to be more likely to burn at high severity. We found no effect of local topographic roughness on wildfire severity at any neighborhood size (</w:t>
      </w:r>
      <m:oMath>
        <m:sSub>
          <m:e>
            <m:r>
              <m:t>β</m:t>
            </m:r>
          </m:e>
          <m:sub>
            <m:r>
              <m:rPr>
                <m:sty m:val="p"/>
              </m:rPr>
              <m:t>topographic_roughness</m:t>
            </m:r>
          </m:sub>
        </m:sSub>
        <m:r>
          <m:t>=</m:t>
        </m:r>
      </m:oMath>
      <w:r>
        <w:t xml:space="preserve"> </w:t>
      </w:r>
      <w:r>
        <w:t xml:space="preserve">-0.01; 95% CI: [-0.042, 0.022]) Fig. 6).</w:t>
      </w:r>
    </w:p>
    <w:p>
      <w:pPr>
        <w:pStyle w:val="Heading3"/>
      </w:pPr>
      <w:bookmarkStart w:id="47" w:name="hour-fuel-moisture-effect-on-wildfire-severity"/>
      <w:r>
        <w:t xml:space="preserve">100 hour fuel moisture effect on wildfire severity</w:t>
      </w:r>
      <w:bookmarkEnd w:id="47"/>
    </w:p>
    <w:p>
      <w:pPr>
        <w:pStyle w:val="FirstParagraph"/>
      </w:pPr>
      <w:r>
        <w:t xml:space="preserve">We found a strong negative relationship between 100 hour fuel moisture and wildfire severity such that increasing fuel moisture was associated with a reduction in the probability of a high severity wildfire (</w:t>
      </w:r>
      <m:oMath>
        <m:sSub>
          <m:e>
            <m:r>
              <m:t>β</m:t>
            </m:r>
          </m:e>
          <m:sub>
            <m:r>
              <m:rPr>
                <m:sty m:val="p"/>
              </m:rPr>
              <m:t>fm100</m:t>
            </m:r>
          </m:sub>
        </m:sSub>
        <m:r>
          <m:t>=</m:t>
        </m:r>
      </m:oMath>
      <w:r>
        <w:t xml:space="preserve"> </w:t>
      </w:r>
      <w:r>
        <w:t xml:space="preserve">-0.569; 95% CI: [-0.71, -0.423]) (Fig. 6).</w:t>
      </w:r>
    </w:p>
    <w:p>
      <w:pPr>
        <w:pStyle w:val="Heading3"/>
      </w:pPr>
      <w:bookmarkStart w:id="48" w:name="heterogeneity-in-vegetation-structure-effect-on-wildfire-severity"/>
      <w:r>
        <w:t xml:space="preserve">Heterogeneity in vegetation structure effect on wildfire severity</w:t>
      </w:r>
      <w:bookmarkEnd w:id="48"/>
    </w:p>
    <w:p>
      <w:pPr>
        <w:pStyle w:val="FirstParagraph"/>
      </w:pPr>
      <w:r>
        <w:t xml:space="preserve">We found strong evidence for an effect of heterogeneity of vegetation structure on the probability of a high severity wildfire.</w:t>
      </w:r>
    </w:p>
    <w:p>
      <w:pPr>
        <w:pStyle w:val="BodyText"/>
      </w:pPr>
      <w:r>
        <w:t xml:space="preserve">An increasing heterogeneity of vegetation structure greatly reduced the probability of a high severity wildfire accounting for other variables</w:t>
      </w:r>
    </w:p>
    <w:p>
      <w:pPr>
        <w:pStyle w:val="Heading3"/>
      </w:pPr>
      <w:bookmarkStart w:id="49" w:name="neighborhood-size"/>
      <w:r>
        <w:t xml:space="preserve">Neighborhood size</w:t>
      </w:r>
      <w:bookmarkEnd w:id="49"/>
    </w:p>
    <w:p>
      <w:pPr>
        <w:pStyle w:val="TableCaption"/>
      </w:pPr>
      <w:r>
        <w:t xml:space="preserve">Comparison of four models described in Eq.</w:t>
      </w:r>
      <w:r>
        <w:t xml:space="preserve"> </w:t>
      </w:r>
      <w:r>
        <w:t xml:space="preserve"> </w:t>
      </w:r>
      <w:r>
        <w:t xml:space="preserve">using different neighborhood sizes for calculating forest heterogeneity (standard deviation of NDVI within the neighborhood), neighborhood mean NDVI, and topographic roughness. LOO is calculated as -2 times the expected log pointwise predictive density (elpd) for a new dataset</w:t>
      </w:r>
      <w:r>
        <w:t xml:space="preserve"> </w:t>
      </w:r>
      <w:r>
        <w:t xml:space="preserve">(Vehtari</w:t>
      </w:r>
      <w:r>
        <w:t xml:space="preserve"> </w:t>
      </w:r>
      <w:r>
        <w:rPr>
          <w:i/>
        </w:rPr>
        <w:t xml:space="preserve">et al.</w:t>
      </w:r>
      <w:r>
        <w:t xml:space="preserve"> </w:t>
      </w:r>
      <w:r>
        <w:t xml:space="preserve">2016)</w:t>
      </w:r>
      <w:r>
        <w:t xml:space="preserve">. The Bayesian R</w:t>
      </w:r>
      <w:r>
        <w:rPr>
          <w:vertAlign w:val="superscript"/>
        </w:rPr>
        <w:t xml:space="preserve">2</w:t>
      </w:r>
      <w:r>
        <w:t xml:space="preserve"> </w:t>
      </w:r>
      <w:r>
        <w:t xml:space="preserve">is</w:t>
      </w:r>
      <w:r>
        <w:t xml:space="preserve"> </w:t>
      </w:r>
      <w:r>
        <w:t xml:space="preserve">“</w:t>
      </w:r>
      <w:r>
        <w:t xml:space="preserve">data-based estimate of the proportion of variance explained for new data</w:t>
      </w:r>
      <w:r>
        <w:t xml:space="preserve">”</w:t>
      </w:r>
      <w:r>
        <w:t xml:space="preserve"> </w:t>
      </w:r>
      <w:r>
        <w:t xml:space="preserve">conditional on the model</w:t>
      </w:r>
      <w:r>
        <w:t xml:space="preserve"> </w:t>
      </w:r>
      <w:r>
        <w:t xml:space="preserve">(</w:t>
      </w:r>
      <w:r>
        <w:rPr>
          <w:b/>
        </w:rPr>
        <w:t xml:space="preserve">???</w:t>
      </w:r>
      <w:r>
        <w:t xml:space="preserve">)</w:t>
      </w:r>
      <w:r>
        <w:t xml:space="preserve">.</w:t>
      </w:r>
    </w:p>
    <w:tbl>
      <w:tblPr>
        <w:tblStyle w:val="Table"/>
        <w:tblW w:type="pct" w:w="0.0"/>
        <w:tblLook w:firstRow="1"/>
        <w:tblCaption w:val="Comparison of four models described in Eq.  using different neighborhood sizes for calculating forest heterogeneity (standard deviation of NDVI within the neighborhood), neighborhood mean NDVI, and topographic roughness. LOO is calculated as -2 times the expected log pointwise predictive density (elpd) for a new dataset (Vehtari et al. 2016). The Bayesian R2 is “data-based estimate of the proportion of variance explained for new data” conditional on the model (???)."/>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Leave-one-out cross validation.</w:t>
      </w:r>
      <w:r>
        <w:t xml:space="preserve"> </w:t>
      </w:r>
      <w:r>
        <w:t xml:space="preserve">Local phenomenon.</w:t>
      </w:r>
    </w:p>
    <w:p>
      <w:pPr>
        <w:pStyle w:val="Heading1"/>
      </w:pPr>
      <w:bookmarkStart w:id="50" w:name="discussion"/>
      <w:r>
        <w:t xml:space="preserve">Discussion</w:t>
      </w:r>
      <w:bookmarkEnd w:id="50"/>
    </w:p>
    <w:p>
      <w:pPr>
        <w:pStyle w:val="FirstParagraph"/>
      </w:pPr>
      <w:r>
        <w:t xml:space="preserve">We developed a new approach to calculating wildfire severity using remotely sensed images from the Landsat series of satellites using a minimal amount of user input– a geometry (i.e., a point location or a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 We also found that several other remotely sensed measures of severity validated nearly as well with CBI data.</w:t>
      </w:r>
    </w:p>
    <w:p>
      <w:pPr>
        <w:pStyle w:val="BodyText"/>
      </w:pPr>
      <w:r>
        <w:t xml:space="preserve">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measure wildfire severity at very high spatial resolutions.</w:t>
      </w:r>
    </w:p>
    <w:p>
      <w:pPr>
        <w:pStyle w:val="BodyText"/>
      </w:pPr>
      <w:r>
        <w:t xml:space="preserve">Parks</w:t>
      </w:r>
      <w:r>
        <w:t xml:space="preserve"> </w:t>
      </w:r>
      <w:r>
        <w:rPr>
          <w:i/>
        </w:rPr>
        <w:t xml:space="preserve">et al.</w:t>
      </w:r>
      <w:r>
        <w:t xml:space="preserve"> </w:t>
      </w:r>
      <w:r>
        <w:t xml:space="preserve">(2018b)</w:t>
      </w:r>
      <w:r>
        <w:t xml:space="preserve"> </w:t>
      </w:r>
      <w:r>
        <w:t xml:space="preserve">use pre-specified time windows to collate pre- and postfire imagery depending on Arizona, New Mexico, Utah (April through June); all other fires: June through September.</w:t>
      </w:r>
    </w:p>
    <w:p>
      <w:pPr>
        <w:pStyle w:val="BodyText"/>
      </w:pPr>
      <w:r>
        <w:t xml:space="preserve">region</w:t>
      </w:r>
    </w:p>
    <w:p>
      <w:pPr>
        <w:pStyle w:val="BodyText"/>
      </w:pPr>
      <w:r>
        <w:t xml:space="preserve">Something about time window and bicubic interpolation</w:t>
      </w:r>
    </w:p>
    <w:p>
      <w:pPr>
        <w:pStyle w:val="BodyText"/>
      </w:pPr>
      <w:r>
        <w:t xml:space="preserve">We used our new approach to calculate wildfire severity for 972 fires that burned in the Sierra Nevada yellow pine/mixed-conifer forest between 1984 and 2017. We additionally calculated 100 hour fuel moisture, local topographic roughness, potential annual heat load, prefire vegetation density, and the local heterogeneity of prefire vegetation density at 4 neighborhood sizes ranging from 0.81 hectares to 7.29 hectares. We modeled the effect of these variables on wildfire severity and found a strong positive relationship with both prefire vegetation density and potential annual heat load. We found no effect of topographic roughness on wildfire severity. We found a negative effect of 100 hour fuel moisture on severity. We found a strong negative effect of heterogeneity of vegetation structure on wildfire severity, approximately equal to the magnitude of the effect of potential annual heat load.</w:t>
      </w:r>
    </w:p>
    <w:p>
      <w:pPr>
        <w:pStyle w:val="Heading3"/>
      </w:pPr>
      <w:bookmarkStart w:id="51" w:name="effect-of-high-severity"/>
      <w:r>
        <w:t xml:space="preserve">Effect of high severity</w:t>
      </w:r>
      <w:bookmarkEnd w:id="51"/>
    </w:p>
    <w:p>
      <w:pPr>
        <w:pStyle w:val="FirstParagraph"/>
      </w:pPr>
      <w:r>
        <w:t xml:space="preserve">“</w:t>
      </w:r>
      <w:r>
        <w:t xml:space="preserve">fire-created chaparral patches are more likely to reburn at high severity, which can result in inhibition of forest succession and a (semi-) permanent conversion to chaparral (Coppoletta et al. 2016, van Wagtendonk et al. 2012).</w:t>
      </w:r>
      <w:r>
        <w:t xml:space="preserve"> </w:t>
      </w:r>
      <w:r>
        <w:t xml:space="preserve">(Safford &amp; Stevens 2017)</w:t>
      </w:r>
      <w:r>
        <w:t xml:space="preserve">”</w:t>
      </w:r>
      <w:r>
        <w:t xml:space="preserve"> </w:t>
      </w:r>
      <w:r>
        <w:t xml:space="preserve">Probability of high severity fire and effect on old-growth</w:t>
      </w:r>
      <w:r>
        <w:t xml:space="preserve"> </w:t>
      </w:r>
      <w:r>
        <w:t xml:space="preserve">(Miller &amp; Safford 2017)</w:t>
      </w:r>
      <w:r>
        <w:t xml:space="preserve"> </w:t>
      </w:r>
      <w:r>
        <w:t xml:space="preserve">Live fuel most important factor for Pr(HSF)</w:t>
      </w:r>
      <w:r>
        <w:t xml:space="preserve"> </w:t>
      </w:r>
      <w:r>
        <w:t xml:space="preserve">(Parks</w:t>
      </w:r>
      <w:r>
        <w:t xml:space="preserve"> </w:t>
      </w:r>
      <w:r>
        <w:rPr>
          <w:i/>
        </w:rPr>
        <w:t xml:space="preserve">et al.</w:t>
      </w:r>
      <w:r>
        <w:t xml:space="preserve"> </w:t>
      </w:r>
      <w:r>
        <w:t xml:space="preserve">2018a)</w:t>
      </w:r>
    </w:p>
    <w:p>
      <w:pPr>
        <w:pStyle w:val="BodyText"/>
      </w:pPr>
      <w:r>
        <w:t xml:space="preserve">Mapping finer-scale structure with more resolved instruments</w:t>
      </w:r>
      <w:r>
        <w:t xml:space="preserve"> </w:t>
      </w:r>
      <w:r>
        <w:t xml:space="preserve">(Nomura &amp; Mitchard 2018)</w:t>
      </w:r>
      <w:r>
        <w:t xml:space="preserve"> </w:t>
      </w:r>
      <w:r>
        <w:t xml:space="preserve">Mixed severity fire begets heterogeneous forest structure</w:t>
      </w:r>
      <w:r>
        <w:t xml:space="preserve"> </w:t>
      </w:r>
      <w:r>
        <w:t xml:space="preserve">(Malone</w:t>
      </w:r>
      <w:r>
        <w:t xml:space="preserve"> </w:t>
      </w:r>
      <w:r>
        <w:rPr>
          <w:i/>
        </w:rPr>
        <w:t xml:space="preserve">et al.</w:t>
      </w:r>
      <w:r>
        <w:t xml:space="preserve"> </w:t>
      </w:r>
      <w:r>
        <w:t xml:space="preserve">2018)</w:t>
      </w:r>
      <w:r>
        <w:t xml:space="preserve"> </w:t>
      </w:r>
      <w:r>
        <w:t xml:space="preserve">Sites lacking prior fire more likely to type convert</w:t>
      </w:r>
      <w:r>
        <w:t xml:space="preserve"> </w:t>
      </w:r>
      <w:r>
        <w:t xml:space="preserve">(Walker</w:t>
      </w:r>
      <w:r>
        <w:t xml:space="preserve"> </w:t>
      </w:r>
      <w:r>
        <w:rPr>
          <w:i/>
        </w:rPr>
        <w:t xml:space="preserve">et al.</w:t>
      </w:r>
      <w:r>
        <w:t xml:space="preserve"> </w:t>
      </w:r>
      <w:r>
        <w:t xml:space="preserve">2018)</w:t>
      </w:r>
      <w:r>
        <w:t xml:space="preserve"> </w:t>
      </w:r>
      <w:r>
        <w:t xml:space="preserve">High severity begets high severity</w:t>
      </w:r>
      <w:r>
        <w:t xml:space="preserve"> </w:t>
      </w:r>
      <w:r>
        <w:t xml:space="preserve">(Coppoletta</w:t>
      </w:r>
      <w:r>
        <w:t xml:space="preserve"> </w:t>
      </w:r>
      <w:r>
        <w:rPr>
          <w:i/>
        </w:rPr>
        <w:t xml:space="preserve">et al.</w:t>
      </w:r>
      <w:r>
        <w:t xml:space="preserve"> </w:t>
      </w:r>
      <w:r>
        <w:t xml:space="preserve">2016)</w:t>
      </w:r>
      <w:r>
        <w:t xml:space="preserve"> </w:t>
      </w:r>
      <w:r>
        <w:t xml:space="preserve">Our method may capture some finer scale complexity</w:t>
      </w:r>
      <w:r>
        <w:t xml:space="preserve"> </w:t>
      </w:r>
      <w:r>
        <w:t xml:space="preserve">(Dickinson 2014)</w:t>
      </w:r>
      <w:r>
        <w:t xml:space="preserve"> </w:t>
      </w:r>
      <w:r>
        <w:t xml:space="preserve">Type conversions with large, high severity patches</w:t>
      </w:r>
      <w:r>
        <w:t xml:space="preserve"> </w:t>
      </w:r>
      <w:r>
        <w:t xml:space="preserve">(Stephens</w:t>
      </w:r>
      <w:r>
        <w:t xml:space="preserve"> </w:t>
      </w:r>
      <w:r>
        <w:rPr>
          <w:i/>
        </w:rPr>
        <w:t xml:space="preserve">et al.</w:t>
      </w:r>
      <w:r>
        <w:t xml:space="preserve"> </w:t>
      </w:r>
      <w:r>
        <w:t xml:space="preserve">2013; Millar &amp; Stephenson 2015)</w:t>
      </w:r>
    </w:p>
    <w:p>
      <w:pPr>
        <w:pStyle w:val="Heading3"/>
      </w:pPr>
      <w:bookmarkStart w:id="52" w:name="caveats"/>
      <w:r>
        <w:t xml:space="preserve">Caveats</w:t>
      </w:r>
      <w:bookmarkEnd w:id="52"/>
    </w:p>
    <w:p>
      <w:pPr>
        <w:pStyle w:val="FirstParagraph"/>
      </w:pPr>
      <w:r>
        <w:t xml:space="preserve">Our method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We have captured a coarse measure of heterogeneity. While we did find that this coarse measure does strongly relate to fire severity, it does not account for fire behavior or spatial pattern forming processes at the individual tree scale. This may still be possible using remotely sensed data at a finer spatial resolution, but with a cost in temporal resolution and time series depth (e.g., NAIP imagery at 1m resolution but with only 3 total images starting in 2008)</w:t>
      </w:r>
      <w:r>
        <w:t xml:space="preserve"> </w:t>
      </w:r>
      <w:r>
        <w:t xml:space="preserve">(Dickinson</w:t>
      </w:r>
      <w:r>
        <w:t xml:space="preserve"> </w:t>
      </w:r>
      <w:r>
        <w:rPr>
          <w:i/>
        </w:rPr>
        <w:t xml:space="preserve">et al.</w:t>
      </w:r>
      <w:r>
        <w:t xml:space="preserve"> </w:t>
      </w:r>
      <w:r>
        <w:t xml:space="preserve">2016)</w:t>
      </w:r>
      <w:r>
        <w:t xml:space="preserve">. Additional metrics of heterogeneity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the finer spatial resolution of NAIP imagery.</w:t>
      </w:r>
    </w:p>
    <w:p>
      <w:pPr>
        <w:pStyle w:val="BodyText"/>
      </w:pPr>
      <w:r>
        <w:t xml:space="preserve">FM100 captures local climate conditions, but misses local weather such as strong wind events and plume-dominated fire behavior.</w:t>
      </w:r>
    </w:p>
    <w:p>
      <w:pPr>
        <w:pStyle w:val="Heading3"/>
      </w:pPr>
      <w:bookmarkStart w:id="53" w:name="translating-resistance-to-long-term-persistance"/>
      <w:r>
        <w:t xml:space="preserve">Translating resistance to long term persistance</w:t>
      </w:r>
      <w:bookmarkEnd w:id="53"/>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For instance, increases in the second angular momentum of the configuration of vegetation patches may represent early warning signs of a catastrophic shift in a system whereby it converts to a vegetation-less desert. The change in this particular texture serves as an indicator of system precariousness because it reflects the spatial process by which the system stabilizes. In the case of desertification as a result of increasing grazing pressure, facilitation is the process driving vegetation patch configurations and the increase in spatial variation of those configurations indicates a breakdown in the process itself as the system moves nearer to a bifurcation point between a vegetated and a non-vegetated state. In our case, we measure heterogeneity as a spatial feature that is part of the feedback loop between disturbance and forest spatial structure, so we gain insight into longer-term patterns by measuring a signature of the pattern forming process itself. More work is needed to verify the degree to which the spatial features of mixed-conifer forests– or the spatial features of the disturbances that affect them– capture the</w:t>
      </w:r>
    </w:p>
    <w:p>
      <w:pPr>
        <w:pStyle w:val="Heading1"/>
      </w:pPr>
      <w:bookmarkStart w:id="54" w:name="conclusions"/>
      <w:r>
        <w:t xml:space="preserve">Conclusions</w:t>
      </w:r>
      <w:bookmarkEnd w:id="54"/>
    </w:p>
    <w:p>
      <w:pPr>
        <w:pStyle w:val="FirstParagraph"/>
      </w:pPr>
      <w:r>
        <w:t xml:space="preserve">We encourage researchers and managers to make their ground based severity data available with site location (including datum) and the alarm data for the fire the field data is measuring. Cloud-based GIS, central image hosting, and integration with powerful classification tools are sure to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data sharing of ground based severity measures.</w:t>
      </w:r>
    </w:p>
    <w:p>
      <w:pPr>
        <w:pStyle w:val="BodyText"/>
      </w:pPr>
      <w:r>
        <w:t xml:space="preserve">While the severity of a wildfire in any given place may be idiosyncratic and controlled by many variables, it is clear that heterogeneous forest structure generally makes mixed-conifer forest in the Sierra Nevada more resistant to this inevitable disturbance under normal fuel moisture conditions. Because a resistant forest is a resilient forest, heterogeneity in forest structure may increase the probability of long-term forest persistence. Given the opposite effect of heterogeneity in extreme fuel moisture conditions and the normalization of what were once considered extreme fuel moisture conditions in a warming world,</w:t>
      </w:r>
    </w:p>
    <w:bookmarkStart w:id="169" w:name="refs"/>
    <w:bookmarkStart w:id="55"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5"/>
    <w:bookmarkStart w:id="56" w:name="ref-Abatzoglou2016"/>
    <w:p>
      <w:pPr>
        <w:pStyle w:val="Bibliography"/>
      </w:pPr>
      <w:r>
        <w:t xml:space="preserve">2.</w:t>
      </w:r>
      <w:r>
        <w:br w:type="textWrapping"/>
      </w:r>
      <w:r>
        <w:t xml:space="preserve">Abatzoglou, J.T. &amp; Williams, A.P. (2016). The impact of anthropogenic climate change on wildfire across western US forests.</w:t>
      </w:r>
      <w:r>
        <w:t xml:space="preserve"> </w:t>
      </w:r>
      <w:r>
        <w:rPr>
          <w:i/>
        </w:rPr>
        <w:t xml:space="preserve">Proceedings of the National Academy of Sciences</w:t>
      </w:r>
      <w:r>
        <w:t xml:space="preserve">, In press.</w:t>
      </w:r>
    </w:p>
    <w:bookmarkEnd w:id="56"/>
    <w:bookmarkStart w:id="57" w:name="ref-Ackerly2010"/>
    <w:p>
      <w:pPr>
        <w:pStyle w:val="Bibliography"/>
      </w:pPr>
      <w:r>
        <w:t xml:space="preserve">3.</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7"/>
    <w:bookmarkStart w:id="58" w:name="ref-Agashe2009"/>
    <w:p>
      <w:pPr>
        <w:pStyle w:val="Bibliography"/>
      </w:pPr>
      <w:r>
        <w:t xml:space="preserve">4.</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58"/>
    <w:bookmarkStart w:id="59" w:name="ref-Agee2005"/>
    <w:p>
      <w:pPr>
        <w:pStyle w:val="Bibliography"/>
      </w:pPr>
      <w:r>
        <w:t xml:space="preserve">5.</w:t>
      </w:r>
      <w:r>
        <w:br w:type="textWrapping"/>
      </w:r>
      <w:r>
        <w:t xml:space="preserve">Agee, J.K. &amp; Skinner, C.N. (2005). Basic principles of forest fuel reduction treatments.</w:t>
      </w:r>
      <w:r>
        <w:t xml:space="preserve"> </w:t>
      </w:r>
      <w:r>
        <w:rPr>
          <w:i/>
        </w:rPr>
        <w:t xml:space="preserve">Forest Ecology and Management</w:t>
      </w:r>
      <w:r>
        <w:t xml:space="preserve">, 211, 83–96.</w:t>
      </w:r>
    </w:p>
    <w:bookmarkEnd w:id="59"/>
    <w:bookmarkStart w:id="60" w:name="ref-Asner2015"/>
    <w:p>
      <w:pPr>
        <w:pStyle w:val="Bibliography"/>
      </w:pPr>
      <w:r>
        <w:t xml:space="preserve">6.</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60"/>
    <w:bookmarkStart w:id="61" w:name="ref-Asner2017"/>
    <w:p>
      <w:pPr>
        <w:pStyle w:val="Bibliography"/>
      </w:pPr>
      <w:r>
        <w:t xml:space="preserve">7.</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61"/>
    <w:bookmarkStart w:id="62" w:name="ref-Baskett2009"/>
    <w:p>
      <w:pPr>
        <w:pStyle w:val="Bibliography"/>
      </w:pPr>
      <w:r>
        <w:t xml:space="preserve">8.</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2"/>
    <w:bookmarkStart w:id="63" w:name="ref-Bastarrika2011"/>
    <w:p>
      <w:pPr>
        <w:pStyle w:val="Bibliography"/>
      </w:pPr>
      <w:r>
        <w:t xml:space="preserve">9.</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3"/>
    <w:bookmarkStart w:id="64" w:name="ref-Boschetti2015"/>
    <w:p>
      <w:pPr>
        <w:pStyle w:val="Bibliography"/>
      </w:pPr>
      <w:r>
        <w:t xml:space="preserve">10.</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4"/>
    <w:bookmarkStart w:id="65" w:name="ref-Burkner2017"/>
    <w:p>
      <w:pPr>
        <w:pStyle w:val="Bibliography"/>
      </w:pPr>
      <w:r>
        <w:t xml:space="preserve">11.</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5"/>
    <w:bookmarkStart w:id="66" w:name="ref-Cadotte2013"/>
    <w:p>
      <w:pPr>
        <w:pStyle w:val="Bibliography"/>
      </w:pPr>
      <w:r>
        <w:t xml:space="preserve">12.</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6"/>
    <w:bookmarkStart w:id="67" w:name="ref-Calkin2005"/>
    <w:p>
      <w:pPr>
        <w:pStyle w:val="Bibliography"/>
      </w:pPr>
      <w:r>
        <w:t xml:space="preserve">13.</w:t>
      </w:r>
      <w:r>
        <w:br w:type="textWrapping"/>
      </w:r>
      <w:r>
        <w:t xml:space="preserve">Calkin, D.E., Gebert, K.M., Jones, J... &amp; Neilson, R.P. (2005). Forest service large fire area burned and suppression expenditure trends, 1970-2002.</w:t>
      </w:r>
      <w:r>
        <w:t xml:space="preserve"> </w:t>
      </w:r>
      <w:r>
        <w:rPr>
          <w:i/>
        </w:rPr>
        <w:t xml:space="preserve">Journal of Forestry</w:t>
      </w:r>
      <w:r>
        <w:t xml:space="preserve">, 103, 179–183.</w:t>
      </w:r>
    </w:p>
    <w:bookmarkEnd w:id="67"/>
    <w:bookmarkStart w:id="68" w:name="ref-Cansler2012"/>
    <w:p>
      <w:pPr>
        <w:pStyle w:val="Bibliography"/>
      </w:pPr>
      <w:r>
        <w:t xml:space="preserve">14.</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68"/>
    <w:bookmarkStart w:id="69" w:name="ref-Cansler2014"/>
    <w:p>
      <w:pPr>
        <w:pStyle w:val="Bibliography"/>
      </w:pPr>
      <w:r>
        <w:t xml:space="preserve">15.</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69"/>
    <w:bookmarkStart w:id="70" w:name="ref-Chesson2000"/>
    <w:p>
      <w:pPr>
        <w:pStyle w:val="Bibliography"/>
      </w:pPr>
      <w:r>
        <w:t xml:space="preserve">16.</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70"/>
    <w:bookmarkStart w:id="71" w:name="ref-Clyatt2016"/>
    <w:p>
      <w:pPr>
        <w:pStyle w:val="Bibliography"/>
      </w:pPr>
      <w:r>
        <w:t xml:space="preserve">17.</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71"/>
    <w:bookmarkStart w:id="72" w:name="ref-Collins2015"/>
    <w:p>
      <w:pPr>
        <w:pStyle w:val="Bibliography"/>
      </w:pPr>
      <w:r>
        <w:t xml:space="preserve">18.</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72"/>
    <w:bookmarkStart w:id="73" w:name="ref-Collins2010"/>
    <w:p>
      <w:pPr>
        <w:pStyle w:val="Bibliography"/>
      </w:pPr>
      <w:r>
        <w:t xml:space="preserve">19.</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3"/>
    <w:bookmarkStart w:id="74" w:name="ref-Conners1984"/>
    <w:p>
      <w:pPr>
        <w:pStyle w:val="Bibliography"/>
      </w:pPr>
      <w:r>
        <w:t xml:space="preserve">20.</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4"/>
    <w:bookmarkStart w:id="75" w:name="ref-Coppoletta2016"/>
    <w:p>
      <w:pPr>
        <w:pStyle w:val="Bibliography"/>
      </w:pPr>
      <w:r>
        <w:t xml:space="preserve">21.</w:t>
      </w:r>
      <w:r>
        <w:br w:type="textWrapping"/>
      </w:r>
      <w:r>
        <w:t xml:space="preserve">Coppoletta, M., Merriam, K.E. &amp; Collins, B.M. (2016). Post-fire vegetation and fuel development influences fire severity patterns in reburns.</w:t>
      </w:r>
      <w:r>
        <w:t xml:space="preserve"> </w:t>
      </w:r>
      <w:r>
        <w:rPr>
          <w:i/>
        </w:rPr>
        <w:t xml:space="preserve">Ecological Applications</w:t>
      </w:r>
      <w:r>
        <w:t xml:space="preserve">, 26, 686–699.</w:t>
      </w:r>
    </w:p>
    <w:bookmarkEnd w:id="75"/>
    <w:bookmarkStart w:id="76" w:name="ref-Crowther2015"/>
    <w:p>
      <w:pPr>
        <w:pStyle w:val="Bibliography"/>
      </w:pPr>
      <w:r>
        <w:t xml:space="preserve">22.</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6"/>
    <w:bookmarkStart w:id="77" w:name="ref-Culbert2012"/>
    <w:p>
      <w:pPr>
        <w:pStyle w:val="Bibliography"/>
      </w:pPr>
      <w:r>
        <w:t xml:space="preserve">23.</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77"/>
    <w:bookmarkStart w:id="78" w:name="ref-DeFrenne2013"/>
    <w:p>
      <w:pPr>
        <w:pStyle w:val="Bibliography"/>
      </w:pPr>
      <w:r>
        <w:t xml:space="preserve">24.</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78"/>
    <w:bookmarkStart w:id="79" w:name="ref-DeSantis2010"/>
    <w:p>
      <w:pPr>
        <w:pStyle w:val="Bibliography"/>
      </w:pPr>
      <w:r>
        <w:t xml:space="preserve">25.</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79"/>
    <w:bookmarkStart w:id="80" w:name="ref-Dickinson2014"/>
    <w:p>
      <w:pPr>
        <w:pStyle w:val="Bibliography"/>
      </w:pPr>
      <w:r>
        <w:t xml:space="preserve">26.</w:t>
      </w:r>
      <w:r>
        <w:br w:type="textWrapping"/>
      </w:r>
      <w:r>
        <w:t xml:space="preserve">Dickinson, Y. (2014). Landscape restoration of a forest with a historically mixed-severity fire regime: What was the historical landscape pattern of forest and openings?</w:t>
      </w:r>
      <w:r>
        <w:t xml:space="preserve"> </w:t>
      </w:r>
      <w:r>
        <w:rPr>
          <w:i/>
        </w:rPr>
        <w:t xml:space="preserve">Forest Ecology and Management</w:t>
      </w:r>
      <w:r>
        <w:t xml:space="preserve">, 331, 264–271.</w:t>
      </w:r>
    </w:p>
    <w:bookmarkEnd w:id="80"/>
    <w:bookmarkStart w:id="81" w:name="ref-Dickinson2016"/>
    <w:p>
      <w:pPr>
        <w:pStyle w:val="Bibliography"/>
      </w:pPr>
      <w:r>
        <w:t xml:space="preserve">27.</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81"/>
    <w:bookmarkStart w:id="82" w:name="ref-Dillon2011"/>
    <w:p>
      <w:pPr>
        <w:pStyle w:val="Bibliography"/>
      </w:pPr>
      <w:r>
        <w:t xml:space="preserve">28.</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82"/>
    <w:bookmarkStart w:id="83" w:name="ref-Dolanc2014"/>
    <w:p>
      <w:pPr>
        <w:pStyle w:val="Bibliography"/>
      </w:pPr>
      <w:r>
        <w:t xml:space="preserve">29.</w:t>
      </w:r>
      <w:r>
        <w:br w:type="textWrapping"/>
      </w:r>
      <w:r>
        <w:t xml:space="preserve">Dolanc, C.R., Safford, H.D., Dobrowski, S.Z. &amp; Thorne, J.H. (2014). Twentieth century shifts in abundance and composition of vegetation types of the Sierra Nevada, CA, US.</w:t>
      </w:r>
      <w:r>
        <w:t xml:space="preserve"> </w:t>
      </w:r>
      <w:r>
        <w:rPr>
          <w:i/>
        </w:rPr>
        <w:t xml:space="preserve">Applied Vegetation Science</w:t>
      </w:r>
      <w:r>
        <w:t xml:space="preserve">, 17, 442–455.</w:t>
      </w:r>
    </w:p>
    <w:bookmarkEnd w:id="83"/>
    <w:bookmarkStart w:id="84" w:name="ref-Edwards2018"/>
    <w:p>
      <w:pPr>
        <w:pStyle w:val="Bibliography"/>
      </w:pPr>
      <w:r>
        <w:t xml:space="preserve">30.</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84"/>
    <w:bookmarkStart w:id="85" w:name="ref-Eidenshink2007"/>
    <w:p>
      <w:pPr>
        <w:pStyle w:val="Bibliography"/>
      </w:pPr>
      <w:r>
        <w:t xml:space="preserve">31.</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85"/>
    <w:bookmarkStart w:id="86" w:name="ref-Farr2007"/>
    <w:p>
      <w:pPr>
        <w:pStyle w:val="Bibliography"/>
      </w:pPr>
      <w:r>
        <w:t xml:space="preserve">32.</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6"/>
    <w:bookmarkStart w:id="87" w:name="ref-Fernandez2018"/>
    <w:p>
      <w:pPr>
        <w:pStyle w:val="Bibliography"/>
      </w:pPr>
      <w:r>
        <w:t xml:space="preserve">33.</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87"/>
    <w:bookmarkStart w:id="88" w:name="ref-Folke2004"/>
    <w:p>
      <w:pPr>
        <w:pStyle w:val="Bibliography"/>
      </w:pPr>
      <w:r>
        <w:t xml:space="preserve">34.</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88"/>
    <w:bookmarkStart w:id="89" w:name="ref-Ford2013"/>
    <w:p>
      <w:pPr>
        <w:pStyle w:val="Bibliography"/>
      </w:pPr>
      <w:r>
        <w:t xml:space="preserve">35.</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89"/>
    <w:bookmarkStart w:id="90" w:name="ref-Gao1996"/>
    <w:p>
      <w:pPr>
        <w:pStyle w:val="Bibliography"/>
      </w:pPr>
      <w:r>
        <w:t xml:space="preserve">36.</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90"/>
    <w:bookmarkStart w:id="91" w:name="ref-Lopez1991"/>
    <w:p>
      <w:pPr>
        <w:pStyle w:val="Bibliography"/>
      </w:pPr>
      <w:r>
        <w:t xml:space="preserve">37.</w:t>
      </w:r>
      <w:r>
        <w:br w:type="textWrapping"/>
      </w:r>
      <w:r>
        <w:t xml:space="preserve">García, M.J.L. &amp; Caselles, V. (1991). Mapping burns and natural reforestation using thematic mapper data.</w:t>
      </w:r>
      <w:r>
        <w:t xml:space="preserve"> </w:t>
      </w:r>
      <w:r>
        <w:rPr>
          <w:i/>
        </w:rPr>
        <w:t xml:space="preserve">Geocarto International</w:t>
      </w:r>
      <w:r>
        <w:t xml:space="preserve">, 6, 31–37.</w:t>
      </w:r>
    </w:p>
    <w:bookmarkEnd w:id="91"/>
    <w:bookmarkStart w:id="92" w:name="ref-Gazol2016"/>
    <w:p>
      <w:pPr>
        <w:pStyle w:val="Bibliography"/>
      </w:pPr>
      <w:r>
        <w:t xml:space="preserve">38.</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92"/>
    <w:bookmarkStart w:id="93" w:name="ref-Goodwin2014"/>
    <w:p>
      <w:pPr>
        <w:pStyle w:val="Bibliography"/>
      </w:pPr>
      <w:r>
        <w:t xml:space="preserve">39.</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93"/>
    <w:bookmarkStart w:id="94" w:name="ref-Gorelick2017"/>
    <w:p>
      <w:pPr>
        <w:pStyle w:val="Bibliography"/>
      </w:pPr>
      <w:r>
        <w:t xml:space="preserve">40.</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94"/>
    <w:bookmarkStart w:id="95" w:name="ref-Graham2004"/>
    <w:p>
      <w:pPr>
        <w:pStyle w:val="Bibliography"/>
      </w:pPr>
      <w:r>
        <w:t xml:space="preserve">41.</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95"/>
    <w:bookmarkStart w:id="96" w:name="ref-Gunderson2000"/>
    <w:p>
      <w:pPr>
        <w:pStyle w:val="Bibliography"/>
      </w:pPr>
      <w:r>
        <w:t xml:space="preserve">42.</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96"/>
    <w:bookmarkStart w:id="97" w:name="ref-Hansen2013"/>
    <w:p>
      <w:pPr>
        <w:pStyle w:val="Bibliography"/>
      </w:pPr>
      <w:r>
        <w:t xml:space="preserve">43.</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97"/>
    <w:bookmarkStart w:id="98" w:name="ref-Haralick1973"/>
    <w:p>
      <w:pPr>
        <w:pStyle w:val="Bibliography"/>
      </w:pPr>
      <w:r>
        <w:t xml:space="preserve">44.</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98"/>
    <w:bookmarkStart w:id="99" w:name="ref-Harvey2016c"/>
    <w:p>
      <w:pPr>
        <w:pStyle w:val="Bibliography"/>
      </w:pPr>
      <w:r>
        <w:t xml:space="preserve">45.</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99"/>
    <w:bookmarkStart w:id="100" w:name="ref-Hawbaker2017"/>
    <w:p>
      <w:pPr>
        <w:pStyle w:val="Bibliography"/>
      </w:pPr>
      <w:r>
        <w:t xml:space="preserve">46.</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100"/>
    <w:bookmarkStart w:id="101" w:name="ref-Hoffman2014"/>
    <w:p>
      <w:pPr>
        <w:pStyle w:val="Bibliography"/>
      </w:pPr>
      <w:r>
        <w:t xml:space="preserve">47.</w:t>
      </w:r>
      <w:r>
        <w:br w:type="textWrapping"/>
      </w:r>
      <w:r>
        <w:t xml:space="preserve">Hoffman, M.D. &amp; Gelman, A. (2014). The No-U-Turn Sampler: Adaptively Setting Path Lengths in Hamiltonian Monte Carlo.</w:t>
      </w:r>
      <w:r>
        <w:t xml:space="preserve"> </w:t>
      </w:r>
      <w:r>
        <w:rPr>
          <w:i/>
        </w:rPr>
        <w:t xml:space="preserve">Journal of Machine Learning Research</w:t>
      </w:r>
      <w:r>
        <w:t xml:space="preserve">, 15, 1593–1623.</w:t>
      </w:r>
    </w:p>
    <w:bookmarkEnd w:id="101"/>
    <w:bookmarkStart w:id="102" w:name="ref-Holden2009"/>
    <w:p>
      <w:pPr>
        <w:pStyle w:val="Bibliography"/>
      </w:pPr>
      <w:r>
        <w:t xml:space="preserve">48.</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102"/>
    <w:bookmarkStart w:id="103" w:name="ref-Holling1973"/>
    <w:p>
      <w:pPr>
        <w:pStyle w:val="Bibliography"/>
      </w:pPr>
      <w:r>
        <w:t xml:space="preserve">49.</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103"/>
    <w:bookmarkStart w:id="104" w:name="ref-Huang2014"/>
    <w:p>
      <w:pPr>
        <w:pStyle w:val="Bibliography"/>
      </w:pPr>
      <w:r>
        <w:t xml:space="preserve">50.</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104"/>
    <w:bookmarkStart w:id="105" w:name="ref-Huesca2016"/>
    <w:p>
      <w:pPr>
        <w:pStyle w:val="Bibliography"/>
      </w:pPr>
      <w:r>
        <w:t xml:space="preserve">51.</w:t>
      </w:r>
      <w:r>
        <w:br w:type="textWrapping"/>
      </w:r>
      <w:r>
        <w:t xml:space="preserve">Huesca, M., García, M., Roth, K.L., Casas, A. &amp; Ustin, S.L. (2016). Canopy structural attributes derived from AVIRIS imaging spectroscopy data in a mixed broadleaf/conifer forest.</w:t>
      </w:r>
      <w:r>
        <w:t xml:space="preserve"> </w:t>
      </w:r>
      <w:r>
        <w:rPr>
          <w:i/>
        </w:rPr>
        <w:t xml:space="preserve">Remote Sensing of Environment</w:t>
      </w:r>
      <w:r>
        <w:t xml:space="preserve">, 182, 208–226.</w:t>
      </w:r>
    </w:p>
    <w:bookmarkEnd w:id="105"/>
    <w:bookmarkStart w:id="106" w:name="ref-Key2006"/>
    <w:p>
      <w:pPr>
        <w:pStyle w:val="Bibliography"/>
      </w:pPr>
      <w:r>
        <w:t xml:space="preserve">52.</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106"/>
    <w:bookmarkStart w:id="107" w:name="ref-Kefi2014"/>
    <w:p>
      <w:pPr>
        <w:pStyle w:val="Bibliography"/>
      </w:pPr>
      <w:r>
        <w:t xml:space="preserve">53.</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107"/>
    <w:bookmarkStart w:id="108" w:name="ref-Kolden2015"/>
    <w:p>
      <w:pPr>
        <w:pStyle w:val="Bibliography"/>
      </w:pPr>
      <w:r>
        <w:t xml:space="preserve">54.</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108"/>
    <w:bookmarkStart w:id="109" w:name="ref-Kotliar1990"/>
    <w:p>
      <w:pPr>
        <w:pStyle w:val="Bibliography"/>
      </w:pPr>
      <w:r>
        <w:t xml:space="preserve">55.</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09"/>
    <w:bookmarkStart w:id="110" w:name="ref-Larson2012"/>
    <w:p>
      <w:pPr>
        <w:pStyle w:val="Bibliography"/>
      </w:pPr>
      <w:r>
        <w:t xml:space="preserve">56.</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10"/>
    <w:bookmarkStart w:id="111" w:name="ref-Lenoir2013"/>
    <w:p>
      <w:pPr>
        <w:pStyle w:val="Bibliography"/>
      </w:pPr>
      <w:r>
        <w:t xml:space="preserve">57.</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11"/>
    <w:bookmarkStart w:id="112" w:name="ref-Lydersen2013"/>
    <w:p>
      <w:pPr>
        <w:pStyle w:val="Bibliography"/>
      </w:pPr>
      <w:r>
        <w:t xml:space="preserve">58.</w:t>
      </w:r>
      <w:r>
        <w:br w:type="textWrapping"/>
      </w:r>
      <w:r>
        <w:t xml:space="preserve">Lydersen, J.M., North, M.P., Knapp, E.E. &amp; Collins, B.M. (2013). Quantifying spatial patterns of tree groups and gaps in mixed-conifer forests: Reference conditions and long-term changes following fire suppression and logging.</w:t>
      </w:r>
      <w:r>
        <w:t xml:space="preserve"> </w:t>
      </w:r>
      <w:r>
        <w:rPr>
          <w:i/>
        </w:rPr>
        <w:t xml:space="preserve">Forest Ecology and Management</w:t>
      </w:r>
      <w:r>
        <w:t xml:space="preserve">, 304, 370–382.</w:t>
      </w:r>
    </w:p>
    <w:bookmarkEnd w:id="112"/>
    <w:bookmarkStart w:id="113" w:name="ref-Malone2018"/>
    <w:p>
      <w:pPr>
        <w:pStyle w:val="Bibliography"/>
      </w:pPr>
      <w:r>
        <w:t xml:space="preserve">59.</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13"/>
    <w:bookmarkStart w:id="114" w:name="ref-Masek2006"/>
    <w:p>
      <w:pPr>
        <w:pStyle w:val="Bibliography"/>
      </w:pPr>
      <w:r>
        <w:t xml:space="preserve">60.</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14"/>
    <w:bookmarkStart w:id="115" w:name="ref-McCune2007"/>
    <w:p>
      <w:pPr>
        <w:pStyle w:val="Bibliography"/>
      </w:pPr>
      <w:r>
        <w:t xml:space="preserve">61.</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15"/>
    <w:bookmarkStart w:id="116" w:name="ref-McCune2002"/>
    <w:p>
      <w:pPr>
        <w:pStyle w:val="Bibliography"/>
      </w:pPr>
      <w:r>
        <w:t xml:space="preserve">62.</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16"/>
    <w:bookmarkStart w:id="117" w:name="ref-McIntyre2014"/>
    <w:p>
      <w:pPr>
        <w:pStyle w:val="Bibliography"/>
      </w:pPr>
      <w:r>
        <w:t xml:space="preserve">63.</w:t>
      </w:r>
      <w:r>
        <w:br w:type="textWrapping"/>
      </w:r>
      <w:r>
        <w:t xml:space="preserve">McIntyre, P.J., Thorne, J.H., Dolanc, C.R., Flint, A.L., Flint, L.E. &amp; Kelly, M.</w:t>
      </w:r>
      <w:r>
        <w:t xml:space="preserve"> </w:t>
      </w:r>
      <w:r>
        <w:rPr>
          <w:i/>
        </w:rPr>
        <w:t xml:space="preserve">et al.</w:t>
      </w:r>
      <w:r>
        <w:t xml:space="preserve"> </w:t>
      </w:r>
      <w:r>
        <w:t xml:space="preserve">(2014). Twentieth-century shifts in forest structure in California: Denser forests, smaller trees, and increased dominance of oaks.</w:t>
      </w:r>
      <w:r>
        <w:t xml:space="preserve"> </w:t>
      </w:r>
      <w:r>
        <w:rPr>
          <w:i/>
        </w:rPr>
        <w:t xml:space="preserve">Proceedings of the National Academy of Sciences</w:t>
      </w:r>
      <w:r>
        <w:t xml:space="preserve">, 112, 1458–1463.</w:t>
      </w:r>
    </w:p>
    <w:bookmarkEnd w:id="117"/>
    <w:bookmarkStart w:id="118" w:name="ref-Millar2015"/>
    <w:p>
      <w:pPr>
        <w:pStyle w:val="Bibliography"/>
      </w:pPr>
      <w:r>
        <w:t xml:space="preserve">64.</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18"/>
    <w:bookmarkStart w:id="119" w:name="ref-Miller2009a"/>
    <w:p>
      <w:pPr>
        <w:pStyle w:val="Bibliography"/>
      </w:pPr>
      <w:r>
        <w:t xml:space="preserve">65.</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19"/>
    <w:bookmarkStart w:id="120" w:name="ref-Miller2012a"/>
    <w:p>
      <w:pPr>
        <w:pStyle w:val="Bibliography"/>
      </w:pPr>
      <w:r>
        <w:t xml:space="preserve">66.</w:t>
      </w:r>
      <w:r>
        <w:br w:type="textWrapping"/>
      </w:r>
      <w:r>
        <w:t xml:space="preserve">Miller, J.D. &amp; Safford, H. (2012). Trends in wildfire severity: 1984 to 2010 in the Sierra Nevada, Modoc Plateau, and southern Cascades, California, USA.</w:t>
      </w:r>
      <w:r>
        <w:t xml:space="preserve"> </w:t>
      </w:r>
      <w:r>
        <w:rPr>
          <w:i/>
        </w:rPr>
        <w:t xml:space="preserve">Fire Ecology</w:t>
      </w:r>
      <w:r>
        <w:t xml:space="preserve">, 8, 41–57.</w:t>
      </w:r>
    </w:p>
    <w:bookmarkEnd w:id="120"/>
    <w:bookmarkStart w:id="121" w:name="ref-Miller2017"/>
    <w:p>
      <w:pPr>
        <w:pStyle w:val="Bibliography"/>
      </w:pPr>
      <w:r>
        <w:t xml:space="preserve">67.</w:t>
      </w:r>
      <w:r>
        <w:br w:type="textWrapping"/>
      </w:r>
      <w:r>
        <w:t xml:space="preserve">Miller, J.D. &amp; Safford, H.D. (2017). Corroborating evidence of a pre-euro-American low-to moderate-severity fire regime in yellow pine–mixed conifer forests of the sierra Nevada, California, USA.</w:t>
      </w:r>
      <w:r>
        <w:t xml:space="preserve"> </w:t>
      </w:r>
      <w:r>
        <w:rPr>
          <w:i/>
        </w:rPr>
        <w:t xml:space="preserve">Fire Ecology</w:t>
      </w:r>
      <w:r>
        <w:t xml:space="preserve">, 13, 58–90.</w:t>
      </w:r>
    </w:p>
    <w:bookmarkEnd w:id="121"/>
    <w:bookmarkStart w:id="122" w:name="ref-Miller2012"/>
    <w:p>
      <w:pPr>
        <w:pStyle w:val="Bibliography"/>
      </w:pPr>
      <w:r>
        <w:t xml:space="preserve">68.</w:t>
      </w:r>
      <w:r>
        <w:br w:type="textWrapping"/>
      </w:r>
      <w:r>
        <w:t xml:space="preserve">Miller, J.D., Skinner, C.N., Safford, H.D., Knapp, E.E. &amp; Ramirez, C.M. (2012). Trends and causes of severity, size, and number of fires in northwestern California, USA.</w:t>
      </w:r>
      <w:r>
        <w:t xml:space="preserve"> </w:t>
      </w:r>
      <w:r>
        <w:rPr>
          <w:i/>
        </w:rPr>
        <w:t xml:space="preserve">Ecological Applications</w:t>
      </w:r>
      <w:r>
        <w:t xml:space="preserve">, 22, 184–203.</w:t>
      </w:r>
    </w:p>
    <w:bookmarkEnd w:id="122"/>
    <w:bookmarkStart w:id="123" w:name="ref-Miller2007"/>
    <w:p>
      <w:pPr>
        <w:pStyle w:val="Bibliography"/>
      </w:pPr>
      <w:r>
        <w:t xml:space="preserve">69.</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23"/>
    <w:bookmarkStart w:id="124" w:name="ref-Moritz2005"/>
    <w:p>
      <w:pPr>
        <w:pStyle w:val="Bibliography"/>
      </w:pPr>
      <w:r>
        <w:t xml:space="preserve">70.</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24"/>
    <w:bookmarkStart w:id="125" w:name="ref-Nasi2015"/>
    <w:p>
      <w:pPr>
        <w:pStyle w:val="Bibliography"/>
      </w:pPr>
      <w:r>
        <w:t xml:space="preserve">71.</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25"/>
    <w:bookmarkStart w:id="126" w:name="ref-Nomura2018"/>
    <w:p>
      <w:pPr>
        <w:pStyle w:val="Bibliography"/>
      </w:pPr>
      <w:r>
        <w:t xml:space="preserve">72.</w:t>
      </w:r>
      <w:r>
        <w:br w:type="textWrapping"/>
      </w:r>
      <w:r>
        <w:t xml:space="preserve">Nomura, K. &amp; Mitchard, E. (2018). More Than Meets the Eye: Using Sentinel-2 to Map Small Plantations in Complex Forest Landscapes.</w:t>
      </w:r>
      <w:r>
        <w:t xml:space="preserve"> </w:t>
      </w:r>
      <w:r>
        <w:rPr>
          <w:i/>
        </w:rPr>
        <w:t xml:space="preserve">Remote Sensing</w:t>
      </w:r>
      <w:r>
        <w:t xml:space="preserve">, 10, 1693.</w:t>
      </w:r>
    </w:p>
    <w:bookmarkEnd w:id="126"/>
    <w:bookmarkStart w:id="127" w:name="ref-North2012"/>
    <w:p>
      <w:pPr>
        <w:pStyle w:val="Bibliography"/>
      </w:pPr>
      <w:r>
        <w:t xml:space="preserve">73.</w:t>
      </w:r>
      <w:r>
        <w:br w:type="textWrapping"/>
      </w:r>
      <w:r>
        <w:t xml:space="preserve">North, M. (2012).</w:t>
      </w:r>
      <w:r>
        <w:t xml:space="preserve"> </w:t>
      </w:r>
      <w:r>
        <w:rPr>
          <w:i/>
        </w:rPr>
        <w:t xml:space="preserve">Managing Sierra Nevada Forests</w:t>
      </w:r>
      <w:r>
        <w:t xml:space="preserve"> </w:t>
      </w:r>
      <w:r>
        <w:t xml:space="preserve">( No. March). U. S. Department of Agriculture, Forest Service, Pacific Southwest Research Station; USDA Forest Service, Albany, CA.</w:t>
      </w:r>
    </w:p>
    <w:bookmarkEnd w:id="127"/>
    <w:bookmarkStart w:id="128" w:name="ref-North2012a"/>
    <w:p>
      <w:pPr>
        <w:pStyle w:val="Bibliography"/>
      </w:pPr>
      <w:r>
        <w:t xml:space="preserve">74.</w:t>
      </w:r>
      <w:r>
        <w:br w:type="textWrapping"/>
      </w:r>
      <w:r>
        <w:t xml:space="preserve">North, M., Collins, B.M. &amp; Stephens, S. (2012). Using Fire to Increase the Scale, Benefits, and Future Maintenance of Fuels Treatments.</w:t>
      </w:r>
      <w:r>
        <w:t xml:space="preserve"> </w:t>
      </w:r>
      <w:r>
        <w:rPr>
          <w:i/>
        </w:rPr>
        <w:t xml:space="preserve">Journal of Forestry</w:t>
      </w:r>
      <w:r>
        <w:t xml:space="preserve">, 110, 392–401.</w:t>
      </w:r>
    </w:p>
    <w:bookmarkEnd w:id="128"/>
    <w:bookmarkStart w:id="129" w:name="ref-North2015"/>
    <w:p>
      <w:pPr>
        <w:pStyle w:val="Bibliography"/>
      </w:pPr>
      <w:r>
        <w:t xml:space="preserve">75.</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29"/>
    <w:bookmarkStart w:id="130" w:name="ref-North2009"/>
    <w:p>
      <w:pPr>
        <w:pStyle w:val="Bibliography"/>
      </w:pPr>
      <w:r>
        <w:t xml:space="preserve">76.</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30"/>
    <w:bookmarkStart w:id="131" w:name="ref-ParkWilliams2012"/>
    <w:p>
      <w:pPr>
        <w:pStyle w:val="Bibliography"/>
      </w:pPr>
      <w:r>
        <w:t xml:space="preserve">77.</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31"/>
    <w:bookmarkStart w:id="132" w:name="ref-Parks2014"/>
    <w:p>
      <w:pPr>
        <w:pStyle w:val="Bibliography"/>
      </w:pPr>
      <w:r>
        <w:t xml:space="preserve">78.</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32"/>
    <w:bookmarkStart w:id="133" w:name="ref-Parks2018b"/>
    <w:p>
      <w:pPr>
        <w:pStyle w:val="Bibliography"/>
      </w:pPr>
      <w:r>
        <w:t xml:space="preserve">79.</w:t>
      </w:r>
      <w:r>
        <w:br w:type="textWrapping"/>
      </w:r>
      <w:r>
        <w:t xml:space="preserve">Parks, S.A., Holsinger, L.M., Panunto, M.H., Jolly, W.M., Dobrowski, S.Z. &amp; Dillon, G.K. (2018a). High-severity fire: Evaluating its key drivers and mapping its probability across western US forests.</w:t>
      </w:r>
      <w:r>
        <w:t xml:space="preserve"> </w:t>
      </w:r>
      <w:r>
        <w:rPr>
          <w:i/>
        </w:rPr>
        <w:t xml:space="preserve">Environmental Research Letters</w:t>
      </w:r>
      <w:r>
        <w:t xml:space="preserve">, 13.</w:t>
      </w:r>
    </w:p>
    <w:bookmarkEnd w:id="133"/>
    <w:bookmarkStart w:id="134" w:name="ref-Parks2018"/>
    <w:p>
      <w:pPr>
        <w:pStyle w:val="Bibliography"/>
      </w:pPr>
      <w:r>
        <w:t xml:space="preserve">80.</w:t>
      </w:r>
      <w:r>
        <w:br w:type="textWrapping"/>
      </w:r>
      <w:r>
        <w:t xml:space="preserve">Parks, S., Holsinger, L., Voss, M., Loehman, R. &amp; Robinson, N. (2018b). Mean Composite Fire Severity Metrics Computed with Google Earth Engine Offer Improved Accuracy and Expanded Mapping Potential.</w:t>
      </w:r>
      <w:r>
        <w:t xml:space="preserve"> </w:t>
      </w:r>
      <w:r>
        <w:rPr>
          <w:i/>
        </w:rPr>
        <w:t xml:space="preserve">Remote Sensing</w:t>
      </w:r>
      <w:r>
        <w:t xml:space="preserve">, 10, 879.</w:t>
      </w:r>
    </w:p>
    <w:bookmarkEnd w:id="134"/>
    <w:bookmarkStart w:id="135" w:name="ref-Prichard2014"/>
    <w:p>
      <w:pPr>
        <w:pStyle w:val="Bibliography"/>
      </w:pPr>
      <w:r>
        <w:t xml:space="preserve">81.</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35"/>
    <w:bookmarkStart w:id="136" w:name="ref-Questad2008"/>
    <w:p>
      <w:pPr>
        <w:pStyle w:val="Bibliography"/>
      </w:pPr>
      <w:r>
        <w:t xml:space="preserve">82.</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36"/>
    <w:bookmarkStart w:id="137" w:name="ref-RCoreTeam2018"/>
    <w:p>
      <w:pPr>
        <w:pStyle w:val="Bibliography"/>
      </w:pPr>
      <w:r>
        <w:t xml:space="preserve">83.</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37"/>
    <w:bookmarkStart w:id="138" w:name="ref-Raffa2009"/>
    <w:p>
      <w:pPr>
        <w:pStyle w:val="Bibliography"/>
      </w:pPr>
      <w:r>
        <w:t xml:space="preserve">84.</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38"/>
    <w:bookmarkStart w:id="139" w:name="ref-Raffa2008"/>
    <w:p>
      <w:pPr>
        <w:pStyle w:val="Bibliography"/>
      </w:pPr>
      <w:r>
        <w:t xml:space="preserve">85.</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39"/>
    <w:bookmarkStart w:id="140" w:name="ref-Reilly2017"/>
    <w:p>
      <w:pPr>
        <w:pStyle w:val="Bibliography"/>
      </w:pPr>
      <w:r>
        <w:t xml:space="preserve">86.</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40"/>
    <w:bookmarkStart w:id="141" w:name="ref-Reusch2005"/>
    <w:p>
      <w:pPr>
        <w:pStyle w:val="Bibliography"/>
      </w:pPr>
      <w:r>
        <w:t xml:space="preserve">87.</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41"/>
    <w:bookmarkStart w:id="142" w:name="ref-Rouse1973"/>
    <w:p>
      <w:pPr>
        <w:pStyle w:val="Bibliography"/>
      </w:pPr>
      <w:r>
        <w:t xml:space="preserve">88.</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42"/>
    <w:bookmarkStart w:id="143" w:name="ref-Safford2017"/>
    <w:p>
      <w:pPr>
        <w:pStyle w:val="Bibliography"/>
      </w:pPr>
      <w:r>
        <w:t xml:space="preserve">89.</w:t>
      </w:r>
      <w:r>
        <w:br w:type="textWrapping"/>
      </w:r>
      <w:r>
        <w:t xml:space="preserve">Safford, H.D. &amp;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1–151.</w:t>
      </w:r>
    </w:p>
    <w:bookmarkEnd w:id="143"/>
    <w:bookmarkStart w:id="144" w:name="ref-Scholl2010"/>
    <w:p>
      <w:pPr>
        <w:pStyle w:val="Bibliography"/>
      </w:pPr>
      <w:r>
        <w:t xml:space="preserve">90.</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44"/>
    <w:bookmarkStart w:id="145" w:name="ref-Sikkink2013"/>
    <w:p>
      <w:pPr>
        <w:pStyle w:val="Bibliography"/>
      </w:pPr>
      <w:r>
        <w:t xml:space="preserve">91.</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45"/>
    <w:bookmarkStart w:id="146" w:name="ref-Steel2018"/>
    <w:p>
      <w:pPr>
        <w:pStyle w:val="Bibliography"/>
      </w:pPr>
      <w:r>
        <w:t xml:space="preserve">92.</w:t>
      </w:r>
      <w:r>
        <w:br w:type="textWrapping"/>
      </w:r>
      <w:r>
        <w:t xml:space="preserve">Steel, Z.L., Koontz, M.J. &amp; Safford, H.D. (2018). The changing landscape of wildfire: Burn pattern trends and implications for California’s yellow pine and mixed conifer forests.</w:t>
      </w:r>
      <w:r>
        <w:t xml:space="preserve"> </w:t>
      </w:r>
      <w:r>
        <w:rPr>
          <w:i/>
        </w:rPr>
        <w:t xml:space="preserve">Landscape Ecology</w:t>
      </w:r>
      <w:r>
        <w:t xml:space="preserve">, 33, 1159–1176.</w:t>
      </w:r>
    </w:p>
    <w:bookmarkEnd w:id="146"/>
    <w:bookmarkStart w:id="147" w:name="ref-Steel2015"/>
    <w:p>
      <w:pPr>
        <w:pStyle w:val="Bibliography"/>
      </w:pPr>
      <w:r>
        <w:t xml:space="preserve">93.</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47"/>
    <w:bookmarkStart w:id="148" w:name="ref-Stein2014a"/>
    <w:p>
      <w:pPr>
        <w:pStyle w:val="Bibliography"/>
      </w:pPr>
      <w:r>
        <w:t xml:space="preserve">94.</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48"/>
    <w:bookmarkStart w:id="149" w:name="ref-Stephens2013"/>
    <w:p>
      <w:pPr>
        <w:pStyle w:val="Bibliography"/>
      </w:pPr>
      <w:r>
        <w:t xml:space="preserve">95.</w:t>
      </w:r>
      <w:r>
        <w:br w:type="textWrapping"/>
      </w:r>
      <w:r>
        <w:t xml:space="preserve">Stephens, S.L., Agee, J.K., Fulé, P.Z., North, M.P., Romme, W.H. &amp; Swetnam, T.W.</w:t>
      </w:r>
      <w:r>
        <w:t xml:space="preserve"> </w:t>
      </w:r>
      <w:r>
        <w:rPr>
          <w:i/>
        </w:rPr>
        <w:t xml:space="preserve">et al.</w:t>
      </w:r>
      <w:r>
        <w:t xml:space="preserve"> </w:t>
      </w:r>
      <w:r>
        <w:t xml:space="preserve">(2013). Managing forests and fire in changing climates.</w:t>
      </w:r>
      <w:r>
        <w:t xml:space="preserve"> </w:t>
      </w:r>
      <w:r>
        <w:rPr>
          <w:i/>
        </w:rPr>
        <w:t xml:space="preserve">Science</w:t>
      </w:r>
      <w:r>
        <w:t xml:space="preserve">, 342, 41–2.</w:t>
      </w:r>
    </w:p>
    <w:bookmarkEnd w:id="149"/>
    <w:bookmarkStart w:id="150" w:name="ref-Stephens2004"/>
    <w:p>
      <w:pPr>
        <w:pStyle w:val="Bibliography"/>
      </w:pPr>
      <w:r>
        <w:t xml:space="preserve">96.</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50"/>
    <w:bookmarkStart w:id="151" w:name="ref-Stephens2008"/>
    <w:p>
      <w:pPr>
        <w:pStyle w:val="Bibliography"/>
      </w:pPr>
      <w:r>
        <w:t xml:space="preserve">97.</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51"/>
    <w:bookmarkStart w:id="152" w:name="ref-Stephens2015"/>
    <w:p>
      <w:pPr>
        <w:pStyle w:val="Bibliography"/>
      </w:pPr>
      <w:r>
        <w:t xml:space="preserve">98.</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52"/>
    <w:bookmarkStart w:id="153" w:name="ref-Sugihara2006"/>
    <w:p>
      <w:pPr>
        <w:pStyle w:val="Bibliography"/>
      </w:pPr>
      <w:r>
        <w:t xml:space="preserve">99.</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53"/>
    <w:bookmarkStart w:id="154" w:name="ref-Tilman1994"/>
    <w:p>
      <w:pPr>
        <w:pStyle w:val="Bibliography"/>
      </w:pPr>
      <w:r>
        <w:t xml:space="preserve">100.</w:t>
      </w:r>
      <w:r>
        <w:br w:type="textWrapping"/>
      </w:r>
      <w:r>
        <w:t xml:space="preserve">Tilman, D. (1994). Competition and biodiversity in spatially structured habitats.</w:t>
      </w:r>
      <w:r>
        <w:t xml:space="preserve"> </w:t>
      </w:r>
      <w:r>
        <w:rPr>
          <w:i/>
        </w:rPr>
        <w:t xml:space="preserve">Ecology</w:t>
      </w:r>
      <w:r>
        <w:t xml:space="preserve">, 75, 2–16.</w:t>
      </w:r>
    </w:p>
    <w:bookmarkEnd w:id="154"/>
    <w:bookmarkStart w:id="155" w:name="ref-Trumbore2015"/>
    <w:p>
      <w:pPr>
        <w:pStyle w:val="Bibliography"/>
      </w:pPr>
      <w:r>
        <w:t xml:space="preserve">101.</w:t>
      </w:r>
      <w:r>
        <w:br w:type="textWrapping"/>
      </w:r>
      <w:r>
        <w:t xml:space="preserve">Trumbore, S., Brando, P. &amp; Hartmann, H. (2015). Forest health and global change.</w:t>
      </w:r>
      <w:r>
        <w:t xml:space="preserve"> </w:t>
      </w:r>
      <w:r>
        <w:rPr>
          <w:i/>
        </w:rPr>
        <w:t xml:space="preserve">Science</w:t>
      </w:r>
      <w:r>
        <w:t xml:space="preserve">, 349.</w:t>
      </w:r>
    </w:p>
    <w:bookmarkEnd w:id="155"/>
    <w:bookmarkStart w:id="156" w:name="ref-Tuanmu2015"/>
    <w:p>
      <w:pPr>
        <w:pStyle w:val="Bibliography"/>
      </w:pPr>
      <w:r>
        <w:t xml:space="preserve">102.</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56"/>
    <w:bookmarkStart w:id="157" w:name="ref-USGSlasrc2017"/>
    <w:p>
      <w:pPr>
        <w:pStyle w:val="Bibliography"/>
      </w:pPr>
      <w:r>
        <w:t xml:space="preserve">103.</w:t>
      </w:r>
      <w:r>
        <w:br w:type="textWrapping"/>
      </w:r>
      <w:r>
        <w:t xml:space="preserve">USGS. (2017a). Product Guide: Landat 8 Surface Reflectance Code (LaSRC) Product.</w:t>
      </w:r>
      <w:r>
        <w:t xml:space="preserve"> </w:t>
      </w:r>
      <w:r>
        <w:rPr>
          <w:i/>
        </w:rPr>
        <w:t xml:space="preserve">USGS Professional Paper</w:t>
      </w:r>
      <w:r>
        <w:t xml:space="preserve">, 4.2.</w:t>
      </w:r>
    </w:p>
    <w:bookmarkEnd w:id="157"/>
    <w:bookmarkStart w:id="158" w:name="ref-USGSledaps2017"/>
    <w:p>
      <w:pPr>
        <w:pStyle w:val="Bibliography"/>
      </w:pPr>
      <w:r>
        <w:t xml:space="preserve">104.</w:t>
      </w:r>
      <w:r>
        <w:br w:type="textWrapping"/>
      </w:r>
      <w:r>
        <w:t xml:space="preserve">USGS. (2017b). Product Guide: Landsat 4-7 Surface Reflectance (LEDAPS) Product.</w:t>
      </w:r>
      <w:r>
        <w:t xml:space="preserve"> </w:t>
      </w:r>
      <w:r>
        <w:rPr>
          <w:i/>
        </w:rPr>
        <w:t xml:space="preserve">USGS Professional Paper</w:t>
      </w:r>
      <w:r>
        <w:t xml:space="preserve">, 8, 38.</w:t>
      </w:r>
    </w:p>
    <w:bookmarkEnd w:id="158"/>
    <w:bookmarkStart w:id="159" w:name="ref-Vehtari2016"/>
    <w:p>
      <w:pPr>
        <w:pStyle w:val="Bibliography"/>
      </w:pPr>
      <w:r>
        <w:t xml:space="preserve">105.</w:t>
      </w:r>
      <w:r>
        <w:br w:type="textWrapping"/>
      </w:r>
      <w:r>
        <w:t xml:space="preserve">Vehtari, A., Gelman, A. &amp; Gabry, J. (2016). Practical Bayesian model evaluation using leave-one-out cross-validation and WAIC.</w:t>
      </w:r>
      <w:r>
        <w:t xml:space="preserve"> </w:t>
      </w:r>
      <w:r>
        <w:rPr>
          <w:i/>
        </w:rPr>
        <w:t xml:space="preserve">Statistics and Computing</w:t>
      </w:r>
      <w:r>
        <w:t xml:space="preserve">, 1–20.</w:t>
      </w:r>
    </w:p>
    <w:bookmarkEnd w:id="159"/>
    <w:bookmarkStart w:id="160" w:name="ref-Veraverbeke2013"/>
    <w:p>
      <w:pPr>
        <w:pStyle w:val="Bibliography"/>
      </w:pPr>
      <w:r>
        <w:t xml:space="preserve">106.</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60"/>
    <w:bookmarkStart w:id="161" w:name="ref-Vermote2016"/>
    <w:p>
      <w:pPr>
        <w:pStyle w:val="Bibliography"/>
      </w:pPr>
      <w:r>
        <w:t xml:space="preserve">107.</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61"/>
    <w:bookmarkStart w:id="162" w:name="ref-Virah-Sawmy2009"/>
    <w:p>
      <w:pPr>
        <w:pStyle w:val="Bibliography"/>
      </w:pPr>
      <w:r>
        <w:t xml:space="preserve">108.</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62"/>
    <w:bookmarkStart w:id="163" w:name="ref-Walker2004"/>
    <w:p>
      <w:pPr>
        <w:pStyle w:val="Bibliography"/>
      </w:pPr>
      <w:r>
        <w:t xml:space="preserve">109.</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63"/>
    <w:bookmarkStart w:id="164" w:name="ref-Walker2018"/>
    <w:p>
      <w:pPr>
        <w:pStyle w:val="Bibliography"/>
      </w:pPr>
      <w:r>
        <w:t xml:space="preserve">110.</w:t>
      </w:r>
      <w:r>
        <w:br w:type="textWrapping"/>
      </w:r>
      <w:r>
        <w:t xml:space="preserve">Walker, R.B., Coop, J.D., Parks, S.A. &amp; Trader, L. (2018). Fire regimes approaching historic norms reduce wildfire-facilitated conversion from forest to non-forest.</w:t>
      </w:r>
      <w:r>
        <w:t xml:space="preserve"> </w:t>
      </w:r>
      <w:r>
        <w:rPr>
          <w:i/>
        </w:rPr>
        <w:t xml:space="preserve">Ecosphere</w:t>
      </w:r>
      <w:r>
        <w:t xml:space="preserve">, 9.</w:t>
      </w:r>
    </w:p>
    <w:bookmarkEnd w:id="164"/>
    <w:bookmarkStart w:id="165" w:name="ref-Westerling2006"/>
    <w:p>
      <w:pPr>
        <w:pStyle w:val="Bibliography"/>
      </w:pPr>
      <w:r>
        <w:t xml:space="preserve">111.</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65"/>
    <w:bookmarkStart w:id="166" w:name="ref-Wood2012"/>
    <w:p>
      <w:pPr>
        <w:pStyle w:val="Bibliography"/>
      </w:pPr>
      <w:r>
        <w:t xml:space="preserve">112.</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66"/>
    <w:bookmarkStart w:id="167" w:name="ref-Young2017"/>
    <w:p>
      <w:pPr>
        <w:pStyle w:val="Bibliography"/>
      </w:pPr>
      <w:r>
        <w:t xml:space="preserve">113.</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67"/>
    <w:bookmarkStart w:id="168" w:name="ref-Zhu2006"/>
    <w:p>
      <w:pPr>
        <w:pStyle w:val="Bibliography"/>
      </w:pPr>
      <w:r>
        <w:t xml:space="preserve">114.</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68"/>
    <w:bookmarkEnd w:id="169"/>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deca4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ca281d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8f1b08d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66d6ffd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cb2439c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8937848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6d26180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f5d6ae4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46" Target="media/rId46.pdf" /><Relationship Type="http://schemas.openxmlformats.org/officeDocument/2006/relationships/image" Id="rId44" Target="media/rId44.pdf" /><Relationship Type="http://schemas.openxmlformats.org/officeDocument/2006/relationships/image" Id="rId25" Target="media/rId25.pdf"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Stephen E. Fick4,5, Chhaya M. Werner6, Andrew M. Latimer2</dc:creator>
  <cp:keywords/>
  <dcterms:created xsi:type="dcterms:W3CDTF">2018-10-31T19:38:14Z</dcterms:created>
  <dcterms:modified xsi:type="dcterms:W3CDTF">2018-10-31T19:38:14Z</dcterms:modified>
</cp:coreProperties>
</file>