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df" ContentType="application/pdf"/>
  <Override PartName="/word/media/rId38.pdf" ContentType="application/pdf"/>
  <Override PartName="/word/media/rId31.pdf" ContentType="application/pdf"/>
  <Override PartName="/word/media/rId33.pdf" ContentType="application/pdf"/>
  <Override PartName="/word/media/rId47.pdf" ContentType="application/pdf"/>
  <Override PartName="/word/media/rId45.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of</w:t>
      </w:r>
      <w:r>
        <w:t xml:space="preserve"> </w:t>
      </w:r>
      <w:r>
        <w:t xml:space="preserve">vegetation</w:t>
      </w:r>
      <w:r>
        <w:t xml:space="preserve"> </w:t>
      </w:r>
      <w:r>
        <w:t xml:space="preserve">structure</w:t>
      </w:r>
      <w:r>
        <w:t xml:space="preserve"> </w:t>
      </w:r>
      <w:r>
        <w:t xml:space="preserve">interacts</w:t>
      </w:r>
      <w:r>
        <w:t xml:space="preserve"> </w:t>
      </w:r>
      <w:r>
        <w:t xml:space="preserve">with</w:t>
      </w:r>
      <w:r>
        <w:t xml:space="preserve"> </w:t>
      </w:r>
      <w:r>
        <w:t xml:space="preserve">fuel</w:t>
      </w:r>
      <w:r>
        <w:t xml:space="preserve"> </w:t>
      </w:r>
      <w:r>
        <w:t xml:space="preserve">moisture</w:t>
      </w:r>
      <w:r>
        <w:t xml:space="preserve"> </w:t>
      </w:r>
      <w:r>
        <w:t xml:space="preserve">to</w:t>
      </w:r>
      <w:r>
        <w:t xml:space="preserve"> </w:t>
      </w:r>
      <w:r>
        <w:t xml:space="preserve">affect</w:t>
      </w:r>
      <w:r>
        <w:t xml:space="preserve"> </w:t>
      </w:r>
      <w:r>
        <w:t xml:space="preserve">forest</w:t>
      </w:r>
      <w:r>
        <w:t xml:space="preserve"> </w:t>
      </w:r>
      <w:r>
        <w:t xml:space="preserve">resistance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p>
    <w:p>
      <w:pPr>
        <w:pStyle w:val="Author"/>
      </w:pPr>
      <w:r>
        <w:t xml:space="preserve">Malcolm</w:t>
      </w:r>
      <w:r>
        <w:t xml:space="preserve"> </w:t>
      </w:r>
      <w:r>
        <w:t xml:space="preserve">P</w:t>
      </w:r>
      <w:r>
        <w:t xml:space="preserve"> </w:t>
      </w:r>
      <w:r>
        <w:t xml:space="preserve">North</w:t>
      </w:r>
      <w:r>
        <w:rPr>
          <w:vertAlign w:val="superscript"/>
        </w:rPr>
        <w:t xml:space="preserve">2,3</w:t>
      </w:r>
    </w:p>
    <w:p>
      <w:pPr>
        <w:pStyle w:val="Author"/>
      </w:pPr>
      <w:r>
        <w:t xml:space="preserve">Stephen</w:t>
      </w:r>
      <w:r>
        <w:t xml:space="preserve"> </w:t>
      </w:r>
      <w:r>
        <w:t xml:space="preserve">E</w:t>
      </w:r>
      <w:r>
        <w:t xml:space="preserve"> </w:t>
      </w:r>
      <w:r>
        <w:t xml:space="preserve">Fick</w:t>
      </w:r>
      <w:r>
        <w:rPr>
          <w:vertAlign w:val="superscript"/>
        </w:rPr>
        <w:t xml:space="preserve">4</w:t>
      </w:r>
    </w:p>
    <w:p>
      <w:pPr>
        <w:pStyle w:val="Author"/>
      </w:pPr>
      <w:r>
        <w:t xml:space="preserve">Chhaya</w:t>
      </w:r>
      <w:r>
        <w:t xml:space="preserve"> </w:t>
      </w:r>
      <w:r>
        <w:t xml:space="preserve">M</w:t>
      </w:r>
      <w:r>
        <w:t xml:space="preserve"> </w:t>
      </w:r>
      <w:r>
        <w:t xml:space="preserve">Werner</w:t>
      </w:r>
      <w:r>
        <w:rPr>
          <w:vertAlign w:val="superscript"/>
        </w:rPr>
        <w:t xml:space="preserve">5</w:t>
      </w:r>
    </w:p>
    <w:p>
      <w:pPr>
        <w:pStyle w:val="Author"/>
      </w:pP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USGS/University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br w:type="textWrapping"/>
      </w:r>
      <w:r>
        <w:rPr>
          <w:vertAlign w:val="superscript"/>
        </w:rPr>
        <w:t xml:space="preserve">5</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Variation</w:t>
      </w:r>
      <w:r>
        <w:t xml:space="preserve"> </w:t>
      </w:r>
      <w:r>
        <w:t xml:space="preserve">in</w:t>
      </w:r>
      <w:r>
        <w:t xml:space="preserve"> </w:t>
      </w:r>
      <w:r>
        <w:t xml:space="preserve">the</w:t>
      </w:r>
      <w:r>
        <w:t xml:space="preserve"> </w:t>
      </w:r>
      <w:r>
        <w:t xml:space="preserve">size</w:t>
      </w:r>
      <w:r>
        <w:t xml:space="preserve"> </w:t>
      </w:r>
      <w:r>
        <w:t xml:space="preserve">and</w:t>
      </w:r>
      <w:r>
        <w:t xml:space="preserve"> </w:t>
      </w:r>
      <w:r>
        <w:t xml:space="preserve">distribution</w:t>
      </w:r>
      <w:r>
        <w:t xml:space="preserve"> </w:t>
      </w:r>
      <w:r>
        <w:t xml:space="preserve">of</w:t>
      </w:r>
      <w:r>
        <w:t xml:space="preserve"> </w:t>
      </w:r>
      <w:r>
        <w:t xml:space="preserve">trees</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ongoing</w:t>
      </w:r>
      <w:r>
        <w:t xml:space="preserve"> </w:t>
      </w:r>
      <w:r>
        <w:t xml:space="preserve">disturbances</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We</w:t>
      </w:r>
      <w:r>
        <w:t xml:space="preserve"> </w:t>
      </w:r>
      <w:r>
        <w:t xml:space="preserve">test</w:t>
      </w:r>
      <w:r>
        <w:t xml:space="preserve"> </w:t>
      </w:r>
      <w:r>
        <w:t xml:space="preserve">this</w:t>
      </w:r>
      <w:r>
        <w:t xml:space="preserve"> </w:t>
      </w:r>
      <w:r>
        <w:t xml:space="preserve">phenomenon</w:t>
      </w:r>
      <w:r>
        <w:t xml:space="preserve"> </w:t>
      </w:r>
      <w:r>
        <w:t xml:space="preserve">at</w:t>
      </w:r>
      <w:r>
        <w:t xml:space="preserve"> </w:t>
      </w:r>
      <w:r>
        <w:t xml:space="preserve">a</w:t>
      </w:r>
      <w:r>
        <w:t xml:space="preserve"> </w:t>
      </w:r>
      <w:r>
        <w:t xml:space="preserve">broad</w:t>
      </w:r>
      <w:r>
        <w:t xml:space="preserve"> </w:t>
      </w:r>
      <w:r>
        <w:t xml:space="preserve">spatial</w:t>
      </w:r>
      <w:r>
        <w:t xml:space="preserve"> </w:t>
      </w:r>
      <w:r>
        <w:t xml:space="preserve">extent</w:t>
      </w:r>
      <w:r>
        <w:t xml:space="preserve"> </w:t>
      </w:r>
      <w:r>
        <w:t xml:space="preserve">in</w:t>
      </w:r>
      <w:r>
        <w:t xml:space="preserve"> </w:t>
      </w:r>
      <w:r>
        <w:t xml:space="preserve">California’s</w:t>
      </w:r>
      <w:r>
        <w:t xml:space="preserve"> </w:t>
      </w:r>
      <w:r>
        <w:t xml:space="preserve">Sierra</w:t>
      </w:r>
      <w:r>
        <w:t xml:space="preserve"> </w:t>
      </w:r>
      <w:r>
        <w:t xml:space="preserve">Nevada</w:t>
      </w:r>
      <w:r>
        <w:t xml:space="preserve"> </w:t>
      </w:r>
      <w:r>
        <w:t xml:space="preserve">region</w:t>
      </w:r>
      <w:r>
        <w:t xml:space="preserve"> </w:t>
      </w:r>
      <w:r>
        <w:t xml:space="preserve">using</w:t>
      </w:r>
      <w:r>
        <w:t xml:space="preserve"> </w:t>
      </w:r>
      <w:r>
        <w:t xml:space="preserve">remotely-sensed</w:t>
      </w:r>
      <w:r>
        <w:t xml:space="preserve"> </w:t>
      </w:r>
      <w:r>
        <w:t xml:space="preserve">data</w:t>
      </w:r>
      <w:r>
        <w:t xml:space="preserve"> </w:t>
      </w:r>
      <w:r>
        <w:t xml:space="preserve">corroborated</w:t>
      </w:r>
      <w:r>
        <w:t xml:space="preserve"> </w:t>
      </w:r>
      <w:r>
        <w:t xml:space="preserve">with</w:t>
      </w:r>
      <w:r>
        <w:t xml:space="preserve"> </w:t>
      </w:r>
      <w:r>
        <w:t xml:space="preserve">on</w:t>
      </w:r>
      <w:r>
        <w:t xml:space="preserve"> </w:t>
      </w:r>
      <w:r>
        <w:t xml:space="preserve">the</w:t>
      </w:r>
      <w:r>
        <w:t xml:space="preserve"> </w:t>
      </w:r>
      <w:r>
        <w:t xml:space="preserve">ground</w:t>
      </w:r>
      <w:r>
        <w:t xml:space="preserve"> </w:t>
      </w:r>
      <w:r>
        <w:t xml:space="preserve">measurements.</w:t>
      </w:r>
      <w:r>
        <w:t xml:space="preserve"> </w:t>
      </w:r>
      <w:r>
        <w:t xml:space="preserve">We</w:t>
      </w:r>
      <w:r>
        <w:t xml:space="preserve"> </w:t>
      </w:r>
      <w:r>
        <w:t xml:space="preserve">find</w:t>
      </w:r>
      <w:r>
        <w:t xml:space="preserve"> </w:t>
      </w:r>
      <w:r>
        <w:t xml:space="preserve">that</w:t>
      </w:r>
      <w:r>
        <w:t xml:space="preserve"> </w:t>
      </w:r>
      <w:r>
        <w:t xml:space="preserve">greater</w:t>
      </w:r>
      <w:r>
        <w:t xml:space="preserve"> </w:t>
      </w:r>
      <w:r>
        <w:t xml:space="preserve">heterogeneity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in</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but</w:t>
      </w:r>
      <w:r>
        <w:t xml:space="preserve"> </w:t>
      </w:r>
      <w:r>
        <w:t xml:space="preserve">increases</w:t>
      </w:r>
      <w:r>
        <w:t xml:space="preserve"> </w:t>
      </w:r>
      <w:r>
        <w:t xml:space="preserve">the</w:t>
      </w:r>
      <w:r>
        <w:t xml:space="preserve"> </w:t>
      </w:r>
      <w:r>
        <w:t xml:space="preserve">probability</w:t>
      </w:r>
      <w:r>
        <w:t xml:space="preserve"> </w:t>
      </w:r>
      <w:r>
        <w:t xml:space="preserve">of</w:t>
      </w:r>
      <w:r>
        <w:t xml:space="preserve"> </w:t>
      </w:r>
      <w:r>
        <w:t xml:space="preserve">high</w:t>
      </w:r>
      <w:r>
        <w:t xml:space="preserve"> </w:t>
      </w:r>
      <w:r>
        <w:t xml:space="preserve">severity</w:t>
      </w:r>
      <w:r>
        <w:t xml:space="preserve"> </w:t>
      </w:r>
      <w:r>
        <w:t xml:space="preserve">fire</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For</w:t>
      </w:r>
      <w:r>
        <w:t xml:space="preserve"> </w:t>
      </w:r>
      <w:r>
        <w:t xml:space="preserve">a</w:t>
      </w:r>
      <w:r>
        <w:t xml:space="preserve"> </w:t>
      </w:r>
      <w:r>
        <w:t xml:space="preserve">given</w:t>
      </w:r>
      <w:r>
        <w:t xml:space="preserve"> </w:t>
      </w:r>
      <w:r>
        <w:t xml:space="preserve">local</w:t>
      </w:r>
      <w:r>
        <w:t xml:space="preserve"> </w:t>
      </w:r>
      <w:r>
        <w:t xml:space="preserve">vegetation</w:t>
      </w:r>
      <w:r>
        <w:t xml:space="preserve"> </w:t>
      </w:r>
      <w:r>
        <w:t xml:space="preserve">density,</w:t>
      </w:r>
      <w:r>
        <w:t xml:space="preserve"> </w:t>
      </w:r>
      <w:r>
        <w:t xml:space="preserve">a</w:t>
      </w:r>
      <w:r>
        <w:t xml:space="preserve"> </w:t>
      </w:r>
      <w:r>
        <w:t xml:space="preserve">more</w:t>
      </w:r>
      <w:r>
        <w:t xml:space="preserve"> </w:t>
      </w:r>
      <w:r>
        <w:t xml:space="preserve">heterogeneous</w:t>
      </w:r>
      <w:r>
        <w:t xml:space="preserve"> </w:t>
      </w:r>
      <w:r>
        <w:t xml:space="preserve">forest</w:t>
      </w:r>
      <w:r>
        <w:t xml:space="preserve"> </w:t>
      </w:r>
      <w:r>
        <w:t xml:space="preserve">comprises</w:t>
      </w:r>
      <w:r>
        <w:t xml:space="preserve"> </w:t>
      </w:r>
      <w:r>
        <w:t xml:space="preserve">a</w:t>
      </w:r>
      <w:r>
        <w:t xml:space="preserve"> </w:t>
      </w:r>
      <w:r>
        <w:t xml:space="preserve">greater</w:t>
      </w:r>
      <w:r>
        <w:t xml:space="preserve"> </w:t>
      </w:r>
      <w:r>
        <w:t xml:space="preserve">range</w:t>
      </w:r>
      <w:r>
        <w:t xml:space="preserve"> </w:t>
      </w:r>
      <w:r>
        <w:t xml:space="preserve">of</w:t>
      </w:r>
      <w:r>
        <w:t xml:space="preserve"> </w:t>
      </w:r>
      <w:r>
        <w:t xml:space="preserve">sparse</w:t>
      </w:r>
      <w:r>
        <w:t xml:space="preserve"> </w:t>
      </w:r>
      <w:r>
        <w:t xml:space="preserve">and</w:t>
      </w:r>
      <w:r>
        <w:t xml:space="preserve"> </w:t>
      </w:r>
      <w:r>
        <w:t xml:space="preserve">dense</w:t>
      </w:r>
      <w:r>
        <w:t xml:space="preserve"> </w:t>
      </w:r>
      <w:r>
        <w:t xml:space="preserve">vegetation</w:t>
      </w:r>
      <w:r>
        <w:t xml:space="preserve"> </w:t>
      </w:r>
      <w:r>
        <w:t xml:space="preserve">patches</w:t>
      </w:r>
      <w:r>
        <w:t xml:space="preserve"> </w:t>
      </w:r>
      <w:r>
        <w:t xml:space="preserve">compared</w:t>
      </w:r>
      <w:r>
        <w:t xml:space="preserve"> </w:t>
      </w:r>
      <w:r>
        <w:t xml:space="preserve">to</w:t>
      </w:r>
      <w:r>
        <w:t xml:space="preserve"> </w:t>
      </w:r>
      <w:r>
        <w:t xml:space="preserve">a</w:t>
      </w:r>
      <w:r>
        <w:t xml:space="preserve"> </w:t>
      </w:r>
      <w:r>
        <w:t xml:space="preserve">homogenous</w:t>
      </w:r>
      <w:r>
        <w:t xml:space="preserve"> </w:t>
      </w:r>
      <w:r>
        <w:t xml:space="preserve">forest.</w:t>
      </w:r>
      <w:r>
        <w:t xml:space="preserve"> </w:t>
      </w:r>
      <w:r>
        <w:t xml:space="preserve">We</w:t>
      </w:r>
      <w:r>
        <w:t xml:space="preserve"> </w:t>
      </w:r>
      <w:r>
        <w:t xml:space="preserve">conclude</w:t>
      </w:r>
      <w:r>
        <w:t xml:space="preserve"> </w:t>
      </w:r>
      <w:r>
        <w:t xml:space="preserve">that,</w:t>
      </w:r>
      <w:r>
        <w:t xml:space="preserve"> </w:t>
      </w:r>
      <w:r>
        <w:t xml:space="preserve">under</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sparse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fire</w:t>
      </w:r>
      <w:r>
        <w:t xml:space="preserve"> </w:t>
      </w:r>
      <w:r>
        <w:t xml:space="preserve">spread</w:t>
      </w:r>
      <w:r>
        <w:t xml:space="preserve"> </w:t>
      </w:r>
      <w:r>
        <w:t xml:space="preserve">is</w:t>
      </w:r>
      <w:r>
        <w:t xml:space="preserve"> </w:t>
      </w:r>
      <w:r>
        <w:t xml:space="preserve">interrupted</w:t>
      </w:r>
      <w:r>
        <w:t xml:space="preserve"> </w:t>
      </w:r>
      <w:r>
        <w:t xml:space="preserve">and</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fire</w:t>
      </w:r>
      <w:r>
        <w:t xml:space="preserve"> </w:t>
      </w:r>
      <w:r>
        <w:t xml:space="preserve">is</w:t>
      </w:r>
      <w:r>
        <w:t xml:space="preserve"> </w:t>
      </w:r>
      <w:r>
        <w:t xml:space="preserve">reduced.</w:t>
      </w:r>
      <w:r>
        <w:t xml:space="preserve"> </w:t>
      </w:r>
      <w:r>
        <w:t xml:space="preserve">Under</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dense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those</w:t>
      </w:r>
      <w:r>
        <w:t xml:space="preserve"> </w:t>
      </w:r>
      <w:r>
        <w:t xml:space="preserve">dense</w:t>
      </w:r>
      <w:r>
        <w:t xml:space="preserve"> </w:t>
      </w:r>
      <w:r>
        <w:t xml:space="preserve">patches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burn</w:t>
      </w:r>
      <w:r>
        <w:t xml:space="preserve"> </w:t>
      </w:r>
      <w:r>
        <w:t xml:space="preserve">at</w:t>
      </w:r>
      <w:r>
        <w:t xml:space="preserve"> </w:t>
      </w:r>
      <w:r>
        <w:t xml:space="preserve">high</w:t>
      </w:r>
      <w:r>
        <w:t xml:space="preserve"> </w:t>
      </w:r>
      <w:r>
        <w:t xml:space="preserve">severity</w:t>
      </w:r>
      <w:r>
        <w:t xml:space="preserve"> </w:t>
      </w:r>
      <w:r>
        <w:t xml:space="preserve">and</w:t>
      </w:r>
      <w:r>
        <w:t xml:space="preserve"> </w:t>
      </w:r>
      <w:r>
        <w:t xml:space="preserve">conditions</w:t>
      </w:r>
      <w:r>
        <w:t xml:space="preserve"> </w:t>
      </w:r>
      <w:r>
        <w:t xml:space="preserve">are</w:t>
      </w:r>
      <w:r>
        <w:t xml:space="preserve"> </w:t>
      </w:r>
      <w:r>
        <w:t xml:space="preserve">ripe</w:t>
      </w:r>
      <w:r>
        <w:t xml:space="preserve"> </w:t>
      </w:r>
      <w:r>
        <w:t xml:space="preserve">for</w:t>
      </w:r>
      <w:r>
        <w:t xml:space="preserve"> </w:t>
      </w:r>
      <w:r>
        <w:t xml:space="preserve">their</w:t>
      </w:r>
      <w:r>
        <w:t xml:space="preserve"> </w:t>
      </w:r>
      <w:r>
        <w:t xml:space="preserve">high</w:t>
      </w:r>
      <w:r>
        <w:t xml:space="preserve"> </w:t>
      </w:r>
      <w:r>
        <w:t xml:space="preserve">severity</w:t>
      </w:r>
      <w:r>
        <w:t xml:space="preserve"> </w:t>
      </w:r>
      <w:r>
        <w:t xml:space="preserve">to</w:t>
      </w:r>
      <w:r>
        <w:t xml:space="preserve"> </w:t>
      </w:r>
      <w:r>
        <w:t xml:space="preserve">be</w:t>
      </w:r>
      <w:r>
        <w:t xml:space="preserve"> </w:t>
      </w:r>
      <w:r>
        <w:t xml:space="preserve">more</w:t>
      </w:r>
      <w:r>
        <w:t xml:space="preserve"> </w:t>
      </w:r>
      <w:r>
        <w:t xml:space="preserve">contagious</w:t>
      </w:r>
      <w:r>
        <w:t xml:space="preserve"> </w:t>
      </w:r>
      <w:r>
        <w:t xml:space="preserve">for</w:t>
      </w:r>
      <w:r>
        <w:t xml:space="preserve"> </w:t>
      </w:r>
      <w:r>
        <w:t xml:space="preserve">nearby</w:t>
      </w:r>
      <w:r>
        <w:t xml:space="preserve"> </w:t>
      </w:r>
      <w:r>
        <w:t xml:space="preserve">vegetation.</w:t>
      </w:r>
      <w:r>
        <w:t xml:space="preserve"> </w:t>
      </w:r>
      <w:r>
        <w:t xml:space="preserve">Heterogeneous</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mixed</w:t>
      </w:r>
      <w:r>
        <w:t xml:space="preserve"> </w:t>
      </w:r>
      <w:r>
        <w:t xml:space="preserve">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this</w:t>
      </w:r>
      <w:r>
        <w:t xml:space="preserve"> </w:t>
      </w:r>
      <w:r>
        <w:t xml:space="preserve">inevitable</w:t>
      </w:r>
      <w:r>
        <w:t xml:space="preserve"> </w:t>
      </w:r>
      <w:r>
        <w:t xml:space="preserve">disturbance</w:t>
      </w:r>
      <w:r>
        <w:t xml:space="preserve"> </w:t>
      </w:r>
      <w:r>
        <w:t xml:space="preserve">under</w:t>
      </w:r>
      <w:r>
        <w:t xml:space="preserve"> </w:t>
      </w:r>
      <w:r>
        <w:t xml:space="preserve">most</w:t>
      </w:r>
      <w:r>
        <w:t xml:space="preserve"> </w:t>
      </w:r>
      <w:r>
        <w:t xml:space="preserve">fuel</w:t>
      </w:r>
      <w:r>
        <w:t xml:space="preserve"> </w:t>
      </w:r>
      <w:r>
        <w:t xml:space="preserve">moisture</w:t>
      </w:r>
      <w:r>
        <w:t xml:space="preserve"> </w:t>
      </w:r>
      <w:r>
        <w:t xml:space="preserve">conditions,</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its</w:t>
      </w:r>
      <w:r>
        <w:t xml:space="preserve"> </w:t>
      </w:r>
      <w:r>
        <w:t xml:space="preserve">long-term</w:t>
      </w:r>
      <w:r>
        <w:t xml:space="preserve"> </w:t>
      </w:r>
      <w:r>
        <w:t xml:space="preserve">persistence.</w:t>
      </w:r>
      <w:r>
        <w:t xml:space="preserve"> </w:t>
      </w:r>
      <w:r>
        <w:t xml:space="preserve">However,</w:t>
      </w:r>
      <w:r>
        <w:t xml:space="preserve"> </w:t>
      </w:r>
      <w:r>
        <w:t xml:space="preserve">increasing</w:t>
      </w:r>
      <w:r>
        <w:t xml:space="preserve"> </w:t>
      </w:r>
      <w:r>
        <w:t xml:space="preserve">fire</w:t>
      </w:r>
      <w:r>
        <w:t xml:space="preserve"> </w:t>
      </w:r>
      <w:r>
        <w:t xml:space="preserve">activity</w:t>
      </w:r>
      <w:r>
        <w:t xml:space="preserve"> </w:t>
      </w:r>
      <w:r>
        <w:t xml:space="preserve">driven</w:t>
      </w:r>
      <w:r>
        <w:t xml:space="preserve"> </w:t>
      </w:r>
      <w:r>
        <w:t xml:space="preserve">by</w:t>
      </w:r>
      <w:r>
        <w:t xml:space="preserve"> </w:t>
      </w:r>
      <w:r>
        <w:t xml:space="preserve">greater</w:t>
      </w:r>
      <w:r>
        <w:t xml:space="preserve"> </w:t>
      </w:r>
      <w:r>
        <w:t xml:space="preserve">aridity</w:t>
      </w:r>
      <w:r>
        <w:t xml:space="preserve"> </w:t>
      </w:r>
      <w:r>
        <w:t xml:space="preserve">resulting</w:t>
      </w:r>
      <w:r>
        <w:t xml:space="preserve"> </w:t>
      </w:r>
      <w:r>
        <w:t xml:space="preserve">from</w:t>
      </w:r>
      <w:r>
        <w:t xml:space="preserve"> </w:t>
      </w:r>
      <w:r>
        <w:t xml:space="preserve">anthropogenic</w:t>
      </w:r>
      <w:r>
        <w:t xml:space="preserve"> </w:t>
      </w:r>
      <w:r>
        <w:t xml:space="preserve">global</w:t>
      </w:r>
      <w:r>
        <w:t xml:space="preserve"> </w:t>
      </w:r>
      <w:r>
        <w:t xml:space="preserve">change</w:t>
      </w:r>
      <w:r>
        <w:t xml:space="preserve"> </w:t>
      </w:r>
      <w:r>
        <w:t xml:space="preserve">may</w:t>
      </w:r>
      <w:r>
        <w:t xml:space="preserve"> </w:t>
      </w:r>
      <w:r>
        <w:t xml:space="preserve">ultimately</w:t>
      </w:r>
      <w:r>
        <w:t xml:space="preserve"> </w:t>
      </w:r>
      <w:r>
        <w:t xml:space="preserve">lead</w:t>
      </w:r>
      <w:r>
        <w:t xml:space="preserve"> </w:t>
      </w:r>
      <w:r>
        <w:t xml:space="preserve">to</w:t>
      </w:r>
      <w:r>
        <w:t xml:space="preserve"> </w:t>
      </w:r>
      <w:r>
        <w:t xml:space="preserve">more</w:t>
      </w:r>
      <w:r>
        <w:t xml:space="preserve"> </w:t>
      </w:r>
      <w:r>
        <w:t xml:space="preserve">fires</w:t>
      </w:r>
      <w:r>
        <w:t xml:space="preserve"> </w:t>
      </w:r>
      <w:r>
        <w:t xml:space="preserve">burning</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in</w:t>
      </w:r>
      <w:r>
        <w:t xml:space="preserve"> </w:t>
      </w:r>
      <w:r>
        <w:t xml:space="preserve">which</w:t>
      </w:r>
      <w:r>
        <w:t xml:space="preserve"> </w:t>
      </w:r>
      <w:r>
        <w:t xml:space="preserve">heterogeneity</w:t>
      </w:r>
      <w:r>
        <w:t xml:space="preserve"> </w:t>
      </w:r>
      <w:r>
        <w:t xml:space="preserve">will</w:t>
      </w:r>
      <w:r>
        <w:t xml:space="preserve"> </w:t>
      </w:r>
      <w:r>
        <w:t xml:space="preserve">increase</w:t>
      </w:r>
      <w:r>
        <w:t xml:space="preserve"> </w:t>
      </w:r>
      <w:r>
        <w:t xml:space="preserve">fire</w:t>
      </w:r>
      <w:r>
        <w:t xml:space="preserve"> </w:t>
      </w:r>
      <w:r>
        <w:t xml:space="preserve">severity.</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w:t>
      </w:r>
      <w:r>
        <w:t xml:space="preserve"> </w:t>
      </w:r>
      <w:r>
        <w:t xml:space="preserve">@Lenoir2013</w:t>
      </w:r>
      <w:r>
        <w:t xml:space="preserve">)</w:t>
      </w:r>
      <w:r>
        <w:t xml:space="preserve">, and temporal environmental variation</w:t>
      </w:r>
      <w:r>
        <w:t xml:space="preserve"> </w:t>
      </w:r>
      <w:r>
        <w:t xml:space="preserve">(Questad &amp;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heterogeneity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heterogeneity in forest structure on forest resilience. In order to unite resilience theory with empirical observations, it is imperative to move from metaphors to measurements.</w:t>
      </w:r>
    </w:p>
    <w:p>
      <w:pPr>
        <w:pStyle w:val="BodyText"/>
      </w:pPr>
      <w:r>
        <w:t xml:space="preserve">Resilience of forest systems is fundamentally challenging to quantify because they comprise long-lived species, span large geographic extents, and are affected by disturbances at a very broad range of spatial scales. A key feature of resilience is resistance– how easy it is to change the system state</w:t>
      </w:r>
      <w:r>
        <w:t xml:space="preserve"> </w:t>
      </w:r>
      <w:r>
        <w:t xml:space="preserve">(Walker</w:t>
      </w:r>
      <w:r>
        <w:t xml:space="preserve"> </w:t>
      </w:r>
      <w:r>
        <w:rPr>
          <w:i/>
        </w:rPr>
        <w:t xml:space="preserve">et al.</w:t>
      </w:r>
      <w:r>
        <w:t xml:space="preserve"> </w:t>
      </w:r>
      <w:r>
        <w:t xml:space="preserve">2004)</w:t>
      </w:r>
      <w:r>
        <w:t xml:space="preserve">. In mixed conifer forests of California’s Sierra Nevada mountain range, wildfire disturbance is most frequently associated with landscape-scale changes in system state. Wildfire severity describes the magnitude of these changes, with</w:t>
      </w:r>
      <w:r>
        <w:t xml:space="preserve"> </w:t>
      </w:r>
      <w:r>
        <w:t xml:space="preserve">“</w:t>
      </w:r>
      <w:r>
        <w:t xml:space="preserve">high severity</w:t>
      </w:r>
      <w:r>
        <w:t xml:space="preserve">”</w:t>
      </w:r>
      <w:r>
        <w:t xml:space="preserve"> </w:t>
      </w:r>
      <w:r>
        <w:t xml:space="preserve">signifying a stand-replacing event. Thus, a resistant forest system should generally experience lower wildfire severity when a fire inevitably occurs.</w:t>
      </w:r>
    </w:p>
    <w:p>
      <w:pPr>
        <w:pStyle w:val="BodyText"/>
      </w:pPr>
      <w:r>
        <w:t xml:space="preserve">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potentially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 Further, the flexibility of this approach faciliates collaborative calibration with field-collected wildfire severity data.</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environmental heterogeneity across broad spatial scales</w:t>
      </w:r>
      <w:r>
        <w:t xml:space="preserve"> </w:t>
      </w:r>
      <w:r>
        <w:t xml:space="preserve">(Wood</w:t>
      </w:r>
      <w:r>
        <w:t xml:space="preserve"> </w:t>
      </w:r>
      <w:r>
        <w:rPr>
          <w:i/>
        </w:rPr>
        <w:t xml:space="preserve">et al.</w:t>
      </w:r>
      <w:r>
        <w:t xml:space="preserve"> </w:t>
      </w:r>
      <w:r>
        <w:t xml:space="preserve">2012)</w:t>
      </w:r>
      <w:r>
        <w:t xml:space="preserve">. Texture analysis was originally developed for image classification and computer vision, and it characterizes each pixel in an image by a summary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Ecologists have successfully used texture measurements to augment predictions of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spatial-heterogeneity"/>
      <w:r>
        <w:t xml:space="preserve">Creation and maintenance of spatial heterogeneity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or more widely spaced trees to ameliorate detrimental interactions</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the forest structure can also influence these pattern-forming processes such as when vegetation overstory alters microclimate or changes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relate to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structures</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the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 forests of the Sierra San Pedro Martir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in that state due to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heterogeneity in forest structure is meaningful for resilience</w:t>
      </w:r>
      <w:r>
        <w:t xml:space="preserve"> </w:t>
      </w:r>
      <w:r>
        <w:t xml:space="preserve">(Kotliar &amp; Wiens 1990)</w:t>
      </w:r>
      <w:r>
        <w:t xml:space="preserve">.</w:t>
      </w:r>
    </w:p>
    <w:p>
      <w:pPr>
        <w:pStyle w:val="BodyText"/>
      </w:pPr>
      <w:r>
        <w:t xml:space="preserve">We use a new remote sensing approach to calculate wildfire severity across broad spatial extents as well as image texture analysis to ask: does spatial variability in forest structure make California mixed conifer forests more resilient by reducing the severity of wildfires when they occur? Further, we ask whether this process is dependent upon topographic, fire weather, or other fuel conditions.</w:t>
      </w:r>
    </w:p>
    <w:p>
      <w:pPr>
        <w:pStyle w:val="Heading1"/>
      </w:pPr>
      <w:bookmarkStart w:id="24" w:name="methods"/>
      <w:r>
        <w:t xml:space="preserve">Methods</w:t>
      </w:r>
      <w:bookmarkEnd w:id="24"/>
    </w:p>
    <w:p>
      <w:pPr>
        <w:pStyle w:val="FirstParagraph"/>
      </w:pPr>
      <w:r>
        <w:t xml:space="preserve">This work occurred in two phases. First, we developed a new approach to calculating wildfire severity across broad spatial and temporal scales and calibrated our measurements to those frome the field. We applied this approach to all known fire perimeters in the Sierra Nevada region between 1984 and 2016 as defined by the Fire and Resource Assessment Program (FRAP,</w:t>
      </w:r>
      <w:r>
        <w:t xml:space="preserve"> </w:t>
      </w:r>
      <w:hyperlink r:id="rId22">
        <w:r>
          <w:rPr>
            <w:rStyle w:val="Hyperlink"/>
          </w:rPr>
          <w:t xml:space="preserve">http://frap.fire.ca.gov/projects/fire_data/fire_perimeters_index</w:t>
        </w:r>
      </w:hyperlink>
      <w:r>
        <w:t xml:space="preserve">), which is the most comprehensive digital record of fire occurrence in California. Second, we used texture analysis of remotely-sensed imagery bounded by the perimeters in the FRAP database to develop a measure of vegetation heterogeneity and modeled how that heterogeneity affected wildfire severity, accounting for other key drivers of wildfire behavior.</w:t>
      </w:r>
    </w:p>
    <w:p>
      <w:pPr>
        <w:pStyle w:val="CaptionedFigure"/>
      </w:pPr>
      <w:r>
        <w:drawing>
          <wp:inline>
            <wp:extent cx="3810000" cy="2540000"/>
            <wp:effectExtent b="0" l="0" r="0" t="0"/>
            <wp:docPr descr="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 http://frap.fire.ca.gov/data/frapgisdata-sw-fireperimeters_download).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 https://www.fs.usda.gov/detail/r5/landmanagement/gis/?cid=STELPRDB5327836). Image represents a rasterized version of polygons from the FRID database at a 100m x 100m pixel resolution. C) Locations of random samples drawn from fires depicted in panel A that were in yellow pine/mixed conifer forest as depicted in panel B, and which were designated as “burned” by exceeding a threshold relative burn ratio (RBR) determined by calibrating the algorithm presented in this study with ground based composite burn index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w:t>
      </w:r>
      <w:r>
        <w:t xml:space="preserve"> </w:t>
      </w:r>
      <w:hyperlink r:id="rId26">
        <w:r>
          <w:rPr>
            <w:rStyle w:val="Hyperlink"/>
          </w:rPr>
          <w:t xml:space="preserve">http://frap.fire.ca.gov/data/frapgisdata-sw-fireperimeters_download</w:t>
        </w:r>
      </w:hyperlink>
      <w:r>
        <w:t xml:space="preserve">).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w:t>
      </w:r>
      <w:r>
        <w:t xml:space="preserve"> </w:t>
      </w:r>
      <w:hyperlink r:id="rId27">
        <w:r>
          <w:rPr>
            <w:rStyle w:val="Hyperlink"/>
          </w:rPr>
          <w:t xml:space="preserve">https://www.fs.usda.gov/detail/r5/landmanagement/gis/?cid=STELPRDB5327836</w:t>
        </w:r>
      </w:hyperlink>
      <w:r>
        <w:t xml:space="preserve">). Image represents a rasterized version of polygons from the FRID database at a 100m x 100m pixel resolution. C) Locations of random samples drawn from fires depicted in panel A that were in yellow pine/mixed conifer forest as depicted in panel B,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composite burn index (CBI) measurements.</w:t>
      </w:r>
    </w:p>
    <w:p>
      <w:pPr>
        <w:pStyle w:val="Heading2"/>
      </w:pPr>
      <w:bookmarkStart w:id="28" w:name="study-area"/>
      <w:r>
        <w:t xml:space="preserve">Study area</w:t>
      </w:r>
      <w:bookmarkEnd w:id="28"/>
    </w:p>
    <w:p>
      <w:pPr>
        <w:pStyle w:val="FirstParagraph"/>
      </w:pPr>
      <w:r>
        <w:t xml:space="preserve">Our study assesses the effect of vegetation structure on wildfire severity in the Sierra Nevada mountain range of California in yellow pine/mixed conifer forests between 1984 and 2016 (Fig. 1). Forests in our study area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&amp; Collins 2004; Collins</w:t>
      </w:r>
      <w:r>
        <w:t xml:space="preserve"> </w:t>
      </w:r>
      <w:r>
        <w:rPr>
          <w:i/>
        </w:rPr>
        <w:t xml:space="preserve">et al.</w:t>
      </w:r>
      <w:r>
        <w:t xml:space="preserve"> </w:t>
      </w:r>
      <w:r>
        <w:t xml:space="preserve">2015)</w:t>
      </w:r>
      <w:r>
        <w:t xml:space="preserve">. Tree density in the early 20th century was relatively low, with about 25-79 trees/ha and about 8-30 m2/ha of live basal area</w:t>
      </w:r>
      <w:r>
        <w:t xml:space="preserve"> </w:t>
      </w:r>
      <w:r>
        <w:t xml:space="preserve">(Collins</w:t>
      </w:r>
      <w:r>
        <w:t xml:space="preserve"> </w:t>
      </w:r>
      <w:r>
        <w:rPr>
          <w:i/>
        </w:rPr>
        <w:t xml:space="preserve">et al.</w:t>
      </w:r>
      <w:r>
        <w:t xml:space="preserve"> </w:t>
      </w:r>
      <w:r>
        <w:t xml:space="preserve">2015)</w:t>
      </w:r>
      <w:r>
        <w:t xml:space="preserve">. Since this time,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w:t>
      </w:r>
      <w:r>
        <w:t xml:space="preserve"> </w:t>
      </w:r>
      <w:r>
        <w:rPr>
          <w:i/>
        </w:rPr>
        <w:t xml:space="preserve">et al.</w:t>
      </w:r>
      <w:r>
        <w:t xml:space="preserve"> </w:t>
      </w:r>
      <w:r>
        <w:t xml:space="preserve">2015)</w:t>
      </w:r>
      <w:r>
        <w:t xml:space="preserve">. The change in tree density is underlaid by a shift in size distribution: modern mixed 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w:t>
      </w:r>
      <w:r>
        <w:t xml:space="preserve"> </w:t>
      </w:r>
      <w:r>
        <w:rPr>
          <w:i/>
        </w:rPr>
        <w:t xml:space="preserve">et al.</w:t>
      </w:r>
      <w:r>
        <w:t xml:space="preserve"> </w:t>
      </w:r>
      <w:r>
        <w:t xml:space="preserve">2015)</w:t>
      </w:r>
      <w:r>
        <w:t xml:space="preserve">.</w:t>
      </w:r>
    </w:p>
    <w:p>
      <w:pPr>
        <w:pStyle w:val="BodyText"/>
      </w:pPr>
      <w:r>
        <w:t xml:space="preserve">Mixed conifer forests in the Sierra Nevada burned every 11 years on average for several centuries prior to Euro-American settlement</w:t>
      </w:r>
      <w:r>
        <w:t xml:space="preserve"> </w:t>
      </w:r>
      <w:r>
        <w:t xml:space="preserve">(Steel</w:t>
      </w:r>
      <w:r>
        <w:t xml:space="preserve"> </w:t>
      </w:r>
      <w:r>
        <w:rPr>
          <w:i/>
        </w:rPr>
        <w:t xml:space="preserve">et al.</w:t>
      </w:r>
      <w:r>
        <w:t xml:space="preserve"> </w:t>
      </w:r>
      <w:r>
        <w:t xml:space="preserve">2015)</w:t>
      </w:r>
      <w:r>
        <w:t xml:space="preserve">. These relatively frequent burns prevented the accumulation of fuel on the ground, and limited the intensity of the next fire. This average fire return interval is short compared to the regeneration time of the dominant species, so the fire regime of Sierra Nevada mixed conifer forests in this period is usually classified as a</w:t>
      </w:r>
      <w:r>
        <w:t xml:space="preserve"> </w:t>
      </w:r>
      <w:r>
        <w:t xml:space="preserve">“</w:t>
      </w:r>
      <w:r>
        <w:t xml:space="preserve">high frequency/low-mid severity</w:t>
      </w:r>
      <w:r>
        <w:t xml:space="preserve">”</w:t>
      </w:r>
      <w:r>
        <w:t xml:space="preserve"> </w:t>
      </w:r>
      <w:r>
        <w:t xml:space="preserve">(Steel</w:t>
      </w:r>
      <w:r>
        <w:t xml:space="preserve"> </w:t>
      </w:r>
      <w:r>
        <w:rPr>
          <w:i/>
        </w:rPr>
        <w:t xml:space="preserve">et al.</w:t>
      </w:r>
      <w:r>
        <w:t xml:space="preserve"> </w:t>
      </w:r>
      <w:r>
        <w:t xml:space="preserve">2015)</w:t>
      </w:r>
      <w:r>
        <w:t xml:space="preserve">.</w:t>
      </w:r>
    </w:p>
    <w:p>
      <w:pPr>
        <w:pStyle w:val="Heading2"/>
      </w:pPr>
      <w:bookmarkStart w:id="29" w:name="a-new-approach-to-remotely-sensing-wildfire-severity"/>
      <w:r>
        <w:t xml:space="preserve">A new approach to remotely sensing wildfire severity</w:t>
      </w:r>
      <w:bookmarkEnd w:id="29"/>
    </w:p>
    <w:p>
      <w:pPr>
        <w:pStyle w:val="FirstParagraph"/>
      </w:pPr>
      <w:r>
        <w:t xml:space="preserve">Wildfire severity can be reliably detected remotely by comparing pre- and postfire imagery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sensors generate compatible top-of-atmosphere (TOA) spectral reflectance data suitable for scientific analysis.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cloud-based geographic information system and image hosting platform, for all image collation and processing in order to leverage the centralized availability of the latest processed satellite images and integrated image processing tools for broad-scale analyses</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The base assumption of our new approach to calculating wildfire severity is that each fire’s geographic data and associated attributes are represented by a self-contained</w:t>
      </w:r>
      <w:r>
        <w:t xml:space="preserve"> </w:t>
      </w:r>
      <w:r>
        <w:t xml:space="preserve">“</w:t>
      </w:r>
      <w:r>
        <w:t xml:space="preserve">feature</w:t>
      </w:r>
      <w:r>
        <w:t xml:space="preserve">”</w:t>
      </w:r>
      <w:r>
        <w:t xml:space="preserve">. Many fire datasets (e.g., FRAP, USFS Region 5 Fire Perimeter Data, CBI field plot locations from</w:t>
      </w:r>
      <w:r>
        <w:t xml:space="preserve"> </w:t>
      </w:r>
      <w:r>
        <w:t xml:space="preserve">Zhu</w:t>
      </w:r>
      <w:r>
        <w:t xml:space="preserve"> </w:t>
      </w:r>
      <w:r>
        <w:rPr>
          <w:i/>
        </w:rPr>
        <w:t xml:space="preserve">et al.</w:t>
      </w:r>
      <w:r>
        <w:t xml:space="preserve"> </w:t>
      </w:r>
      <w:r>
        <w:t xml:space="preserve">(2006)</w:t>
      </w:r>
      <w:r>
        <w:t xml:space="preserve"> </w:t>
      </w:r>
      <w:r>
        <w:t xml:space="preserve">and</w:t>
      </w:r>
      <w:r>
        <w:t xml:space="preserve"> </w:t>
      </w:r>
      <w:r>
        <w:t xml:space="preserve">Sikkink</w:t>
      </w:r>
      <w:r>
        <w:t xml:space="preserve"> </w:t>
      </w:r>
      <w:r>
        <w:rPr>
          <w:i/>
        </w:rPr>
        <w:t xml:space="preserve">et al.</w:t>
      </w:r>
      <w:r>
        <w:t xml:space="preserve"> </w:t>
      </w:r>
      <w:r>
        <w:t xml:space="preserve">(2013)</w:t>
      </w:r>
      <w:r>
        <w:t xml:space="preserve">) already meet this criteria. In order to achieve a programmatic, automatic assessment of wildfire severity, severity-calculating algorithms must be able to use only the information within each feature. Time efficiencies and data compatibility benefits are attained when those algorithms are applied across an entire feature collection, performing their operation on each feature in turn. At a minimum, our algorithm requires that each feature contain some geographic information (e.g., a fire perimeter or a CBI plot location) and a fire start date (i.e., an</w:t>
      </w:r>
      <w:r>
        <w:t xml:space="preserve"> </w:t>
      </w:r>
      <w:r>
        <w:t xml:space="preserve">“</w:t>
      </w:r>
      <w:r>
        <w:t xml:space="preserve">alarm date</w:t>
      </w:r>
      <w:r>
        <w:t xml:space="preserve">”</w:t>
      </w:r>
      <w:r>
        <w:t xml:space="preserve">).</w:t>
      </w:r>
    </w:p>
    <w:p>
      <w:pPr>
        <w:pStyle w:val="Heading3"/>
      </w:pPr>
      <w:bookmarkStart w:id="30" w:name="fetching-and-processing-pre--and-postfire-imagery"/>
      <w:r>
        <w:t xml:space="preserve">Fetching and processing pre- and postfire imagery</w:t>
      </w:r>
      <w:bookmarkEnd w:id="30"/>
    </w:p>
    <w:p>
      <w:pPr>
        <w:pStyle w:val="FirstParagraph"/>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 2).</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 1;</w:t>
      </w:r>
      <w:r>
        <w:t xml:space="preserve"> </w:t>
      </w:r>
      <w:r>
        <w:t xml:space="preserve">Rouse</w:t>
      </w:r>
      <w:r>
        <w:t xml:space="preserve"> </w:t>
      </w:r>
      <w:r>
        <w:rPr>
          <w:i/>
        </w:rPr>
        <w:t xml:space="preserve">et al.</w:t>
      </w:r>
      <w:r>
        <w:t xml:space="preserve"> </w:t>
      </w:r>
      <w:r>
        <w:t xml:space="preserve">(1973)</w:t>
      </w:r>
      <w:r>
        <w:t xml:space="preserve">), normalized difference moisture index (NDMI; Eq. 2;</w:t>
      </w:r>
      <w:r>
        <w:t xml:space="preserve"> </w:t>
      </w:r>
      <w:r>
        <w:t xml:space="preserve">Gao (1996)</w:t>
      </w:r>
      <w:r>
        <w:t xml:space="preserve">), normalized burn ratio (NBR; Eq. 3;</w:t>
      </w:r>
      <w:r>
        <w:t xml:space="preserve"> </w:t>
      </w:r>
      <w:r>
        <w:t xml:space="preserve">Key &amp; Benson (2006)</w:t>
      </w:r>
      <w:r>
        <w:t xml:space="preserve">;</w:t>
      </w:r>
      <w:r>
        <w:t xml:space="preserve"> </w:t>
      </w:r>
      <w:r>
        <w:t xml:space="preserve">USGS (2017a)</w:t>
      </w:r>
      <w:r>
        <w:t xml:space="preserve">;</w:t>
      </w:r>
      <w:r>
        <w:t xml:space="preserve"> </w:t>
      </w:r>
      <w:r>
        <w:t xml:space="preserve">USGS (2017b)</w:t>
      </w:r>
      <w:r>
        <w:t xml:space="preserve">), and normalized burn ratio version 2 (NBR2; Eq. 4;</w:t>
      </w:r>
      <w:r>
        <w:t xml:space="preserve"> </w:t>
      </w:r>
      <w:r>
        <w:t xml:space="preserve">USGS (2017a)</w:t>
      </w:r>
      <w:r>
        <w:t xml:space="preserve">;</w:t>
      </w:r>
      <w:r>
        <w:t xml:space="preserve"> </w:t>
      </w:r>
      <w:r>
        <w:t xml:space="preserve">USGS (2017b)</w:t>
      </w:r>
      <w:r>
        <w:t xml:space="preserve">;</w:t>
      </w:r>
      <w:r>
        <w:t xml:space="preserve"> </w:t>
      </w:r>
      <w:r>
        <w:t xml:space="preserve">Hawbaker</w:t>
      </w:r>
      <w:r>
        <w:t xml:space="preserve"> </w:t>
      </w:r>
      <w:r>
        <w:rPr>
          <w:i/>
        </w:rPr>
        <w:t xml:space="preserve">et al.</w:t>
      </w:r>
      <w:r>
        <w:t xml:space="preserve"> </w:t>
      </w:r>
      <w:r>
        <w:t xml:space="preserve">(2017)</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summarized each prefire image collection into a single prefire image using a median reducer, which calculated the median of the unmasked values on a per-pixel basis across the stack of images in the prefire collection. We similarly summarized the postfire image collection into a single postfire image.</w:t>
      </w:r>
    </w:p>
    <w:p>
      <w:pPr>
        <w:pStyle w:val="Heading3"/>
      </w:pPr>
      <w:bookmarkStart w:id="32" w:name="calculating-wildfire-severity"/>
      <w:r>
        <w:t xml:space="preserve">Calculating wildfire severity</w:t>
      </w:r>
      <w:bookmarkEnd w:id="32"/>
    </w:p>
    <w:p>
      <w:pPr>
        <w:pStyle w:val="FirstParagraph"/>
      </w:pPr>
      <w:r>
        <w:t xml:space="preserve">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 5).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 </w:t>
      </w:r>
      <w:r>
        <w:t xml:space="preserve">using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Example algorithm outputs are shown in Fig. 3.</w:t>
      </w:r>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4" w:name="calibrating-remotely-sensed-wildfire-severity-with-field-measured-wildfire-severity"/>
      <w:r>
        <w:t xml:space="preserve">Calibrating remotely-sensed wildfire severity with field-measured wildfire severity</w:t>
      </w:r>
      <w:bookmarkEnd w:id="34"/>
    </w:p>
    <w:p>
      <w:pPr>
        <w:pStyle w:val="CaptionedFigure"/>
      </w:pPr>
      <w:r>
        <w:drawing>
          <wp:inline>
            <wp:extent cx="3810000" cy="2540000"/>
            <wp:effectExtent b="0" l="0" r="0" t="0"/>
            <wp:docPr descr="Location of CBI plots in the Sierra Nevada mountain range of California " title="" id="1" name="Picture"/>
            <a:graphic>
              <a:graphicData uri="http://schemas.openxmlformats.org/drawingml/2006/picture">
                <pic:pic>
                  <pic:nvPicPr>
                    <pic:cNvPr descr="../figures/cbi-extent.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Location of CBI plots in the Sierra Nevada mountain range of California</w:t>
      </w:r>
      <w:r>
        <w:t xml:space="preserve"> </w:t>
      </w:r>
    </w:p>
    <w:p>
      <w:pPr>
        <w:pStyle w:val="BodyText"/>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 4). The Composite Burn Index (CBI) is a metric of change in vegetation across several vertical strata</w:t>
      </w:r>
      <w:r>
        <w:t xml:space="preserve"> </w:t>
      </w:r>
      <w:r>
        <w:t xml:space="preserve">(Key &amp; Benson 2006)</w:t>
      </w:r>
      <w:r>
        <w:t xml:space="preserve"> </w:t>
      </w:r>
      <w:r>
        <w:t xml:space="preserve">and has a long history of use in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Prichard &amp; Kennedy 2014)</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fit a non-linear model to each remotely-sensed severity metric of the following form:</w:t>
      </w:r>
    </w:p>
    <w:p>
      <w:pPr>
        <w:pStyle w:val="Compact"/>
        <w:numPr>
          <w:numId w:val="1005"/>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8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 </w:t>
      </w:r>
      <w:r>
        <w:t xml:space="preserve">and</w:t>
      </w:r>
      <w:r>
        <w:t xml:space="preserve"> </w:t>
      </w:r>
      <w:r>
        <w:t xml:space="preserve">Parks</w:t>
      </w:r>
      <w:r>
        <w:t xml:space="preserve"> </w:t>
      </w:r>
      <w:r>
        <w:rPr>
          <w:i/>
        </w:rPr>
        <w:t xml:space="preserve">et al.</w:t>
      </w:r>
      <w:r>
        <w:t xml:space="preserve"> </w:t>
      </w:r>
      <w:r>
        <w:t xml:space="preserve">(2014)</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9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 We used the Relative Burn Ratio (RBR) calculated using bicubic interpolation within a 48-day window as our response variable for analyses of vegetation heterogeneity, as it showed the best correspondence to field severity data measured as average R</w:t>
      </w:r>
      <w:r>
        <w:rPr>
          <w:vertAlign w:val="superscript"/>
        </w:rPr>
        <w:t xml:space="preserve">2</w:t>
      </w:r>
      <w:r>
        <w:t xml:space="preserve"> </w:t>
      </w:r>
      <w:r>
        <w:t xml:space="preserve">across the five folds.</w:t>
      </w:r>
    </w:p>
    <w:p>
      <w:pPr>
        <w:pStyle w:val="Heading2"/>
      </w:pPr>
      <w:bookmarkStart w:id="36" w:name="remote-sensing-other-conditions"/>
      <w:r>
        <w:t xml:space="preserve">Remote sensing other conditions</w:t>
      </w:r>
      <w:bookmarkEnd w:id="36"/>
    </w:p>
    <w:p>
      <w:pPr>
        <w:pStyle w:val="Heading3"/>
      </w:pPr>
      <w:bookmarkStart w:id="37" w:name="heterogeneity-of-vegetation"/>
      <w:r>
        <w:t xml:space="preserve">Heterogeneity of vegetation</w:t>
      </w:r>
      <w:bookmarkEnd w:id="37"/>
    </w:p>
    <w:p>
      <w:pPr>
        <w:pStyle w:val="FirstParagraph"/>
      </w:pPr>
      <w:r>
        <w:t xml:space="preserve">We used texture analysis to calculate a first order, remotely-sensed measure of forest heterogeneity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heterogeneity for each pixel as the standard deviation of the NDVI values of its neighbors (not including itself) (See Fig. 5).</w:t>
      </w:r>
    </w:p>
    <w:p>
      <w:pPr>
        <w:pStyle w:val="CaptionedFigure"/>
      </w:pPr>
      <w:r>
        <w:drawing>
          <wp:inline>
            <wp:extent cx="3810000" cy="2540000"/>
            <wp:effectExtent b="0" l="0" r="0" t="0"/>
            <wp:docPr descr="Example of homogenous forest (top row) and heterogenous forest (bottom row) with the same mean NDVI values (~0.6). Each column represents heterogene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heterogeneity measured using a different neighborhood size.</w:t>
      </w:r>
      <w:r>
        <w:t xml:space="preserve"> </w:t>
      </w:r>
    </w:p>
    <w:p>
      <w:pPr>
        <w:pStyle w:val="Heading3"/>
      </w:pPr>
      <w:bookmarkStart w:id="39" w:name="topographic-conditions"/>
      <w:r>
        <w:t xml:space="preserve">Topographic conditions</w:t>
      </w:r>
      <w:bookmarkEnd w:id="39"/>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vegetation heterogeneity (approximately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(Eq. 9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Compact"/>
        <w:numPr>
          <w:numId w:val="1006"/>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40" w:name="fire-weather-conditions"/>
      <w:r>
        <w:t xml:space="preserve">Fire weather conditions</w:t>
      </w:r>
      <w:bookmarkEnd w:id="40"/>
    </w:p>
    <w:p>
      <w:pPr>
        <w:pStyle w:val="FirstParagraph"/>
      </w:pPr>
      <w:r>
        <w:t xml:space="preserve">The 100-hour fuel moisture data were sourced from the Gridmet product</w:t>
      </w:r>
      <w:r>
        <w:t xml:space="preserve"> </w:t>
      </w:r>
      <w:r>
        <w:t xml:space="preserve">(Abatzoglou 2013)</w:t>
      </w:r>
      <w:r>
        <w:t xml:space="preserve"> </w:t>
      </w:r>
      <w:r>
        <w:t xml:space="preserve">and were calculated as the median 100-hour fuel moisture for the 3 days prior to the fire. We included a boolean variable for extreme values of 100-hour fuel moisture if they were lower than 7.7%, since these values fall below the 20</w:t>
      </w:r>
      <w:r>
        <w:rPr>
          <w:vertAlign w:val="superscript"/>
        </w:rPr>
        <w:t xml:space="preserve">th</w:t>
      </w:r>
      <w:r>
        <w:t xml:space="preserve"> </w:t>
      </w:r>
      <w:r>
        <w:t xml:space="preserve">percentile of 100-hour fuel moisture for the Sierra Nevada region</w:t>
      </w:r>
      <w:r>
        <w:t xml:space="preserve"> </w:t>
      </w:r>
      <w:r>
        <w:t xml:space="preserve">(Stephens</w:t>
      </w:r>
      <w:r>
        <w:t xml:space="preserve"> </w:t>
      </w:r>
      <w:r>
        <w:rPr>
          <w:i/>
        </w:rPr>
        <w:t xml:space="preserve">et al.</w:t>
      </w:r>
      <w:r>
        <w:t xml:space="preserve"> </w:t>
      </w:r>
      <w:r>
        <w:t xml:space="preserve">2013)</w:t>
      </w:r>
      <w:r>
        <w:t xml:space="preserve">.</w:t>
      </w:r>
    </w:p>
    <w:p>
      <w:pPr>
        <w:pStyle w:val="Heading2"/>
      </w:pPr>
      <w:bookmarkStart w:id="41" w:name="modeling-the-effect-of-heterogeneity-on-severity"/>
      <w:r>
        <w:t xml:space="preserve">Modeling the effect of heterogeneity on severity</w:t>
      </w:r>
      <w:bookmarkEnd w:id="41"/>
    </w:p>
    <w:p>
      <w:pPr>
        <w:pStyle w:val="FirstParagraph"/>
      </w:pPr>
      <w:r>
        <w:t xml:space="preserve">We scaled all continuous predictor variables (keeping the boolean variable representing whether the fire weather was extreme or not unscaled), and treated each individual fire as having a random intercept effect using the mixed effects logistic regression model described in Eq. 10.</w:t>
      </w:r>
    </w:p>
    <w:p>
      <w:pPr>
        <w:pStyle w:val="Compact"/>
        <w:numPr>
          <w:numId w:val="1007"/>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heterogeneity</m:t>
                        </m:r>
                      </m:sub>
                    </m:sSub>
                    <m:r>
                      <m:t>*</m:t>
                    </m:r>
                    <m:sSub>
                      <m:e>
                        <m:r>
                          <m:rPr>
                            <m:sty m:val="p"/>
                          </m:rPr>
                          <m:t>heterogeneity</m:t>
                        </m:r>
                      </m:e>
                      <m:sub>
                        <m:r>
                          <m:t>i</m:t>
                        </m:r>
                      </m:sub>
                    </m:sSub>
                    <m:r>
                      <m:t>+</m:t>
                    </m:r>
                  </m:e>
                </m:mr>
                <m:mr>
                  <m:e/>
                  <m:e>
                    <m:sSub>
                      <m:e>
                        <m:r>
                          <m:t>β</m:t>
                        </m:r>
                      </m:e>
                      <m:sub>
                        <m:r>
                          <m:rPr>
                            <m:sty m:val="p"/>
                          </m:rPr>
                          <m:t>extreme_fm100</m:t>
                        </m:r>
                      </m:sub>
                    </m:sSub>
                    <m:r>
                      <m:t>*</m:t>
                    </m:r>
                    <m:sSub>
                      <m:e>
                        <m:r>
                          <m:rPr>
                            <m:sty m:val="p"/>
                          </m:rPr>
                          <m:t>extreme_fm100</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heterogeneity*extreme_fm100</m:t>
                        </m:r>
                      </m:sub>
                    </m:sSub>
                    <m:r>
                      <m:t>*</m:t>
                    </m:r>
                    <m:sSub>
                      <m:e>
                        <m:r>
                          <m:rPr>
                            <m:sty m:val="p"/>
                          </m:rPr>
                          <m:t>heterogeneity</m:t>
                        </m:r>
                      </m:e>
                      <m:sub>
                        <m:r>
                          <m:t>i</m:t>
                        </m:r>
                      </m:sub>
                    </m:sSub>
                    <m:r>
                      <m:t>*</m:t>
                    </m:r>
                    <m:sSub>
                      <m:e>
                        <m:r>
                          <m:rPr>
                            <m:sty m:val="p"/>
                          </m:rPr>
                          <m:t>extreme_fm100</m:t>
                        </m:r>
                      </m:e>
                      <m:sub>
                        <m:r>
                          <m:t>i</m:t>
                        </m:r>
                      </m:sub>
                    </m:sSub>
                    <m:r>
                      <m:t>+</m:t>
                    </m:r>
                  </m:e>
                </m:mr>
                <m:mr>
                  <m:e/>
                  <m:e>
                    <m:sSub>
                      <m:e>
                        <m:r>
                          <m:t>β</m:t>
                        </m:r>
                      </m:e>
                      <m:sub>
                        <m:r>
                          <m:rPr>
                            <m:sty m:val="p"/>
                          </m:rPr>
                          <m:t>heterogeneity*fm100</m:t>
                        </m:r>
                      </m:sub>
                    </m:sSub>
                    <m:r>
                      <m:t>*</m:t>
                    </m:r>
                    <m:sSub>
                      <m:e>
                        <m:r>
                          <m:rPr>
                            <m:sty m:val="p"/>
                          </m:rPr>
                          <m:t>heterogeneity</m:t>
                        </m:r>
                      </m:e>
                      <m:sub>
                        <m:r>
                          <m:t>i</m:t>
                        </m:r>
                      </m:sub>
                    </m:sSub>
                    <m:r>
                      <m:t>*</m:t>
                    </m:r>
                    <m:sSub>
                      <m:e>
                        <m:r>
                          <m:rPr>
                            <m:sty m:val="p"/>
                          </m:rPr>
                          <m:t>fm100</m:t>
                        </m:r>
                      </m:e>
                      <m:sub>
                        <m:r>
                          <m:t>i</m:t>
                        </m:r>
                      </m:sub>
                    </m:sSub>
                    <m:r>
                      <m:t>+</m:t>
                    </m:r>
                  </m:e>
                </m:mr>
                <m:mr>
                  <m:e/>
                  <m:e>
                    <m:sSub>
                      <m:e>
                        <m:r>
                          <m:t>β</m:t>
                        </m:r>
                      </m:e>
                      <m:sub>
                        <m:r>
                          <m:rPr>
                            <m:sty m:val="p"/>
                          </m:rPr>
                          <m:t>extreme_fm100*fm100</m:t>
                        </m:r>
                      </m:sub>
                    </m:sSub>
                    <m:r>
                      <m:t>*</m:t>
                    </m:r>
                    <m:sSub>
                      <m:e>
                        <m:r>
                          <m:rPr>
                            <m:sty m:val="p"/>
                          </m:rPr>
                          <m:t>extreme_fm100</m:t>
                        </m:r>
                      </m:e>
                      <m:sub>
                        <m:r>
                          <m:t>i</m:t>
                        </m:r>
                      </m:sub>
                    </m:sSub>
                    <m:r>
                      <m:t>*</m:t>
                    </m:r>
                    <m:sSub>
                      <m:e>
                        <m:r>
                          <m:rPr>
                            <m:sty m:val="p"/>
                          </m:rPr>
                          <m:t>fm100</m:t>
                        </m:r>
                      </m:e>
                      <m:sub>
                        <m:r>
                          <m:t>i</m:t>
                        </m:r>
                      </m:sub>
                    </m:sSub>
                    <m:r>
                      <m:t>+</m:t>
                    </m:r>
                  </m:e>
                </m:mr>
                <m:mr>
                  <m:e/>
                  <m:e>
                    <m:sSub>
                      <m:e>
                        <m:r>
                          <m:t>β</m:t>
                        </m:r>
                      </m:e>
                      <m:sub>
                        <m:r>
                          <m:rPr>
                            <m:sty m:val="p"/>
                          </m:rPr>
                          <m:t>heterogeneity*extreme_fm100*fm100</m:t>
                        </m:r>
                      </m:sub>
                    </m:sSub>
                    <m:r>
                      <m:t>*</m:t>
                    </m:r>
                    <m:sSub>
                      <m:e>
                        <m:r>
                          <m:rPr>
                            <m:sty m:val="p"/>
                          </m:rPr>
                          <m:t>heterogeneity</m:t>
                        </m:r>
                      </m:e>
                      <m:sub>
                        <m:r>
                          <m:t>i</m:t>
                        </m:r>
                      </m:sub>
                    </m:sSub>
                    <m:r>
                      <m:t>*</m:t>
                    </m:r>
                    <m:sSub>
                      <m:e>
                        <m:r>
                          <m:rPr>
                            <m:sty m:val="p"/>
                          </m:rPr>
                          <m:t>extreme_fm100</m:t>
                        </m:r>
                      </m:e>
                      <m:sub>
                        <m:r>
                          <m:t>i</m:t>
                        </m:r>
                      </m:sub>
                    </m:sSub>
                    <m:r>
                      <m:t>*</m:t>
                    </m:r>
                    <m:sSub>
                      <m:e>
                        <m:r>
                          <m:rPr>
                            <m:sty m:val="p"/>
                          </m:rPr>
                          <m:t>fm100</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FirstParagraph"/>
      </w:pPr>
      <w:r>
        <w:t xml:space="preserve">Each neighborhood size (90x90m, 150x150m, 210x210m, and 270x270m) was substituted in turn for the heterogeneity of NDVI, neighborhood mean NDVI, and terrain ruggedness covariates to generate a candidate set of 4 models.</w:t>
      </w:r>
    </w:p>
    <w:p>
      <w:pPr>
        <w:pStyle w:val="BodyText"/>
      </w:pPr>
      <w:r>
        <w:t xml:space="preserve">To assess the effect of heterogeneity of forest structure on the probability of a high-severity wildfire, we contrasted two different combinations of the</w:t>
      </w:r>
      <w:r>
        <w:t xml:space="preserve"> </w:t>
      </w:r>
      <m:oMath>
        <m:r>
          <m:t>β</m:t>
        </m:r>
      </m:oMath>
      <w:r>
        <w:t xml:space="preserve"> </w:t>
      </w:r>
      <w:r>
        <w:t xml:space="preserve">coefficients: 1) a combination that corresponded to the effect of a one standard deviation increase in heterogeneity for a forested area in non-extreme fuel moisture conditions (</w:t>
      </w:r>
      <m:oMath>
        <m:r>
          <m:rPr>
            <m:sty m:val="p"/>
          </m:rPr>
          <m:t>extreme_fm100</m:t>
        </m:r>
        <m:r>
          <m:t>=</m:t>
        </m:r>
      </m:oMath>
      <w:r>
        <w:t xml:space="preserve"> </w:t>
      </w:r>
      <w:r>
        <w:t xml:space="preserve">0) with an average prefire NDVI (scaled</w:t>
      </w:r>
      <w:r>
        <w:t xml:space="preserve"> </w:t>
      </w:r>
      <m:oMath>
        <m:r>
          <m:rPr>
            <m:sty m:val="p"/>
          </m:rPr>
          <m:t>prefire_ndvi</m:t>
        </m:r>
        <m:r>
          <m:t>=</m:t>
        </m:r>
      </m:oMath>
      <w:r>
        <w:t xml:space="preserve"> </w:t>
      </w:r>
      <w:r>
        <w:t xml:space="preserve">0), potential annual heat load (scaled</w:t>
      </w:r>
      <w:r>
        <w:t xml:space="preserve"> </w:t>
      </w:r>
      <m:oMath>
        <m:r>
          <m:rPr>
            <m:sty m:val="p"/>
          </m:rPr>
          <m:t>pahl</m:t>
        </m:r>
        <m:r>
          <m:t>=</m:t>
        </m:r>
      </m:oMath>
      <w:r>
        <w:t xml:space="preserve"> </w:t>
      </w:r>
      <w:r>
        <w:t xml:space="preserve">0), and topographic roughness (scaled</w:t>
      </w:r>
      <w:r>
        <w:t xml:space="preserve"> </w:t>
      </w:r>
      <m:oMath>
        <m:r>
          <m:rPr>
            <m:sty m:val="p"/>
          </m:rPr>
          <m:t>topographic_roughness</m:t>
        </m:r>
        <m:r>
          <m:t>=</m:t>
        </m:r>
      </m:oMath>
      <w:r>
        <w:t xml:space="preserve"> </w:t>
      </w:r>
      <w:r>
        <w:t xml:space="preserve">0), as well as an average 100-hour fuel moisture for non-extreme fuel moisture conditions (scaled</w:t>
      </w:r>
      <w:r>
        <w:t xml:space="preserve"> </w:t>
      </w:r>
      <m:oMath>
        <m:r>
          <m:rPr>
            <m:sty m:val="p"/>
          </m:rPr>
          <m:t>fm100</m:t>
        </m:r>
        <m:r>
          <m:t>=</m:t>
        </m:r>
      </m:oMath>
      <w:r>
        <w:t xml:space="preserve"> </w:t>
      </w:r>
      <w:r>
        <w:t xml:space="preserve">0.888), and 2) a combination that corresponded to the effect of a one standard deviation increase in heterogeneity for a forested area in extreme fuel moisture conditions (</w:t>
      </w:r>
      <m:oMath>
        <m:r>
          <m:rPr>
            <m:sty m:val="p"/>
          </m:rPr>
          <m:t>extreme_fm100</m:t>
        </m:r>
        <m:r>
          <m:t>=</m:t>
        </m:r>
      </m:oMath>
      <w:r>
        <w:t xml:space="preserve"> </w:t>
      </w:r>
      <w:r>
        <w:t xml:space="preserve">1) with an average prefire NDVI (scaled</w:t>
      </w:r>
      <w:r>
        <w:t xml:space="preserve"> </w:t>
      </w:r>
      <m:oMath>
        <m:r>
          <m:rPr>
            <m:sty m:val="p"/>
          </m:rPr>
          <m:t>prefire_ndvi</m:t>
        </m:r>
        <m:r>
          <m:t>=</m:t>
        </m:r>
      </m:oMath>
      <w:r>
        <w:t xml:space="preserve"> </w:t>
      </w:r>
      <w:r>
        <w:t xml:space="preserve">0), potential annual heat load (scaled</w:t>
      </w:r>
      <w:r>
        <w:t xml:space="preserve"> </w:t>
      </w:r>
      <m:oMath>
        <m:r>
          <m:rPr>
            <m:sty m:val="p"/>
          </m:rPr>
          <m:t>pahl</m:t>
        </m:r>
        <m:r>
          <m:t>=</m:t>
        </m:r>
      </m:oMath>
      <w:r>
        <w:t xml:space="preserve"> </w:t>
      </w:r>
      <w:r>
        <w:t xml:space="preserve">0), and topographic roughness (scaled</w:t>
      </w:r>
      <w:r>
        <w:t xml:space="preserve"> </w:t>
      </w:r>
      <m:oMath>
        <m:r>
          <m:rPr>
            <m:sty m:val="p"/>
          </m:rPr>
          <m:t>topographic_roughness</m:t>
        </m:r>
        <m:r>
          <m:t>=</m:t>
        </m:r>
      </m:oMath>
      <w:r>
        <w:t xml:space="preserve"> </w:t>
      </w:r>
      <w:r>
        <w:t xml:space="preserve">0), as well as an average 100-hour fuel moisture for extreme fuel moisture conditions (scaled</w:t>
      </w:r>
      <w:r>
        <w:t xml:space="preserve"> </w:t>
      </w:r>
      <m:oMath>
        <m:r>
          <m:rPr>
            <m:sty m:val="p"/>
          </m:rPr>
          <m:t>fm100</m:t>
        </m:r>
        <m:r>
          <m:t>=</m:t>
        </m:r>
      </m:oMath>
      <w:r>
        <w:t xml:space="preserve"> </w:t>
      </w:r>
      <w:r>
        <w:t xml:space="preserve">-0.588).</w:t>
      </w:r>
    </w:p>
    <w:p>
      <w:pPr>
        <w:pStyle w:val="Heading2"/>
      </w:pPr>
      <w:bookmarkStart w:id="42" w:name="statistical-software-and-data-availability"/>
      <w:r>
        <w:t xml:space="preserve">Statistical software and data availability</w:t>
      </w:r>
      <w:bookmarkEnd w:id="42"/>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w:t>
      </w:r>
      <w:r>
        <w:t xml:space="preserve"> </w:t>
      </w:r>
      <w:r>
        <w:t xml:space="preserve">(Bürkner 2017)</w:t>
      </w:r>
      <w:r>
        <w:t xml:space="preserve">. We used a No U-Turn Sampler (NUTS) with 4 chains and 2000 samples per chain. Chain convergence was assessed for each estimated parameter by ensuring Rhat values were less than or equal to 1.01.</w:t>
      </w:r>
    </w:p>
    <w:p>
      <w:pPr>
        <w:pStyle w:val="BodyText"/>
      </w:pPr>
      <w:r>
        <w:t xml:space="preserve">Data are available via the Open Science Framework.</w:t>
      </w:r>
    </w:p>
    <w:p>
      <w:pPr>
        <w:pStyle w:val="Heading1"/>
      </w:pPr>
      <w:bookmarkStart w:id="43" w:name="results"/>
      <w:r>
        <w:t xml:space="preserve">Results</w:t>
      </w:r>
      <w:bookmarkEnd w:id="43"/>
    </w:p>
    <w:p>
      <w:pPr>
        <w:pStyle w:val="Heading2"/>
      </w:pPr>
      <w:bookmarkStart w:id="44" w:name="a-new-approach-to-remotely-sensing-wildfire-severity-1"/>
      <w:r>
        <w:t xml:space="preserve">A new approach to remotely sensing wildfire severity</w:t>
      </w:r>
      <w:bookmarkEnd w:id="44"/>
    </w:p>
    <w:p>
      <w:pPr>
        <w:pStyle w:val="CaptionedFigure"/>
      </w:pPr>
      <w:r>
        <w:drawing>
          <wp:inline>
            <wp:extent cx="3810000" cy="2540000"/>
            <wp:effectExtent b="0" l="0" r="0" t="0"/>
            <wp:docPr descr="Calibration of three remotely-sensed severity metrics using new automated image collation algorithm to 208 field measures of severity."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Calibration of three remotely-sensed severity metrics using new automated image collation algorithm to 208 field measures of severity.</w:t>
      </w:r>
    </w:p>
    <w:p>
      <w:pPr>
        <w:pStyle w:val="BodyText"/>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w:t>
      </w:r>
      <w:r>
        <w:t xml:space="preserve"> </w:t>
      </w:r>
      <m:oMath>
        <m:sSup>
          <m:e>
            <m:r>
              <m:t>R</m:t>
            </m:r>
          </m:e>
          <m:sup>
            <m:r>
              <m:t>2</m:t>
            </m:r>
          </m:sup>
        </m:sSup>
        <m:r>
          <m:t>=</m:t>
        </m:r>
      </m:oMath>
      <w:r>
        <w:t xml:space="preserve"> </w:t>
      </w:r>
      <w:r>
        <w:t xml:space="preserve">0.82; Tab. 1). Our method to calculate remotely sensed severity using automated Landsat image fetching performs as well or better than most other reported methods that use hand-curation of Landsat imagery</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(Tab. 1). The top three models are depicted in Fig. 6.</w:t>
      </w:r>
    </w:p>
    <w:p>
      <w:pPr>
        <w:pStyle w:val="TableCaption"/>
      </w:pPr>
      <w:r>
        <w:t xml:space="preserve">Comparison of models used to validate and calibrate remotely sensed wildfire severity with ground based composite burn index (CBI) severity sorted in descending order by the</w:t>
      </w:r>
      <w:r>
        <w:t xml:space="preserve"> </w:t>
      </w:r>
      <m:oMath>
        <m:sSup>
          <m:e>
            <m:r>
              <m:t>R</m:t>
            </m:r>
          </m:e>
          <m:sup>
            <m:r>
              <m:t>2</m:t>
            </m:r>
          </m:sup>
        </m:sSup>
      </m:oMath>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w:r>
        <w:t xml:space="preserve">,</w:t>
      </w:r>
      <w:r>
        <w:t xml:space="preserve"> </w:t>
      </w:r>
      <w:r>
        <w:t xml:space="preserve">, and</w:t>
      </w:r>
      <w:r>
        <w:t xml:space="preserve"> </w:t>
      </w:r>
      <w:r>
        <w:t xml:space="preserve">) from the nonlinear model fit described in Eq.</w:t>
      </w:r>
      <w:r>
        <w:t xml:space="preserve"> </w:t>
      </w:r>
      <w:r>
        <w:t xml:space="preserve"> </w:t>
      </w:r>
      <w:r>
        <w:t xml:space="preserve">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
        <w:tblW w:type="pct" w:w="0.0"/>
        <w:tblLook w:firstRow="1"/>
        <w:tblCaption w:val="Comparison of models used to validate and calibrate remotely sensed wildfire severity with ground 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 , and ) from the nonlinear model fit described in Eq.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p>
        </w:tc>
        <w:tc>
          <w:tcPr>
            <w:tcBorders>
              <w:bottom w:val="single"/>
            </w:tcBorders>
            <w:vAlign w:val="bottom"/>
          </w:tcPr>
          <w:p>
            <w:pPr>
              <w:pStyle w:val="Compact"/>
              <w:jc w:val="right"/>
            </w:pPr>
          </w:p>
        </w:tc>
        <w:tc>
          <w:tcPr>
            <w:tcBorders>
              <w:bottom w:val="single"/>
            </w:tcBorders>
            <w:vAlign w:val="bottom"/>
          </w:tcPr>
          <w:p>
            <w:pPr>
              <w:pStyle w:val="Compact"/>
              <w:jc w:val="left"/>
            </w:pPr>
            <w:r>
              <w:t xml:space="preserve">Interpolation</w:t>
            </w: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mod</w:t>
            </w:r>
          </w:p>
        </w:tc>
        <w:tc>
          <w:tcPr>
            <w:tcBorders>
              <w:bottom w:val="single"/>
            </w:tcBorders>
            <w:vAlign w:val="bottom"/>
          </w:tcPr>
          <w:p>
            <w:pPr>
              <w:pStyle w:val="Compact"/>
              <w:jc w:val="right"/>
            </w:pPr>
            <w:r>
              <w:t xml:space="preserve">high</w:t>
            </w:r>
          </w:p>
        </w:tc>
      </w:tr>
      <w:tr>
        <w:tc>
          <w:p>
            <w:pPr>
              <w:pStyle w:val="Compact"/>
              <w:jc w:val="right"/>
            </w:pPr>
            <w:r>
              <w:t xml:space="preserve">1</w:t>
            </w:r>
          </w:p>
        </w:tc>
        <w:tc>
          <w:p>
            <w:pPr>
              <w:pStyle w:val="Compact"/>
              <w:jc w:val="left"/>
            </w:pPr>
            <w:r>
              <w:t xml:space="preserve">RBR</w:t>
            </w:r>
          </w:p>
        </w:tc>
        <w:tc>
          <w:p>
            <w:pPr>
              <w:pStyle w:val="Compact"/>
              <w:jc w:val="right"/>
            </w:pPr>
            <w:r>
              <w:t xml:space="preserve">48</w:t>
            </w:r>
          </w:p>
        </w:tc>
        <w:tc>
          <w:p>
            <w:pPr>
              <w:pStyle w:val="Compact"/>
              <w:jc w:val="left"/>
            </w:pPr>
            <w:r>
              <w:t xml:space="preserve">bicubic</w:t>
            </w:r>
          </w:p>
        </w:tc>
        <w:tc>
          <w:p>
            <w:pPr>
              <w:pStyle w:val="Compact"/>
              <w:jc w:val="right"/>
            </w:pPr>
            <w:r>
              <w:t xml:space="preserve">0.820</w:t>
            </w:r>
          </w:p>
        </w:tc>
        <w:tc>
          <w:p>
            <w:pPr>
              <w:pStyle w:val="Compact"/>
              <w:jc w:val="right"/>
            </w:pPr>
            <w:r>
              <w:t xml:space="preserve">0.014</w:t>
            </w:r>
          </w:p>
        </w:tc>
        <w:tc>
          <w:p>
            <w:pPr>
              <w:pStyle w:val="Compact"/>
              <w:jc w:val="right"/>
            </w:pPr>
            <w:r>
              <w:t xml:space="preserve">0.028</w:t>
            </w:r>
          </w:p>
        </w:tc>
        <w:tc>
          <w:p>
            <w:pPr>
              <w:pStyle w:val="Compact"/>
              <w:jc w:val="right"/>
            </w:pPr>
            <w:r>
              <w:t xml:space="preserve">1.001</w:t>
            </w:r>
          </w:p>
        </w:tc>
        <w:tc>
          <w:p>
            <w:pPr>
              <w:pStyle w:val="Compact"/>
              <w:jc w:val="right"/>
            </w:pPr>
            <w:r>
              <w:t xml:space="preserve">0.045</w:t>
            </w:r>
          </w:p>
        </w:tc>
        <w:tc>
          <w:p>
            <w:pPr>
              <w:pStyle w:val="Compact"/>
              <w:jc w:val="right"/>
            </w:pPr>
            <w:r>
              <w:t xml:space="preserve">0.113</w:t>
            </w:r>
          </w:p>
        </w:tc>
        <w:tc>
          <w:p>
            <w:pPr>
              <w:pStyle w:val="Compact"/>
              <w:jc w:val="right"/>
            </w:pPr>
            <w:r>
              <w:t xml:space="preserve">0.282</w:t>
            </w:r>
          </w:p>
        </w:tc>
      </w:tr>
      <w:tr>
        <w:tc>
          <w:p>
            <w:pPr>
              <w:pStyle w:val="Compact"/>
              <w:jc w:val="right"/>
            </w:pPr>
            <w:r>
              <w:t xml:space="preserve">2</w:t>
            </w:r>
          </w:p>
        </w:tc>
        <w:tc>
          <w:p>
            <w:pPr>
              <w:pStyle w:val="Compact"/>
              <w:jc w:val="left"/>
            </w:pPr>
            <w:r>
              <w:t xml:space="preserve">RdNBR</w:t>
            </w:r>
          </w:p>
        </w:tc>
        <w:tc>
          <w:p>
            <w:pPr>
              <w:pStyle w:val="Compact"/>
              <w:jc w:val="right"/>
            </w:pPr>
            <w:r>
              <w:t xml:space="preserve">32</w:t>
            </w:r>
          </w:p>
        </w:tc>
        <w:tc>
          <w:p>
            <w:pPr>
              <w:pStyle w:val="Compact"/>
              <w:jc w:val="left"/>
            </w:pPr>
            <w:r>
              <w:t xml:space="preserve">bilinear</w:t>
            </w:r>
          </w:p>
        </w:tc>
        <w:tc>
          <w:p>
            <w:pPr>
              <w:pStyle w:val="Compact"/>
              <w:jc w:val="right"/>
            </w:pPr>
            <w:r>
              <w:t xml:space="preserve">0.813</w:t>
            </w:r>
          </w:p>
        </w:tc>
        <w:tc>
          <w:p>
            <w:pPr>
              <w:pStyle w:val="Compact"/>
              <w:jc w:val="right"/>
            </w:pPr>
            <w:r>
              <w:t xml:space="preserve">-0.483</w:t>
            </w:r>
          </w:p>
        </w:tc>
        <w:tc>
          <w:p>
            <w:pPr>
              <w:pStyle w:val="Compact"/>
              <w:jc w:val="right"/>
            </w:pPr>
            <w:r>
              <w:t xml:space="preserve">3.061</w:t>
            </w:r>
          </w:p>
        </w:tc>
        <w:tc>
          <w:p>
            <w:pPr>
              <w:pStyle w:val="Compact"/>
              <w:jc w:val="right"/>
            </w:pPr>
            <w:r>
              <w:t xml:space="preserve">0.857</w:t>
            </w:r>
          </w:p>
        </w:tc>
        <w:tc>
          <w:p>
            <w:pPr>
              <w:pStyle w:val="Compact"/>
              <w:jc w:val="right"/>
            </w:pPr>
            <w:r>
              <w:t xml:space="preserve">2.852</w:t>
            </w:r>
          </w:p>
        </w:tc>
        <w:tc>
          <w:p>
            <w:pPr>
              <w:pStyle w:val="Compact"/>
              <w:jc w:val="right"/>
            </w:pPr>
            <w:r>
              <w:t xml:space="preserve">8.450</w:t>
            </w:r>
          </w:p>
        </w:tc>
        <w:tc>
          <w:p>
            <w:pPr>
              <w:pStyle w:val="Compact"/>
              <w:jc w:val="right"/>
            </w:pPr>
            <w:r>
              <w:t xml:space="preserve">20.559</w:t>
            </w:r>
          </w:p>
        </w:tc>
      </w:tr>
      <w:tr>
        <w:tc>
          <w:p>
            <w:pPr>
              <w:pStyle w:val="Compact"/>
              <w:jc w:val="right"/>
            </w:pPr>
            <w:r>
              <w:t xml:space="preserve">3</w:t>
            </w:r>
          </w:p>
        </w:tc>
        <w:tc>
          <w:p>
            <w:pPr>
              <w:pStyle w:val="Compact"/>
              <w:jc w:val="left"/>
            </w:pPr>
            <w:r>
              <w:t xml:space="preserve">RdNDVI</w:t>
            </w:r>
          </w:p>
        </w:tc>
        <w:tc>
          <w:p>
            <w:pPr>
              <w:pStyle w:val="Compact"/>
              <w:jc w:val="right"/>
            </w:pPr>
            <w:r>
              <w:t xml:space="preserve">48</w:t>
            </w:r>
          </w:p>
        </w:tc>
        <w:tc>
          <w:p>
            <w:pPr>
              <w:pStyle w:val="Compact"/>
              <w:jc w:val="left"/>
            </w:pPr>
            <w:r>
              <w:t xml:space="preserve">bilinear</w:t>
            </w:r>
          </w:p>
        </w:tc>
        <w:tc>
          <w:p>
            <w:pPr>
              <w:pStyle w:val="Compact"/>
              <w:jc w:val="right"/>
            </w:pPr>
            <w:r>
              <w:t xml:space="preserve">0.809</w:t>
            </w:r>
          </w:p>
        </w:tc>
        <w:tc>
          <w:p>
            <w:pPr>
              <w:pStyle w:val="Compact"/>
              <w:jc w:val="right"/>
            </w:pPr>
            <w:r>
              <w:t xml:space="preserve">-2.144</w:t>
            </w:r>
          </w:p>
        </w:tc>
        <w:tc>
          <w:p>
            <w:pPr>
              <w:pStyle w:val="Compact"/>
              <w:jc w:val="right"/>
            </w:pPr>
            <w:r>
              <w:t xml:space="preserve">3.273</w:t>
            </w:r>
          </w:p>
        </w:tc>
        <w:tc>
          <w:p>
            <w:pPr>
              <w:pStyle w:val="Compact"/>
              <w:jc w:val="right"/>
            </w:pPr>
            <w:r>
              <w:t xml:space="preserve">0.609</w:t>
            </w:r>
          </w:p>
        </w:tc>
        <w:tc>
          <w:p>
            <w:pPr>
              <w:pStyle w:val="Compact"/>
              <w:jc w:val="right"/>
            </w:pPr>
            <w:r>
              <w:t xml:space="preserve">1.335</w:t>
            </w:r>
          </w:p>
        </w:tc>
        <w:tc>
          <w:p>
            <w:pPr>
              <w:pStyle w:val="Compact"/>
              <w:jc w:val="right"/>
            </w:pPr>
            <w:r>
              <w:t xml:space="preserve">4.867</w:t>
            </w:r>
          </w:p>
        </w:tc>
        <w:tc>
          <w:p>
            <w:pPr>
              <w:pStyle w:val="Compact"/>
              <w:jc w:val="right"/>
            </w:pPr>
            <w:r>
              <w:t xml:space="preserve">10.753</w:t>
            </w:r>
          </w:p>
        </w:tc>
      </w:tr>
      <w:tr>
        <w:tc>
          <w:p>
            <w:pPr>
              <w:pStyle w:val="Compact"/>
              <w:jc w:val="right"/>
            </w:pPr>
            <w:r>
              <w:t xml:space="preserve">4</w:t>
            </w:r>
          </w:p>
        </w:tc>
        <w:tc>
          <w:p>
            <w:pPr>
              <w:pStyle w:val="Compact"/>
              <w:jc w:val="left"/>
            </w:pPr>
            <w:r>
              <w:t xml:space="preserve">RBR</w:t>
            </w:r>
          </w:p>
        </w:tc>
        <w:tc>
          <w:p>
            <w:pPr>
              <w:pStyle w:val="Compact"/>
              <w:jc w:val="right"/>
            </w:pPr>
            <w:r>
              <w:t xml:space="preserve">32</w:t>
            </w:r>
          </w:p>
        </w:tc>
        <w:tc>
          <w:p>
            <w:pPr>
              <w:pStyle w:val="Compact"/>
              <w:jc w:val="left"/>
            </w:pPr>
            <w:r>
              <w:t xml:space="preserve">bilinear</w:t>
            </w:r>
          </w:p>
        </w:tc>
        <w:tc>
          <w:p>
            <w:pPr>
              <w:pStyle w:val="Compact"/>
              <w:jc w:val="right"/>
            </w:pPr>
            <w:r>
              <w:t xml:space="preserve">0.807</w:t>
            </w:r>
          </w:p>
        </w:tc>
        <w:tc>
          <w:p>
            <w:pPr>
              <w:pStyle w:val="Compact"/>
              <w:jc w:val="right"/>
            </w:pPr>
            <w:r>
              <w:t xml:space="preserve">0.014</w:t>
            </w:r>
          </w:p>
        </w:tc>
        <w:tc>
          <w:p>
            <w:pPr>
              <w:pStyle w:val="Compact"/>
              <w:jc w:val="right"/>
            </w:pPr>
            <w:r>
              <w:t xml:space="preserve">0.029</w:t>
            </w:r>
          </w:p>
        </w:tc>
        <w:tc>
          <w:p>
            <w:pPr>
              <w:pStyle w:val="Compact"/>
              <w:jc w:val="right"/>
            </w:pPr>
            <w:r>
              <w:t xml:space="preserve">0.985</w:t>
            </w:r>
          </w:p>
        </w:tc>
        <w:tc>
          <w:p>
            <w:pPr>
              <w:pStyle w:val="Compact"/>
              <w:jc w:val="right"/>
            </w:pPr>
            <w:r>
              <w:t xml:space="preserve">0.046</w:t>
            </w:r>
          </w:p>
        </w:tc>
        <w:tc>
          <w:p>
            <w:pPr>
              <w:pStyle w:val="Compact"/>
              <w:jc w:val="right"/>
            </w:pPr>
            <w:r>
              <w:t xml:space="preserve">0.113</w:t>
            </w:r>
          </w:p>
        </w:tc>
        <w:tc>
          <w:p>
            <w:pPr>
              <w:pStyle w:val="Compact"/>
              <w:jc w:val="right"/>
            </w:pPr>
            <w:r>
              <w:t xml:space="preserve">0.280</w:t>
            </w:r>
          </w:p>
        </w:tc>
      </w:tr>
      <w:tr>
        <w:tc>
          <w:p>
            <w:pPr>
              <w:pStyle w:val="Compact"/>
              <w:jc w:val="right"/>
            </w:pPr>
            <w:r>
              <w:t xml:space="preserve">5</w:t>
            </w:r>
          </w:p>
        </w:tc>
        <w:tc>
          <w:p>
            <w:pPr>
              <w:pStyle w:val="Compact"/>
              <w:jc w:val="left"/>
            </w:pPr>
            <w:r>
              <w:t xml:space="preserve">RdNDVI</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-2.524</w:t>
            </w:r>
          </w:p>
        </w:tc>
        <w:tc>
          <w:p>
            <w:pPr>
              <w:pStyle w:val="Compact"/>
              <w:jc w:val="right"/>
            </w:pPr>
            <w:r>
              <w:t xml:space="preserve">3.570</w:t>
            </w:r>
          </w:p>
        </w:tc>
        <w:tc>
          <w:p>
            <w:pPr>
              <w:pStyle w:val="Compact"/>
              <w:jc w:val="right"/>
            </w:pPr>
            <w:r>
              <w:t xml:space="preserve">0.590</w:t>
            </w:r>
          </w:p>
        </w:tc>
        <w:tc>
          <w:p>
            <w:pPr>
              <w:pStyle w:val="Compact"/>
              <w:jc w:val="right"/>
            </w:pPr>
            <w:r>
              <w:t xml:space="preserve">1.263</w:t>
            </w:r>
          </w:p>
        </w:tc>
        <w:tc>
          <w:p>
            <w:pPr>
              <w:pStyle w:val="Compact"/>
              <w:jc w:val="right"/>
            </w:pPr>
            <w:r>
              <w:t xml:space="preserve">4.936</w:t>
            </w:r>
          </w:p>
        </w:tc>
        <w:tc>
          <w:p>
            <w:pPr>
              <w:pStyle w:val="Compact"/>
              <w:jc w:val="right"/>
            </w:pPr>
            <w:r>
              <w:t xml:space="preserve">10.929</w:t>
            </w:r>
          </w:p>
        </w:tc>
      </w:tr>
      <w:tr>
        <w:tc>
          <w:p>
            <w:pPr>
              <w:pStyle w:val="Compact"/>
              <w:jc w:val="right"/>
            </w:pPr>
            <w:r>
              <w:t xml:space="preserve">6</w:t>
            </w:r>
          </w:p>
        </w:tc>
        <w:tc>
          <w:p>
            <w:pPr>
              <w:pStyle w:val="Compact"/>
              <w:jc w:val="left"/>
            </w:pPr>
            <w:r>
              <w:t xml:space="preserve">RBR</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0.016</w:t>
            </w:r>
          </w:p>
        </w:tc>
        <w:tc>
          <w:p>
            <w:pPr>
              <w:pStyle w:val="Compact"/>
              <w:jc w:val="right"/>
            </w:pPr>
            <w:r>
              <w:t xml:space="preserve">0.027</w:t>
            </w:r>
          </w:p>
        </w:tc>
        <w:tc>
          <w:p>
            <w:pPr>
              <w:pStyle w:val="Compact"/>
              <w:jc w:val="right"/>
            </w:pPr>
            <w:r>
              <w:t xml:space="preserve">1.010</w:t>
            </w:r>
          </w:p>
        </w:tc>
        <w:tc>
          <w:p>
            <w:pPr>
              <w:pStyle w:val="Compact"/>
              <w:jc w:val="right"/>
            </w:pPr>
            <w:r>
              <w:t xml:space="preserve">0.046</w:t>
            </w:r>
          </w:p>
        </w:tc>
        <w:tc>
          <w:p>
            <w:pPr>
              <w:pStyle w:val="Compact"/>
              <w:jc w:val="right"/>
            </w:pPr>
            <w:r>
              <w:t xml:space="preserve">0.113</w:t>
            </w:r>
          </w:p>
        </w:tc>
        <w:tc>
          <w:p>
            <w:pPr>
              <w:pStyle w:val="Compact"/>
              <w:jc w:val="right"/>
            </w:pPr>
            <w:r>
              <w:t xml:space="preserve">0.283</w:t>
            </w:r>
          </w:p>
        </w:tc>
      </w:tr>
      <w:tr>
        <w:tc>
          <w:p>
            <w:pPr>
              <w:pStyle w:val="Compact"/>
              <w:jc w:val="right"/>
            </w:pPr>
            <w:r>
              <w:t xml:space="preserve">7</w:t>
            </w:r>
          </w:p>
        </w:tc>
        <w:tc>
          <w:p>
            <w:pPr>
              <w:pStyle w:val="Compact"/>
              <w:jc w:val="left"/>
            </w:pPr>
            <w:r>
              <w:t xml:space="preserve">RdNDVI</w:t>
            </w:r>
          </w:p>
        </w:tc>
        <w:tc>
          <w:p>
            <w:pPr>
              <w:pStyle w:val="Compact"/>
              <w:jc w:val="right"/>
            </w:pPr>
            <w:r>
              <w:t xml:space="preserve">32</w:t>
            </w:r>
          </w:p>
        </w:tc>
        <w:tc>
          <w:p>
            <w:pPr>
              <w:pStyle w:val="Compact"/>
              <w:jc w:val="left"/>
            </w:pPr>
            <w:r>
              <w:t xml:space="preserve">bicubic</w:t>
            </w:r>
          </w:p>
        </w:tc>
        <w:tc>
          <w:p>
            <w:pPr>
              <w:pStyle w:val="Compact"/>
              <w:jc w:val="right"/>
            </w:pPr>
            <w:r>
              <w:t xml:space="preserve">0.803</w:t>
            </w:r>
          </w:p>
        </w:tc>
        <w:tc>
          <w:p>
            <w:pPr>
              <w:pStyle w:val="Compact"/>
              <w:jc w:val="right"/>
            </w:pPr>
            <w:r>
              <w:t xml:space="preserve">-2.737</w:t>
            </w:r>
          </w:p>
        </w:tc>
        <w:tc>
          <w:p>
            <w:pPr>
              <w:pStyle w:val="Compact"/>
              <w:jc w:val="right"/>
            </w:pPr>
            <w:r>
              <w:t xml:space="preserve">3.308</w:t>
            </w:r>
          </w:p>
        </w:tc>
        <w:tc>
          <w:p>
            <w:pPr>
              <w:pStyle w:val="Compact"/>
              <w:jc w:val="right"/>
            </w:pPr>
            <w:r>
              <w:t xml:space="preserve">0.619</w:t>
            </w:r>
          </w:p>
        </w:tc>
        <w:tc>
          <w:p>
            <w:pPr>
              <w:pStyle w:val="Compact"/>
              <w:jc w:val="right"/>
            </w:pPr>
            <w:r>
              <w:t xml:space="preserve">0.782</w:t>
            </w:r>
          </w:p>
        </w:tc>
        <w:tc>
          <w:p>
            <w:pPr>
              <w:pStyle w:val="Compact"/>
              <w:jc w:val="right"/>
            </w:pPr>
            <w:r>
              <w:t xml:space="preserve">4.436</w:t>
            </w:r>
          </w:p>
        </w:tc>
        <w:tc>
          <w:p>
            <w:pPr>
              <w:pStyle w:val="Compact"/>
              <w:jc w:val="right"/>
            </w:pPr>
            <w:r>
              <w:t xml:space="preserve">10.586</w:t>
            </w:r>
          </w:p>
        </w:tc>
      </w:tr>
      <w:tr>
        <w:tc>
          <w:p>
            <w:pPr>
              <w:pStyle w:val="Compact"/>
              <w:jc w:val="right"/>
            </w:pPr>
            <w:r>
              <w:t xml:space="preserve">8</w:t>
            </w:r>
          </w:p>
        </w:tc>
        <w:tc>
          <w:p>
            <w:pPr>
              <w:pStyle w:val="Compact"/>
              <w:jc w:val="left"/>
            </w:pPr>
            <w:r>
              <w:t xml:space="preserve">RBR</w:t>
            </w:r>
          </w:p>
        </w:tc>
        <w:tc>
          <w:p>
            <w:pPr>
              <w:pStyle w:val="Compact"/>
              <w:jc w:val="right"/>
            </w:pPr>
            <w:r>
              <w:t xml:space="preserve">64</w:t>
            </w:r>
          </w:p>
        </w:tc>
        <w:tc>
          <w:p>
            <w:pPr>
              <w:pStyle w:val="Compact"/>
              <w:jc w:val="left"/>
            </w:pPr>
            <w:r>
              <w:t xml:space="preserve">bilinear</w:t>
            </w:r>
          </w:p>
        </w:tc>
        <w:tc>
          <w:p>
            <w:pPr>
              <w:pStyle w:val="Compact"/>
              <w:jc w:val="right"/>
            </w:pPr>
            <w:r>
              <w:t xml:space="preserve">0.802</w:t>
            </w:r>
          </w:p>
        </w:tc>
        <w:tc>
          <w:p>
            <w:pPr>
              <w:pStyle w:val="Compact"/>
              <w:jc w:val="right"/>
            </w:pPr>
            <w:r>
              <w:t xml:space="preserve">0.017</w:t>
            </w:r>
          </w:p>
        </w:tc>
        <w:tc>
          <w:p>
            <w:pPr>
              <w:pStyle w:val="Compact"/>
              <w:jc w:val="right"/>
            </w:pPr>
            <w:r>
              <w:t xml:space="preserve">0.027</w:t>
            </w:r>
          </w:p>
        </w:tc>
        <w:tc>
          <w:p>
            <w:pPr>
              <w:pStyle w:val="Compact"/>
              <w:jc w:val="right"/>
            </w:pPr>
            <w:r>
              <w:t xml:space="preserve">1.003</w:t>
            </w:r>
          </w:p>
        </w:tc>
        <w:tc>
          <w:p>
            <w:pPr>
              <w:pStyle w:val="Compact"/>
              <w:jc w:val="right"/>
            </w:pPr>
            <w:r>
              <w:t xml:space="preserve">0.047</w:t>
            </w:r>
          </w:p>
        </w:tc>
        <w:tc>
          <w:p>
            <w:pPr>
              <w:pStyle w:val="Compact"/>
              <w:jc w:val="right"/>
            </w:pPr>
            <w:r>
              <w:t xml:space="preserve">0.113</w:t>
            </w:r>
          </w:p>
        </w:tc>
        <w:tc>
          <w:p>
            <w:pPr>
              <w:pStyle w:val="Compact"/>
              <w:jc w:val="right"/>
            </w:pPr>
            <w:r>
              <w:t xml:space="preserve">0.279</w:t>
            </w:r>
          </w:p>
        </w:tc>
      </w:tr>
      <w:tr>
        <w:tc>
          <w:p>
            <w:pPr>
              <w:pStyle w:val="Compact"/>
              <w:jc w:val="right"/>
            </w:pPr>
            <w:r>
              <w:t xml:space="preserve">9</w:t>
            </w:r>
          </w:p>
        </w:tc>
        <w:tc>
          <w:p>
            <w:pPr>
              <w:pStyle w:val="Compact"/>
              <w:jc w:val="left"/>
            </w:pPr>
            <w:r>
              <w:t xml:space="preserve">RdNDVI</w:t>
            </w:r>
          </w:p>
        </w:tc>
        <w:tc>
          <w:p>
            <w:pPr>
              <w:pStyle w:val="Compact"/>
              <w:jc w:val="right"/>
            </w:pPr>
            <w:r>
              <w:t xml:space="preserve">32</w:t>
            </w:r>
          </w:p>
        </w:tc>
        <w:tc>
          <w:p>
            <w:pPr>
              <w:pStyle w:val="Compact"/>
              <w:jc w:val="left"/>
            </w:pPr>
            <w:r>
              <w:t xml:space="preserve">bilinear</w:t>
            </w:r>
          </w:p>
        </w:tc>
        <w:tc>
          <w:p>
            <w:pPr>
              <w:pStyle w:val="Compact"/>
              <w:jc w:val="right"/>
            </w:pPr>
            <w:r>
              <w:t xml:space="preserve">0.801</w:t>
            </w:r>
          </w:p>
        </w:tc>
        <w:tc>
          <w:p>
            <w:pPr>
              <w:pStyle w:val="Compact"/>
              <w:jc w:val="right"/>
            </w:pPr>
            <w:r>
              <w:t xml:space="preserve">-2.531</w:t>
            </w:r>
          </w:p>
        </w:tc>
        <w:tc>
          <w:p>
            <w:pPr>
              <w:pStyle w:val="Compact"/>
              <w:jc w:val="right"/>
            </w:pPr>
            <w:r>
              <w:t xml:space="preserve">3.176</w:t>
            </w:r>
          </w:p>
        </w:tc>
        <w:tc>
          <w:p>
            <w:pPr>
              <w:pStyle w:val="Compact"/>
              <w:jc w:val="right"/>
            </w:pPr>
            <w:r>
              <w:t xml:space="preserve">0.624</w:t>
            </w:r>
          </w:p>
        </w:tc>
        <w:tc>
          <w:p>
            <w:pPr>
              <w:pStyle w:val="Compact"/>
              <w:jc w:val="right"/>
            </w:pPr>
            <w:r>
              <w:t xml:space="preserve">0.849</w:t>
            </w:r>
          </w:p>
        </w:tc>
        <w:tc>
          <w:p>
            <w:pPr>
              <w:pStyle w:val="Compact"/>
              <w:jc w:val="right"/>
            </w:pPr>
            <w:r>
              <w:t xml:space="preserve">4.393</w:t>
            </w:r>
          </w:p>
        </w:tc>
        <w:tc>
          <w:p>
            <w:pPr>
              <w:pStyle w:val="Compact"/>
              <w:jc w:val="right"/>
            </w:pPr>
            <w:r>
              <w:t xml:space="preserve">10.387</w:t>
            </w:r>
          </w:p>
        </w:tc>
      </w:tr>
      <w:tr>
        <w:tc>
          <w:p>
            <w:pPr>
              <w:pStyle w:val="Compact"/>
              <w:jc w:val="right"/>
            </w:pPr>
            <w:r>
              <w:t xml:space="preserve">10</w:t>
            </w:r>
          </w:p>
        </w:tc>
        <w:tc>
          <w:p>
            <w:pPr>
              <w:pStyle w:val="Compact"/>
              <w:jc w:val="left"/>
            </w:pPr>
            <w:r>
              <w:t xml:space="preserve">RdNDVI</w:t>
            </w:r>
          </w:p>
        </w:tc>
        <w:tc>
          <w:p>
            <w:pPr>
              <w:pStyle w:val="Compact"/>
              <w:jc w:val="right"/>
            </w:pPr>
            <w:r>
              <w:t xml:space="preserve">48</w:t>
            </w:r>
          </w:p>
        </w:tc>
        <w:tc>
          <w:p>
            <w:pPr>
              <w:pStyle w:val="Compact"/>
              <w:jc w:val="left"/>
            </w:pPr>
            <w:r>
              <w:t xml:space="preserve">bicubic</w:t>
            </w:r>
          </w:p>
        </w:tc>
        <w:tc>
          <w:p>
            <w:pPr>
              <w:pStyle w:val="Compact"/>
              <w:jc w:val="right"/>
            </w:pPr>
            <w:r>
              <w:t xml:space="preserve">0.797</w:t>
            </w:r>
          </w:p>
        </w:tc>
        <w:tc>
          <w:p>
            <w:pPr>
              <w:pStyle w:val="Compact"/>
              <w:jc w:val="right"/>
            </w:pPr>
            <w:r>
              <w:t xml:space="preserve">-2.623</w:t>
            </w:r>
          </w:p>
        </w:tc>
        <w:tc>
          <w:p>
            <w:pPr>
              <w:pStyle w:val="Compact"/>
              <w:jc w:val="right"/>
            </w:pPr>
            <w:r>
              <w:t xml:space="preserve">3.624</w:t>
            </w:r>
          </w:p>
        </w:tc>
        <w:tc>
          <w:p>
            <w:pPr>
              <w:pStyle w:val="Compact"/>
              <w:jc w:val="right"/>
            </w:pPr>
            <w:r>
              <w:t xml:space="preserve">0.587</w:t>
            </w:r>
          </w:p>
        </w:tc>
        <w:tc>
          <w:p>
            <w:pPr>
              <w:pStyle w:val="Compact"/>
              <w:jc w:val="right"/>
            </w:pPr>
            <w:r>
              <w:t xml:space="preserve">1.220</w:t>
            </w:r>
          </w:p>
        </w:tc>
        <w:tc>
          <w:p>
            <w:pPr>
              <w:pStyle w:val="Compact"/>
              <w:jc w:val="right"/>
            </w:pPr>
            <w:r>
              <w:t xml:space="preserve">4.922</w:t>
            </w:r>
          </w:p>
        </w:tc>
        <w:tc>
          <w:p>
            <w:pPr>
              <w:pStyle w:val="Compact"/>
              <w:jc w:val="right"/>
            </w:pPr>
            <w:r>
              <w:t xml:space="preserve">10.943</w:t>
            </w:r>
          </w:p>
        </w:tc>
      </w:tr>
      <w:tr>
        <w:tc>
          <w:p>
            <w:pPr>
              <w:pStyle w:val="Compact"/>
              <w:jc w:val="right"/>
            </w:pPr>
            <w:r>
              <w:t xml:space="preserve">11</w:t>
            </w:r>
          </w:p>
        </w:tc>
        <w:tc>
          <w:p>
            <w:pPr>
              <w:pStyle w:val="Compact"/>
              <w:jc w:val="left"/>
            </w:pPr>
            <w:r>
              <w:t xml:space="preserve">RdNDVI</w:t>
            </w:r>
          </w:p>
        </w:tc>
        <w:tc>
          <w:p>
            <w:pPr>
              <w:pStyle w:val="Compact"/>
              <w:jc w:val="right"/>
            </w:pPr>
            <w:r>
              <w:t xml:space="preserve">64</w:t>
            </w:r>
          </w:p>
        </w:tc>
        <w:tc>
          <w:p>
            <w:pPr>
              <w:pStyle w:val="Compact"/>
              <w:jc w:val="left"/>
            </w:pPr>
            <w:r>
              <w:t xml:space="preserve">bilinear</w:t>
            </w:r>
          </w:p>
        </w:tc>
        <w:tc>
          <w:p>
            <w:pPr>
              <w:pStyle w:val="Compact"/>
              <w:jc w:val="right"/>
            </w:pPr>
            <w:r>
              <w:t xml:space="preserve">0.796</w:t>
            </w:r>
          </w:p>
        </w:tc>
        <w:tc>
          <w:p>
            <w:pPr>
              <w:pStyle w:val="Compact"/>
              <w:jc w:val="right"/>
            </w:pPr>
            <w:r>
              <w:t xml:space="preserve">-2.140</w:t>
            </w:r>
          </w:p>
        </w:tc>
        <w:tc>
          <w:p>
            <w:pPr>
              <w:pStyle w:val="Compact"/>
              <w:jc w:val="right"/>
            </w:pPr>
            <w:r>
              <w:t xml:space="preserve">3.287</w:t>
            </w:r>
          </w:p>
        </w:tc>
        <w:tc>
          <w:p>
            <w:pPr>
              <w:pStyle w:val="Compact"/>
              <w:jc w:val="right"/>
            </w:pPr>
            <w:r>
              <w:t xml:space="preserve">0.607</w:t>
            </w:r>
          </w:p>
        </w:tc>
        <w:tc>
          <w:p>
            <w:pPr>
              <w:pStyle w:val="Compact"/>
              <w:jc w:val="right"/>
            </w:pPr>
            <w:r>
              <w:t xml:space="preserve">1.353</w:t>
            </w:r>
          </w:p>
        </w:tc>
        <w:tc>
          <w:p>
            <w:pPr>
              <w:pStyle w:val="Compact"/>
              <w:jc w:val="right"/>
            </w:pPr>
            <w:r>
              <w:t xml:space="preserve">4.876</w:t>
            </w:r>
          </w:p>
        </w:tc>
        <w:tc>
          <w:p>
            <w:pPr>
              <w:pStyle w:val="Compact"/>
              <w:jc w:val="right"/>
            </w:pPr>
            <w:r>
              <w:t xml:space="preserve">10.728</w:t>
            </w:r>
          </w:p>
        </w:tc>
      </w:tr>
      <w:tr>
        <w:tc>
          <w:p>
            <w:pPr>
              <w:pStyle w:val="Compact"/>
              <w:jc w:val="right"/>
            </w:pPr>
            <w:r>
              <w:t xml:space="preserve">12</w:t>
            </w:r>
          </w:p>
        </w:tc>
        <w:tc>
          <w:p>
            <w:pPr>
              <w:pStyle w:val="Compact"/>
              <w:jc w:val="left"/>
            </w:pPr>
            <w:r>
              <w:t xml:space="preserve">RdNBR</w:t>
            </w:r>
          </w:p>
        </w:tc>
        <w:tc>
          <w:p>
            <w:pPr>
              <w:pStyle w:val="Compact"/>
              <w:jc w:val="right"/>
            </w:pPr>
            <w:r>
              <w:t xml:space="preserve">64</w:t>
            </w:r>
          </w:p>
        </w:tc>
        <w:tc>
          <w:p>
            <w:pPr>
              <w:pStyle w:val="Compact"/>
              <w:jc w:val="left"/>
            </w:pPr>
            <w:r>
              <w:t xml:space="preserve">bilinear</w:t>
            </w:r>
          </w:p>
        </w:tc>
        <w:tc>
          <w:p>
            <w:pPr>
              <w:pStyle w:val="Compact"/>
              <w:jc w:val="right"/>
            </w:pPr>
            <w:r>
              <w:t xml:space="preserve">0.792</w:t>
            </w:r>
          </w:p>
        </w:tc>
        <w:tc>
          <w:p>
            <w:pPr>
              <w:pStyle w:val="Compact"/>
              <w:jc w:val="right"/>
            </w:pPr>
            <w:r>
              <w:t xml:space="preserve">-0.420</w:t>
            </w:r>
          </w:p>
        </w:tc>
        <w:tc>
          <w:p>
            <w:pPr>
              <w:pStyle w:val="Compact"/>
              <w:jc w:val="right"/>
            </w:pPr>
            <w:r>
              <w:t xml:space="preserve">3.031</w:t>
            </w:r>
          </w:p>
        </w:tc>
        <w:tc>
          <w:p>
            <w:pPr>
              <w:pStyle w:val="Compact"/>
              <w:jc w:val="right"/>
            </w:pPr>
            <w:r>
              <w:t xml:space="preserve">0.862</w:t>
            </w:r>
          </w:p>
        </w:tc>
        <w:tc>
          <w:p>
            <w:pPr>
              <w:pStyle w:val="Compact"/>
              <w:jc w:val="right"/>
            </w:pPr>
            <w:r>
              <w:t xml:space="preserve">2.884</w:t>
            </w:r>
          </w:p>
        </w:tc>
        <w:tc>
          <w:p>
            <w:pPr>
              <w:pStyle w:val="Compact"/>
              <w:jc w:val="right"/>
            </w:pPr>
            <w:r>
              <w:t xml:space="preserve">8.483</w:t>
            </w:r>
          </w:p>
        </w:tc>
        <w:tc>
          <w:p>
            <w:pPr>
              <w:pStyle w:val="Compact"/>
              <w:jc w:val="right"/>
            </w:pPr>
            <w:r>
              <w:t xml:space="preserve">20.663</w:t>
            </w:r>
          </w:p>
        </w:tc>
      </w:tr>
      <w:tr>
        <w:tc>
          <w:p>
            <w:pPr>
              <w:pStyle w:val="Compact"/>
              <w:jc w:val="right"/>
            </w:pPr>
            <w:r>
              <w:t xml:space="preserve">13</w:t>
            </w:r>
          </w:p>
        </w:tc>
        <w:tc>
          <w:p>
            <w:pPr>
              <w:pStyle w:val="Compact"/>
              <w:jc w:val="left"/>
            </w:pPr>
            <w:r>
              <w:t xml:space="preserve">RBR</w:t>
            </w:r>
          </w:p>
        </w:tc>
        <w:tc>
          <w:p>
            <w:pPr>
              <w:pStyle w:val="Compact"/>
              <w:jc w:val="right"/>
            </w:pPr>
            <w:r>
              <w:t xml:space="preserve">48</w:t>
            </w:r>
          </w:p>
        </w:tc>
        <w:tc>
          <w:p>
            <w:pPr>
              <w:pStyle w:val="Compact"/>
              <w:jc w:val="left"/>
            </w:pPr>
            <w:r>
              <w:t xml:space="preserve">bilinear</w:t>
            </w:r>
          </w:p>
        </w:tc>
        <w:tc>
          <w:p>
            <w:pPr>
              <w:pStyle w:val="Compact"/>
              <w:jc w:val="right"/>
            </w:pPr>
            <w:r>
              <w:t xml:space="preserve">0.791</w:t>
            </w:r>
          </w:p>
        </w:tc>
        <w:tc>
          <w:p>
            <w:pPr>
              <w:pStyle w:val="Compact"/>
              <w:jc w:val="right"/>
            </w:pPr>
            <w:r>
              <w:t xml:space="preserve">0.017</w:t>
            </w:r>
          </w:p>
        </w:tc>
        <w:tc>
          <w:p>
            <w:pPr>
              <w:pStyle w:val="Compact"/>
              <w:jc w:val="right"/>
            </w:pPr>
            <w:r>
              <w:t xml:space="preserve">0.027</w:t>
            </w:r>
          </w:p>
        </w:tc>
        <w:tc>
          <w:p>
            <w:pPr>
              <w:pStyle w:val="Compact"/>
              <w:jc w:val="right"/>
            </w:pPr>
            <w:r>
              <w:t xml:space="preserve">1.006</w:t>
            </w:r>
          </w:p>
        </w:tc>
        <w:tc>
          <w:p>
            <w:pPr>
              <w:pStyle w:val="Compact"/>
              <w:jc w:val="right"/>
            </w:pPr>
            <w:r>
              <w:t xml:space="preserve">0.047</w:t>
            </w:r>
          </w:p>
        </w:tc>
        <w:tc>
          <w:p>
            <w:pPr>
              <w:pStyle w:val="Compact"/>
              <w:jc w:val="right"/>
            </w:pPr>
            <w:r>
              <w:t xml:space="preserve">0.112</w:t>
            </w:r>
          </w:p>
        </w:tc>
        <w:tc>
          <w:p>
            <w:pPr>
              <w:pStyle w:val="Compact"/>
              <w:jc w:val="right"/>
            </w:pPr>
            <w:r>
              <w:t xml:space="preserve">0.277</w:t>
            </w:r>
          </w:p>
        </w:tc>
      </w:tr>
      <w:tr>
        <w:tc>
          <w:p>
            <w:pPr>
              <w:pStyle w:val="Compact"/>
              <w:jc w:val="right"/>
            </w:pPr>
            <w:r>
              <w:t xml:space="preserve">14</w:t>
            </w:r>
          </w:p>
        </w:tc>
        <w:tc>
          <w:p>
            <w:pPr>
              <w:pStyle w:val="Compact"/>
              <w:jc w:val="left"/>
            </w:pPr>
            <w:r>
              <w:t xml:space="preserve">RBR</w:t>
            </w:r>
          </w:p>
        </w:tc>
        <w:tc>
          <w:p>
            <w:pPr>
              <w:pStyle w:val="Compact"/>
              <w:jc w:val="right"/>
            </w:pPr>
            <w:r>
              <w:t xml:space="preserve">32</w:t>
            </w:r>
          </w:p>
        </w:tc>
        <w:tc>
          <w:p>
            <w:pPr>
              <w:pStyle w:val="Compact"/>
              <w:jc w:val="left"/>
            </w:pPr>
            <w:r>
              <w:t xml:space="preserve">bicubic</w:t>
            </w:r>
          </w:p>
        </w:tc>
        <w:tc>
          <w:p>
            <w:pPr>
              <w:pStyle w:val="Compact"/>
              <w:jc w:val="right"/>
            </w:pPr>
            <w:r>
              <w:t xml:space="preserve">0.790</w:t>
            </w:r>
          </w:p>
        </w:tc>
        <w:tc>
          <w:p>
            <w:pPr>
              <w:pStyle w:val="Compact"/>
              <w:jc w:val="right"/>
            </w:pPr>
            <w:r>
              <w:t xml:space="preserve">0.013</w:t>
            </w:r>
          </w:p>
        </w:tc>
        <w:tc>
          <w:p>
            <w:pPr>
              <w:pStyle w:val="Compact"/>
              <w:jc w:val="right"/>
            </w:pPr>
            <w:r>
              <w:t xml:space="preserve">0.029</w:t>
            </w:r>
          </w:p>
        </w:tc>
        <w:tc>
          <w:p>
            <w:pPr>
              <w:pStyle w:val="Compact"/>
              <w:jc w:val="right"/>
            </w:pPr>
            <w:r>
              <w:t xml:space="preserve">0.994</w:t>
            </w:r>
          </w:p>
        </w:tc>
        <w:tc>
          <w:p>
            <w:pPr>
              <w:pStyle w:val="Compact"/>
              <w:jc w:val="right"/>
            </w:pPr>
            <w:r>
              <w:t xml:space="preserve">0.045</w:t>
            </w:r>
          </w:p>
        </w:tc>
        <w:tc>
          <w:p>
            <w:pPr>
              <w:pStyle w:val="Compact"/>
              <w:jc w:val="right"/>
            </w:pPr>
            <w:r>
              <w:t xml:space="preserve">0.114</w:t>
            </w:r>
          </w:p>
        </w:tc>
        <w:tc>
          <w:p>
            <w:pPr>
              <w:pStyle w:val="Compact"/>
              <w:jc w:val="right"/>
            </w:pPr>
            <w:r>
              <w:t xml:space="preserve">0.284</w:t>
            </w:r>
          </w:p>
        </w:tc>
      </w:tr>
      <w:tr>
        <w:tc>
          <w:p>
            <w:pPr>
              <w:pStyle w:val="Compact"/>
              <w:jc w:val="right"/>
            </w:pPr>
            <w:r>
              <w:t xml:space="preserve">15</w:t>
            </w:r>
          </w:p>
        </w:tc>
        <w:tc>
          <w:p>
            <w:pPr>
              <w:pStyle w:val="Compact"/>
              <w:jc w:val="left"/>
            </w:pPr>
            <w:r>
              <w:t xml:space="preserve">RdNBR</w:t>
            </w:r>
          </w:p>
        </w:tc>
        <w:tc>
          <w:p>
            <w:pPr>
              <w:pStyle w:val="Compact"/>
              <w:jc w:val="right"/>
            </w:pPr>
            <w:r>
              <w:t xml:space="preserve">48</w:t>
            </w:r>
          </w:p>
        </w:tc>
        <w:tc>
          <w:p>
            <w:pPr>
              <w:pStyle w:val="Compact"/>
              <w:jc w:val="left"/>
            </w:pPr>
            <w:r>
              <w:t xml:space="preserve">bicubic</w:t>
            </w:r>
          </w:p>
        </w:tc>
        <w:tc>
          <w:p>
            <w:pPr>
              <w:pStyle w:val="Compact"/>
              <w:jc w:val="right"/>
            </w:pPr>
            <w:r>
              <w:t xml:space="preserve">0.785</w:t>
            </w:r>
          </w:p>
        </w:tc>
        <w:tc>
          <w:p>
            <w:pPr>
              <w:pStyle w:val="Compact"/>
              <w:jc w:val="right"/>
            </w:pPr>
            <w:r>
              <w:t xml:space="preserve">-0.858</w:t>
            </w:r>
          </w:p>
        </w:tc>
        <w:tc>
          <w:p>
            <w:pPr>
              <w:pStyle w:val="Compact"/>
              <w:jc w:val="right"/>
            </w:pPr>
            <w:r>
              <w:t xml:space="preserve">3.219</w:t>
            </w:r>
          </w:p>
        </w:tc>
        <w:tc>
          <w:p>
            <w:pPr>
              <w:pStyle w:val="Compact"/>
              <w:jc w:val="right"/>
            </w:pPr>
            <w:r>
              <w:t xml:space="preserve">0.852</w:t>
            </w:r>
          </w:p>
        </w:tc>
        <w:tc>
          <w:p>
            <w:pPr>
              <w:pStyle w:val="Compact"/>
              <w:jc w:val="right"/>
            </w:pPr>
            <w:r>
              <w:t xml:space="preserve">2.647</w:t>
            </w:r>
          </w:p>
        </w:tc>
        <w:tc>
          <w:p>
            <w:pPr>
              <w:pStyle w:val="Compact"/>
              <w:jc w:val="right"/>
            </w:pPr>
            <w:r>
              <w:t xml:space="preserve">8.476</w:t>
            </w:r>
          </w:p>
        </w:tc>
        <w:tc>
          <w:p>
            <w:pPr>
              <w:pStyle w:val="Compact"/>
              <w:jc w:val="right"/>
            </w:pPr>
            <w:r>
              <w:t xml:space="preserve">21.021</w:t>
            </w:r>
          </w:p>
        </w:tc>
      </w:tr>
      <w:tr>
        <w:tc>
          <w:p>
            <w:pPr>
              <w:pStyle w:val="Compact"/>
              <w:jc w:val="right"/>
            </w:pPr>
            <w:r>
              <w:t xml:space="preserve">16</w:t>
            </w:r>
          </w:p>
        </w:tc>
        <w:tc>
          <w:p>
            <w:pPr>
              <w:pStyle w:val="Compact"/>
              <w:jc w:val="left"/>
            </w:pPr>
            <w:r>
              <w:t xml:space="preserve">RBR</w:t>
            </w:r>
          </w:p>
        </w:tc>
        <w:tc>
          <w:p>
            <w:pPr>
              <w:pStyle w:val="Compact"/>
              <w:jc w:val="right"/>
            </w:pPr>
            <w:r>
              <w:t xml:space="preserve">16</w:t>
            </w:r>
          </w:p>
        </w:tc>
        <w:tc>
          <w:p>
            <w:pPr>
              <w:pStyle w:val="Compact"/>
              <w:jc w:val="left"/>
            </w:pPr>
            <w:r>
              <w:t xml:space="preserve">bilinear</w:t>
            </w:r>
          </w:p>
        </w:tc>
        <w:tc>
          <w:p>
            <w:pPr>
              <w:pStyle w:val="Compact"/>
              <w:jc w:val="right"/>
            </w:pPr>
            <w:r>
              <w:t xml:space="preserve">0.781</w:t>
            </w:r>
          </w:p>
        </w:tc>
        <w:tc>
          <w:p>
            <w:pPr>
              <w:pStyle w:val="Compact"/>
              <w:jc w:val="right"/>
            </w:pPr>
            <w:r>
              <w:t xml:space="preserve">0.021</w:t>
            </w:r>
          </w:p>
        </w:tc>
        <w:tc>
          <w:p>
            <w:pPr>
              <w:pStyle w:val="Compact"/>
              <w:jc w:val="right"/>
            </w:pPr>
            <w:r>
              <w:t xml:space="preserve">0.026</w:t>
            </w:r>
          </w:p>
        </w:tc>
        <w:tc>
          <w:p>
            <w:pPr>
              <w:pStyle w:val="Compact"/>
              <w:jc w:val="right"/>
            </w:pPr>
            <w:r>
              <w:t xml:space="preserve">1.016</w:t>
            </w:r>
          </w:p>
        </w:tc>
        <w:tc>
          <w:p>
            <w:pPr>
              <w:pStyle w:val="Compact"/>
              <w:jc w:val="right"/>
            </w:pPr>
            <w:r>
              <w:t xml:space="preserve">0.050</w:t>
            </w:r>
          </w:p>
        </w:tc>
        <w:tc>
          <w:p>
            <w:pPr>
              <w:pStyle w:val="Compact"/>
              <w:jc w:val="right"/>
            </w:pPr>
            <w:r>
              <w:t xml:space="preserve">0.114</w:t>
            </w:r>
          </w:p>
        </w:tc>
        <w:tc>
          <w:p>
            <w:pPr>
              <w:pStyle w:val="Compact"/>
              <w:jc w:val="right"/>
            </w:pPr>
            <w:r>
              <w:t xml:space="preserve">0.278</w:t>
            </w:r>
          </w:p>
        </w:tc>
      </w:tr>
      <w:tr>
        <w:tc>
          <w:p>
            <w:pPr>
              <w:pStyle w:val="Compact"/>
              <w:jc w:val="right"/>
            </w:pPr>
            <w:r>
              <w:t xml:space="preserve">17</w:t>
            </w:r>
          </w:p>
        </w:tc>
        <w:tc>
          <w:p>
            <w:pPr>
              <w:pStyle w:val="Compact"/>
              <w:jc w:val="left"/>
            </w:pPr>
            <w:r>
              <w:t xml:space="preserve">RdNBR</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-0.954</w:t>
            </w:r>
          </w:p>
        </w:tc>
        <w:tc>
          <w:p>
            <w:pPr>
              <w:pStyle w:val="Compact"/>
              <w:jc w:val="right"/>
            </w:pPr>
            <w:r>
              <w:t xml:space="preserve">3.340</w:t>
            </w:r>
          </w:p>
        </w:tc>
        <w:tc>
          <w:p>
            <w:pPr>
              <w:pStyle w:val="Compact"/>
              <w:jc w:val="right"/>
            </w:pPr>
            <w:r>
              <w:t xml:space="preserve">0.841</w:t>
            </w:r>
          </w:p>
        </w:tc>
        <w:tc>
          <w:p>
            <w:pPr>
              <w:pStyle w:val="Compact"/>
              <w:jc w:val="right"/>
            </w:pPr>
            <w:r>
              <w:t xml:space="preserve">2.679</w:t>
            </w:r>
          </w:p>
        </w:tc>
        <w:tc>
          <w:p>
            <w:pPr>
              <w:pStyle w:val="Compact"/>
              <w:jc w:val="right"/>
            </w:pPr>
            <w:r>
              <w:t xml:space="preserve">8.602</w:t>
            </w:r>
          </w:p>
        </w:tc>
        <w:tc>
          <w:p>
            <w:pPr>
              <w:pStyle w:val="Compact"/>
              <w:jc w:val="right"/>
            </w:pPr>
            <w:r>
              <w:t xml:space="preserve">21.199</w:t>
            </w:r>
          </w:p>
        </w:tc>
      </w:tr>
      <w:tr>
        <w:tc>
          <w:p>
            <w:pPr>
              <w:pStyle w:val="Compact"/>
              <w:jc w:val="right"/>
            </w:pPr>
            <w:r>
              <w:t xml:space="preserve">18</w:t>
            </w:r>
          </w:p>
        </w:tc>
        <w:tc>
          <w:p>
            <w:pPr>
              <w:pStyle w:val="Compact"/>
              <w:jc w:val="left"/>
            </w:pPr>
            <w:r>
              <w:t xml:space="preserve">dNDVI</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-0.058</w:t>
            </w:r>
          </w:p>
        </w:tc>
        <w:tc>
          <w:p>
            <w:pPr>
              <w:pStyle w:val="Compact"/>
              <w:jc w:val="right"/>
            </w:pPr>
            <w:r>
              <w:t xml:space="preserve">0.073</w:t>
            </w:r>
          </w:p>
        </w:tc>
        <w:tc>
          <w:p>
            <w:pPr>
              <w:pStyle w:val="Compact"/>
              <w:jc w:val="right"/>
            </w:pPr>
            <w:r>
              <w:t xml:space="preserve">0.650</w:t>
            </w:r>
          </w:p>
        </w:tc>
        <w:tc>
          <w:p>
            <w:pPr>
              <w:pStyle w:val="Compact"/>
              <w:jc w:val="right"/>
            </w:pPr>
            <w:r>
              <w:t xml:space="preserve">0.020</w:t>
            </w:r>
          </w:p>
        </w:tc>
        <w:tc>
          <w:p>
            <w:pPr>
              <w:pStyle w:val="Compact"/>
              <w:jc w:val="right"/>
            </w:pPr>
            <w:r>
              <w:t xml:space="preserve">0.106</w:t>
            </w:r>
          </w:p>
        </w:tc>
        <w:tc>
          <w:p>
            <w:pPr>
              <w:pStyle w:val="Compact"/>
              <w:jc w:val="right"/>
            </w:pPr>
            <w:r>
              <w:t xml:space="preserve">0.257</w:t>
            </w:r>
          </w:p>
        </w:tc>
      </w:tr>
      <w:tr>
        <w:tc>
          <w:p>
            <w:pPr>
              <w:pStyle w:val="Compact"/>
              <w:jc w:val="right"/>
            </w:pPr>
            <w:r>
              <w:t xml:space="preserve">19</w:t>
            </w:r>
          </w:p>
        </w:tc>
        <w:tc>
          <w:p>
            <w:pPr>
              <w:pStyle w:val="Compact"/>
              <w:jc w:val="left"/>
            </w:pPr>
            <w:r>
              <w:t xml:space="preserve">dNBR</w:t>
            </w:r>
          </w:p>
        </w:tc>
        <w:tc>
          <w:p>
            <w:pPr>
              <w:pStyle w:val="Compact"/>
              <w:jc w:val="right"/>
            </w:pPr>
            <w:r>
              <w:t xml:space="preserve">48</w:t>
            </w:r>
          </w:p>
        </w:tc>
        <w:tc>
          <w:p>
            <w:pPr>
              <w:pStyle w:val="Compact"/>
              <w:jc w:val="left"/>
            </w:pPr>
            <w:r>
              <w:t xml:space="preserve">bicubic</w:t>
            </w:r>
          </w:p>
        </w:tc>
        <w:tc>
          <w:p>
            <w:pPr>
              <w:pStyle w:val="Compact"/>
              <w:jc w:val="right"/>
            </w:pPr>
            <w:r>
              <w:t xml:space="preserve">0.775</w:t>
            </w:r>
          </w:p>
        </w:tc>
        <w:tc>
          <w:p>
            <w:pPr>
              <w:pStyle w:val="Compact"/>
              <w:jc w:val="right"/>
            </w:pPr>
            <w:r>
              <w:t xml:space="preserve">0.030</w:t>
            </w:r>
          </w:p>
        </w:tc>
        <w:tc>
          <w:p>
            <w:pPr>
              <w:pStyle w:val="Compact"/>
              <w:jc w:val="right"/>
            </w:pPr>
            <w:r>
              <w:t xml:space="preserve">0.035</w:t>
            </w:r>
          </w:p>
        </w:tc>
        <w:tc>
          <w:p>
            <w:pPr>
              <w:pStyle w:val="Compact"/>
              <w:jc w:val="right"/>
            </w:pPr>
            <w:r>
              <w:t xml:space="preserve">1.069</w:t>
            </w:r>
          </w:p>
        </w:tc>
        <w:tc>
          <w:p>
            <w:pPr>
              <w:pStyle w:val="Compact"/>
              <w:jc w:val="right"/>
            </w:pPr>
            <w:r>
              <w:t xml:space="preserve">0.068</w:t>
            </w:r>
          </w:p>
        </w:tc>
        <w:tc>
          <w:p>
            <w:pPr>
              <w:pStyle w:val="Compact"/>
              <w:jc w:val="right"/>
            </w:pPr>
            <w:r>
              <w:t xml:space="preserve">0.161</w:t>
            </w:r>
          </w:p>
        </w:tc>
        <w:tc>
          <w:p>
            <w:pPr>
              <w:pStyle w:val="Compact"/>
              <w:jc w:val="right"/>
            </w:pPr>
            <w:r>
              <w:t xml:space="preserve">0.413</w:t>
            </w:r>
          </w:p>
        </w:tc>
      </w:tr>
      <w:tr>
        <w:tc>
          <w:p>
            <w:pPr>
              <w:pStyle w:val="Compact"/>
              <w:jc w:val="right"/>
            </w:pPr>
            <w:r>
              <w:t xml:space="preserve">20</w:t>
            </w:r>
          </w:p>
        </w:tc>
        <w:tc>
          <w:p>
            <w:pPr>
              <w:pStyle w:val="Compact"/>
              <w:jc w:val="left"/>
            </w:pPr>
            <w:r>
              <w:t xml:space="preserve">RdNBR</w:t>
            </w:r>
          </w:p>
        </w:tc>
        <w:tc>
          <w:p>
            <w:pPr>
              <w:pStyle w:val="Compact"/>
              <w:jc w:val="right"/>
            </w:pPr>
            <w:r>
              <w:t xml:space="preserve">16</w:t>
            </w:r>
          </w:p>
        </w:tc>
        <w:tc>
          <w:p>
            <w:pPr>
              <w:pStyle w:val="Compact"/>
              <w:jc w:val="left"/>
            </w:pPr>
            <w:r>
              <w:t xml:space="preserve">bilinear</w:t>
            </w:r>
          </w:p>
        </w:tc>
        <w:tc>
          <w:p>
            <w:pPr>
              <w:pStyle w:val="Compact"/>
              <w:jc w:val="right"/>
            </w:pPr>
            <w:r>
              <w:t xml:space="preserve">0.774</w:t>
            </w:r>
          </w:p>
        </w:tc>
        <w:tc>
          <w:p>
            <w:pPr>
              <w:pStyle w:val="Compact"/>
              <w:jc w:val="right"/>
            </w:pPr>
            <w:r>
              <w:t xml:space="preserve">0.279</w:t>
            </w:r>
          </w:p>
        </w:tc>
        <w:tc>
          <w:p>
            <w:pPr>
              <w:pStyle w:val="Compact"/>
              <w:jc w:val="right"/>
            </w:pPr>
            <w:r>
              <w:t xml:space="preserve">2.518</w:t>
            </w:r>
          </w:p>
        </w:tc>
        <w:tc>
          <w:p>
            <w:pPr>
              <w:pStyle w:val="Compact"/>
              <w:jc w:val="right"/>
            </w:pPr>
            <w:r>
              <w:t xml:space="preserve">0.909</w:t>
            </w:r>
          </w:p>
        </w:tc>
        <w:tc>
          <w:p>
            <w:pPr>
              <w:pStyle w:val="Compact"/>
              <w:jc w:val="right"/>
            </w:pPr>
            <w:r>
              <w:t xml:space="preserve">3.037</w:t>
            </w:r>
          </w:p>
        </w:tc>
        <w:tc>
          <w:p>
            <w:pPr>
              <w:pStyle w:val="Compact"/>
              <w:jc w:val="right"/>
            </w:pPr>
            <w:r>
              <w:t xml:space="preserve">8.119</w:t>
            </w:r>
          </w:p>
        </w:tc>
        <w:tc>
          <w:p>
            <w:pPr>
              <w:pStyle w:val="Compact"/>
              <w:jc w:val="right"/>
            </w:pPr>
            <w:r>
              <w:t xml:space="preserve">19.727</w:t>
            </w:r>
          </w:p>
        </w:tc>
      </w:tr>
      <w:tr>
        <w:tc>
          <w:p>
            <w:pPr>
              <w:pStyle w:val="Compact"/>
              <w:jc w:val="right"/>
            </w:pPr>
            <w:r>
              <w:t xml:space="preserve">21</w:t>
            </w:r>
          </w:p>
        </w:tc>
        <w:tc>
          <w:p>
            <w:pPr>
              <w:pStyle w:val="Compact"/>
              <w:jc w:val="left"/>
            </w:pPr>
            <w:r>
              <w:t xml:space="preserve">dNDVI</w:t>
            </w:r>
          </w:p>
        </w:tc>
        <w:tc>
          <w:p>
            <w:pPr>
              <w:pStyle w:val="Compact"/>
              <w:jc w:val="right"/>
            </w:pPr>
            <w:r>
              <w:t xml:space="preserve">32</w:t>
            </w:r>
          </w:p>
        </w:tc>
        <w:tc>
          <w:p>
            <w:pPr>
              <w:pStyle w:val="Compact"/>
              <w:jc w:val="left"/>
            </w:pPr>
            <w:r>
              <w:t xml:space="preserve">bilinear</w:t>
            </w:r>
          </w:p>
        </w:tc>
        <w:tc>
          <w:p>
            <w:pPr>
              <w:pStyle w:val="Compact"/>
              <w:jc w:val="right"/>
            </w:pPr>
            <w:r>
              <w:t xml:space="preserve">0.772</w:t>
            </w:r>
          </w:p>
        </w:tc>
        <w:tc>
          <w:p>
            <w:pPr>
              <w:pStyle w:val="Compact"/>
              <w:jc w:val="right"/>
            </w:pPr>
            <w:r>
              <w:t xml:space="preserve">-0.053</w:t>
            </w:r>
          </w:p>
        </w:tc>
        <w:tc>
          <w:p>
            <w:pPr>
              <w:pStyle w:val="Compact"/>
              <w:jc w:val="right"/>
            </w:pPr>
            <w:r>
              <w:t xml:space="preserve">0.070</w:t>
            </w:r>
          </w:p>
        </w:tc>
        <w:tc>
          <w:p>
            <w:pPr>
              <w:pStyle w:val="Compact"/>
              <w:jc w:val="right"/>
            </w:pPr>
            <w:r>
              <w:t xml:space="preserve">0.656</w:t>
            </w:r>
          </w:p>
        </w:tc>
        <w:tc>
          <w:p>
            <w:pPr>
              <w:pStyle w:val="Compact"/>
              <w:jc w:val="right"/>
            </w:pPr>
            <w:r>
              <w:t xml:space="preserve">0.022</w:t>
            </w:r>
          </w:p>
        </w:tc>
        <w:tc>
          <w:p>
            <w:pPr>
              <w:pStyle w:val="Compact"/>
              <w:jc w:val="right"/>
            </w:pPr>
            <w:r>
              <w:t xml:space="preserve">0.105</w:t>
            </w:r>
          </w:p>
        </w:tc>
        <w:tc>
          <w:p>
            <w:pPr>
              <w:pStyle w:val="Compact"/>
              <w:jc w:val="right"/>
            </w:pPr>
            <w:r>
              <w:t xml:space="preserve">0.252</w:t>
            </w:r>
          </w:p>
        </w:tc>
      </w:tr>
      <w:tr>
        <w:tc>
          <w:p>
            <w:pPr>
              <w:pStyle w:val="Compact"/>
              <w:jc w:val="right"/>
            </w:pPr>
            <w:r>
              <w:t xml:space="preserve">22</w:t>
            </w:r>
          </w:p>
        </w:tc>
        <w:tc>
          <w:p>
            <w:pPr>
              <w:pStyle w:val="Compact"/>
              <w:jc w:val="left"/>
            </w:pPr>
            <w:r>
              <w:t xml:space="preserve">dNDVI</w:t>
            </w:r>
          </w:p>
        </w:tc>
        <w:tc>
          <w:p>
            <w:pPr>
              <w:pStyle w:val="Compact"/>
              <w:jc w:val="right"/>
            </w:pPr>
            <w:r>
              <w:t xml:space="preserve">48</w:t>
            </w:r>
          </w:p>
        </w:tc>
        <w:tc>
          <w:p>
            <w:pPr>
              <w:pStyle w:val="Compact"/>
              <w:jc w:val="left"/>
            </w:pPr>
            <w:r>
              <w:t xml:space="preserve">bicubic</w:t>
            </w:r>
          </w:p>
        </w:tc>
        <w:tc>
          <w:p>
            <w:pPr>
              <w:pStyle w:val="Compact"/>
              <w:jc w:val="right"/>
            </w:pPr>
            <w:r>
              <w:t xml:space="preserve">0.772</w:t>
            </w:r>
          </w:p>
        </w:tc>
        <w:tc>
          <w:p>
            <w:pPr>
              <w:pStyle w:val="Compact"/>
              <w:jc w:val="right"/>
            </w:pPr>
            <w:r>
              <w:t xml:space="preserve">-0.055</w:t>
            </w:r>
          </w:p>
        </w:tc>
        <w:tc>
          <w:p>
            <w:pPr>
              <w:pStyle w:val="Compact"/>
              <w:jc w:val="right"/>
            </w:pPr>
            <w:r>
              <w:t xml:space="preserve">0.081</w:t>
            </w:r>
          </w:p>
        </w:tc>
        <w:tc>
          <w:p>
            <w:pPr>
              <w:pStyle w:val="Compact"/>
              <w:jc w:val="right"/>
            </w:pPr>
            <w:r>
              <w:t xml:space="preserve">0.613</w:t>
            </w:r>
          </w:p>
        </w:tc>
        <w:tc>
          <w:p>
            <w:pPr>
              <w:pStyle w:val="Compact"/>
              <w:jc w:val="right"/>
            </w:pPr>
            <w:r>
              <w:t xml:space="preserve">0.031</w:t>
            </w:r>
          </w:p>
        </w:tc>
        <w:tc>
          <w:p>
            <w:pPr>
              <w:pStyle w:val="Compact"/>
              <w:jc w:val="right"/>
            </w:pPr>
            <w:r>
              <w:t xml:space="preserve">0.119</w:t>
            </w:r>
          </w:p>
        </w:tc>
        <w:tc>
          <w:p>
            <w:pPr>
              <w:pStyle w:val="Compact"/>
              <w:jc w:val="right"/>
            </w:pPr>
            <w:r>
              <w:t xml:space="preserve">0.267</w:t>
            </w:r>
          </w:p>
        </w:tc>
      </w:tr>
      <w:tr>
        <w:tc>
          <w:p>
            <w:pPr>
              <w:pStyle w:val="Compact"/>
              <w:jc w:val="right"/>
            </w:pPr>
            <w:r>
              <w:t xml:space="preserve">23</w:t>
            </w:r>
          </w:p>
        </w:tc>
        <w:tc>
          <w:p>
            <w:pPr>
              <w:pStyle w:val="Compact"/>
              <w:jc w:val="left"/>
            </w:pPr>
            <w:r>
              <w:t xml:space="preserve">dNBR</w:t>
            </w:r>
          </w:p>
        </w:tc>
        <w:tc>
          <w:p>
            <w:pPr>
              <w:pStyle w:val="Compact"/>
              <w:jc w:val="right"/>
            </w:pPr>
            <w:r>
              <w:t xml:space="preserve">32</w:t>
            </w:r>
          </w:p>
        </w:tc>
        <w:tc>
          <w:p>
            <w:pPr>
              <w:pStyle w:val="Compact"/>
              <w:jc w:val="left"/>
            </w:pPr>
            <w:r>
              <w:t xml:space="preserve">bilinear</w:t>
            </w:r>
          </w:p>
        </w:tc>
        <w:tc>
          <w:p>
            <w:pPr>
              <w:pStyle w:val="Compact"/>
              <w:jc w:val="right"/>
            </w:pPr>
            <w:r>
              <w:t xml:space="preserve">0.770</w:t>
            </w:r>
          </w:p>
        </w:tc>
        <w:tc>
          <w:p>
            <w:pPr>
              <w:pStyle w:val="Compact"/>
              <w:jc w:val="right"/>
            </w:pPr>
            <w:r>
              <w:t xml:space="preserve">0.029</w:t>
            </w:r>
          </w:p>
        </w:tc>
        <w:tc>
          <w:p>
            <w:pPr>
              <w:pStyle w:val="Compact"/>
              <w:jc w:val="right"/>
            </w:pPr>
            <w:r>
              <w:t xml:space="preserve">0.036</w:t>
            </w:r>
          </w:p>
        </w:tc>
        <w:tc>
          <w:p>
            <w:pPr>
              <w:pStyle w:val="Compact"/>
              <w:jc w:val="right"/>
            </w:pPr>
            <w:r>
              <w:t xml:space="preserve">1.048</w:t>
            </w:r>
          </w:p>
        </w:tc>
        <w:tc>
          <w:p>
            <w:pPr>
              <w:pStyle w:val="Compact"/>
              <w:jc w:val="right"/>
            </w:pPr>
            <w:r>
              <w:t xml:space="preserve">0.069</w:t>
            </w:r>
          </w:p>
        </w:tc>
        <w:tc>
          <w:p>
            <w:pPr>
              <w:pStyle w:val="Compact"/>
              <w:jc w:val="right"/>
            </w:pPr>
            <w:r>
              <w:t xml:space="preserve">0.163</w:t>
            </w:r>
          </w:p>
        </w:tc>
        <w:tc>
          <w:p>
            <w:pPr>
              <w:pStyle w:val="Compact"/>
              <w:jc w:val="right"/>
            </w:pPr>
            <w:r>
              <w:t xml:space="preserve">0.410</w:t>
            </w:r>
          </w:p>
        </w:tc>
      </w:tr>
      <w:tr>
        <w:tc>
          <w:p>
            <w:pPr>
              <w:pStyle w:val="Compact"/>
              <w:jc w:val="right"/>
            </w:pPr>
            <w:r>
              <w:t xml:space="preserve">24</w:t>
            </w:r>
          </w:p>
        </w:tc>
        <w:tc>
          <w:p>
            <w:pPr>
              <w:pStyle w:val="Compact"/>
              <w:jc w:val="left"/>
            </w:pPr>
            <w:r>
              <w:t xml:space="preserve">RdNBR2</w:t>
            </w:r>
          </w:p>
        </w:tc>
        <w:tc>
          <w:p>
            <w:pPr>
              <w:pStyle w:val="Compact"/>
              <w:jc w:val="right"/>
            </w:pPr>
            <w:r>
              <w:t xml:space="preserve">64</w:t>
            </w:r>
          </w:p>
        </w:tc>
        <w:tc>
          <w:p>
            <w:pPr>
              <w:pStyle w:val="Compact"/>
              <w:jc w:val="left"/>
            </w:pPr>
            <w:r>
              <w:t xml:space="preserve">bicubic</w:t>
            </w:r>
          </w:p>
        </w:tc>
        <w:tc>
          <w:p>
            <w:pPr>
              <w:pStyle w:val="Compact"/>
              <w:jc w:val="right"/>
            </w:pPr>
            <w:r>
              <w:t xml:space="preserve">0.766</w:t>
            </w:r>
          </w:p>
        </w:tc>
        <w:tc>
          <w:p>
            <w:pPr>
              <w:pStyle w:val="Compact"/>
              <w:jc w:val="right"/>
            </w:pPr>
            <w:r>
              <w:t xml:space="preserve">2.102</w:t>
            </w:r>
          </w:p>
        </w:tc>
        <w:tc>
          <w:p>
            <w:pPr>
              <w:pStyle w:val="Compact"/>
              <w:jc w:val="right"/>
            </w:pPr>
            <w:r>
              <w:t xml:space="preserve">0.416</w:t>
            </w:r>
          </w:p>
        </w:tc>
        <w:tc>
          <w:p>
            <w:pPr>
              <w:pStyle w:val="Compact"/>
              <w:jc w:val="right"/>
            </w:pPr>
            <w:r>
              <w:t xml:space="preserve">1.240</w:t>
            </w:r>
          </w:p>
        </w:tc>
        <w:tc>
          <w:p>
            <w:pPr>
              <w:pStyle w:val="Compact"/>
              <w:jc w:val="right"/>
            </w:pPr>
            <w:r>
              <w:t xml:space="preserve">2.572</w:t>
            </w:r>
          </w:p>
        </w:tc>
        <w:tc>
          <w:p>
            <w:pPr>
              <w:pStyle w:val="Compact"/>
              <w:jc w:val="right"/>
            </w:pPr>
            <w:r>
              <w:t xml:space="preserve">4.059</w:t>
            </w:r>
          </w:p>
        </w:tc>
        <w:tc>
          <w:p>
            <w:pPr>
              <w:pStyle w:val="Compact"/>
              <w:jc w:val="right"/>
            </w:pPr>
            <w:r>
              <w:t xml:space="preserve">8.861</w:t>
            </w:r>
          </w:p>
        </w:tc>
      </w:tr>
      <w:tr>
        <w:tc>
          <w:p>
            <w:pPr>
              <w:pStyle w:val="Compact"/>
              <w:jc w:val="right"/>
            </w:pPr>
            <w:r>
              <w:t xml:space="preserve">25</w:t>
            </w:r>
          </w:p>
        </w:tc>
        <w:tc>
          <w:p>
            <w:pPr>
              <w:pStyle w:val="Compact"/>
              <w:jc w:val="left"/>
            </w:pPr>
            <w:r>
              <w:t xml:space="preserve">dNBR</w:t>
            </w:r>
          </w:p>
        </w:tc>
        <w:tc>
          <w:p>
            <w:pPr>
              <w:pStyle w:val="Compact"/>
              <w:jc w:val="right"/>
            </w:pPr>
            <w:r>
              <w:t xml:space="preserve">32</w:t>
            </w:r>
          </w:p>
        </w:tc>
        <w:tc>
          <w:p>
            <w:pPr>
              <w:pStyle w:val="Compact"/>
              <w:jc w:val="left"/>
            </w:pPr>
            <w:r>
              <w:t xml:space="preserve">bicubic</w:t>
            </w:r>
          </w:p>
        </w:tc>
        <w:tc>
          <w:p>
            <w:pPr>
              <w:pStyle w:val="Compact"/>
              <w:jc w:val="right"/>
            </w:pPr>
            <w:r>
              <w:t xml:space="preserve">0.764</w:t>
            </w:r>
          </w:p>
        </w:tc>
        <w:tc>
          <w:p>
            <w:pPr>
              <w:pStyle w:val="Compact"/>
              <w:jc w:val="right"/>
            </w:pPr>
            <w:r>
              <w:t xml:space="preserve">0.028</w:t>
            </w:r>
          </w:p>
        </w:tc>
        <w:tc>
          <w:p>
            <w:pPr>
              <w:pStyle w:val="Compact"/>
              <w:jc w:val="right"/>
            </w:pPr>
            <w:r>
              <w:t xml:space="preserve">0.036</w:t>
            </w:r>
          </w:p>
        </w:tc>
        <w:tc>
          <w:p>
            <w:pPr>
              <w:pStyle w:val="Compact"/>
              <w:jc w:val="right"/>
            </w:pPr>
            <w:r>
              <w:t xml:space="preserve">1.057</w:t>
            </w:r>
          </w:p>
        </w:tc>
        <w:tc>
          <w:p>
            <w:pPr>
              <w:pStyle w:val="Compact"/>
              <w:jc w:val="right"/>
            </w:pPr>
            <w:r>
              <w:t xml:space="preserve">0.068</w:t>
            </w:r>
          </w:p>
        </w:tc>
        <w:tc>
          <w:p>
            <w:pPr>
              <w:pStyle w:val="Compact"/>
              <w:jc w:val="right"/>
            </w:pPr>
            <w:r>
              <w:t xml:space="preserve">0.163</w:t>
            </w:r>
          </w:p>
        </w:tc>
        <w:tc>
          <w:p>
            <w:pPr>
              <w:pStyle w:val="Compact"/>
              <w:jc w:val="right"/>
            </w:pPr>
            <w:r>
              <w:t xml:space="preserve">0.417</w:t>
            </w:r>
          </w:p>
        </w:tc>
      </w:tr>
      <w:tr>
        <w:tc>
          <w:p>
            <w:pPr>
              <w:pStyle w:val="Compact"/>
              <w:jc w:val="right"/>
            </w:pPr>
            <w:r>
              <w:t xml:space="preserve">26</w:t>
            </w:r>
          </w:p>
        </w:tc>
        <w:tc>
          <w:p>
            <w:pPr>
              <w:pStyle w:val="Compact"/>
              <w:jc w:val="left"/>
            </w:pPr>
            <w:r>
              <w:t xml:space="preserve">dNDVI</w:t>
            </w:r>
          </w:p>
        </w:tc>
        <w:tc>
          <w:p>
            <w:pPr>
              <w:pStyle w:val="Compact"/>
              <w:jc w:val="right"/>
            </w:pPr>
            <w:r>
              <w:t xml:space="preserve">48</w:t>
            </w:r>
          </w:p>
        </w:tc>
        <w:tc>
          <w:p>
            <w:pPr>
              <w:pStyle w:val="Compact"/>
              <w:jc w:val="left"/>
            </w:pPr>
            <w:r>
              <w:t xml:space="preserve">bilinear</w:t>
            </w:r>
          </w:p>
        </w:tc>
        <w:tc>
          <w:p>
            <w:pPr>
              <w:pStyle w:val="Compact"/>
              <w:jc w:val="right"/>
            </w:pPr>
            <w:r>
              <w:t xml:space="preserve">0.762</w:t>
            </w:r>
          </w:p>
        </w:tc>
        <w:tc>
          <w:p>
            <w:pPr>
              <w:pStyle w:val="Compact"/>
              <w:jc w:val="right"/>
            </w:pPr>
            <w:r>
              <w:t xml:space="preserve">-0.044</w:t>
            </w:r>
          </w:p>
        </w:tc>
        <w:tc>
          <w:p>
            <w:pPr>
              <w:pStyle w:val="Compact"/>
              <w:jc w:val="right"/>
            </w:pPr>
            <w:r>
              <w:t xml:space="preserve">0.073</w:t>
            </w:r>
          </w:p>
        </w:tc>
        <w:tc>
          <w:p>
            <w:pPr>
              <w:pStyle w:val="Compact"/>
              <w:jc w:val="right"/>
            </w:pPr>
            <w:r>
              <w:t xml:space="preserve">0.637</w:t>
            </w:r>
          </w:p>
        </w:tc>
        <w:tc>
          <w:p>
            <w:pPr>
              <w:pStyle w:val="Compact"/>
              <w:jc w:val="right"/>
            </w:pPr>
            <w:r>
              <w:t xml:space="preserve">0.034</w:t>
            </w:r>
          </w:p>
        </w:tc>
        <w:tc>
          <w:p>
            <w:pPr>
              <w:pStyle w:val="Compact"/>
              <w:jc w:val="right"/>
            </w:pPr>
            <w:r>
              <w:t xml:space="preserve">0.118</w:t>
            </w:r>
          </w:p>
        </w:tc>
        <w:tc>
          <w:p>
            <w:pPr>
              <w:pStyle w:val="Compact"/>
              <w:jc w:val="right"/>
            </w:pPr>
            <w:r>
              <w:t xml:space="preserve">0.262</w:t>
            </w:r>
          </w:p>
        </w:tc>
      </w:tr>
      <w:tr>
        <w:tc>
          <w:p>
            <w:pPr>
              <w:pStyle w:val="Compact"/>
              <w:jc w:val="right"/>
            </w:pPr>
            <w:r>
              <w:t xml:space="preserve">27</w:t>
            </w:r>
          </w:p>
        </w:tc>
        <w:tc>
          <w:p>
            <w:pPr>
              <w:pStyle w:val="Compact"/>
              <w:jc w:val="left"/>
            </w:pPr>
            <w:r>
              <w:t xml:space="preserve">RBR</w:t>
            </w:r>
          </w:p>
        </w:tc>
        <w:tc>
          <w:p>
            <w:pPr>
              <w:pStyle w:val="Compact"/>
              <w:jc w:val="right"/>
            </w:pPr>
            <w:r>
              <w:t xml:space="preserve">16</w:t>
            </w:r>
          </w:p>
        </w:tc>
        <w:tc>
          <w:p>
            <w:pPr>
              <w:pStyle w:val="Compact"/>
              <w:jc w:val="left"/>
            </w:pPr>
            <w:r>
              <w:t xml:space="preserve">bicubic</w:t>
            </w:r>
          </w:p>
        </w:tc>
        <w:tc>
          <w:p>
            <w:pPr>
              <w:pStyle w:val="Compact"/>
              <w:jc w:val="right"/>
            </w:pPr>
            <w:r>
              <w:t xml:space="preserve">0.761</w:t>
            </w:r>
          </w:p>
        </w:tc>
        <w:tc>
          <w:p>
            <w:pPr>
              <w:pStyle w:val="Compact"/>
              <w:jc w:val="right"/>
            </w:pPr>
            <w:r>
              <w:t xml:space="preserve">0.021</w:t>
            </w:r>
          </w:p>
        </w:tc>
        <w:tc>
          <w:p>
            <w:pPr>
              <w:pStyle w:val="Compact"/>
              <w:jc w:val="right"/>
            </w:pPr>
            <w:r>
              <w:t xml:space="preserve">0.026</w:t>
            </w:r>
          </w:p>
        </w:tc>
        <w:tc>
          <w:p>
            <w:pPr>
              <w:pStyle w:val="Compact"/>
              <w:jc w:val="right"/>
            </w:pPr>
            <w:r>
              <w:t xml:space="preserve">1.028</w:t>
            </w:r>
          </w:p>
        </w:tc>
        <w:tc>
          <w:p>
            <w:pPr>
              <w:pStyle w:val="Compact"/>
              <w:jc w:val="right"/>
            </w:pPr>
            <w:r>
              <w:t xml:space="preserve">0.049</w:t>
            </w:r>
          </w:p>
        </w:tc>
        <w:tc>
          <w:p>
            <w:pPr>
              <w:pStyle w:val="Compact"/>
              <w:jc w:val="right"/>
            </w:pPr>
            <w:r>
              <w:t xml:space="preserve">0.114</w:t>
            </w:r>
          </w:p>
        </w:tc>
        <w:tc>
          <w:p>
            <w:pPr>
              <w:pStyle w:val="Compact"/>
              <w:jc w:val="right"/>
            </w:pPr>
            <w:r>
              <w:t xml:space="preserve">0.281</w:t>
            </w:r>
          </w:p>
        </w:tc>
      </w:tr>
      <w:tr>
        <w:tc>
          <w:p>
            <w:pPr>
              <w:pStyle w:val="Compact"/>
              <w:jc w:val="right"/>
            </w:pPr>
            <w:r>
              <w:t xml:space="preserve">28</w:t>
            </w:r>
          </w:p>
        </w:tc>
        <w:tc>
          <w:p>
            <w:pPr>
              <w:pStyle w:val="Compact"/>
              <w:jc w:val="left"/>
            </w:pPr>
            <w:r>
              <w:t xml:space="preserve">dNBR</w:t>
            </w:r>
          </w:p>
        </w:tc>
        <w:tc>
          <w:p>
            <w:pPr>
              <w:pStyle w:val="Compact"/>
              <w:jc w:val="right"/>
            </w:pPr>
            <w:r>
              <w:t xml:space="preserve">16</w:t>
            </w:r>
          </w:p>
        </w:tc>
        <w:tc>
          <w:p>
            <w:pPr>
              <w:pStyle w:val="Compact"/>
              <w:jc w:val="left"/>
            </w:pPr>
            <w:r>
              <w:t xml:space="preserve">bilinear</w:t>
            </w:r>
          </w:p>
        </w:tc>
        <w:tc>
          <w:p>
            <w:pPr>
              <w:pStyle w:val="Compact"/>
              <w:jc w:val="right"/>
            </w:pPr>
            <w:r>
              <w:t xml:space="preserve">0.760</w:t>
            </w:r>
          </w:p>
        </w:tc>
        <w:tc>
          <w:p>
            <w:pPr>
              <w:pStyle w:val="Compact"/>
              <w:jc w:val="right"/>
            </w:pPr>
            <w:r>
              <w:t xml:space="preserve">0.033</w:t>
            </w:r>
          </w:p>
        </w:tc>
        <w:tc>
          <w:p>
            <w:pPr>
              <w:pStyle w:val="Compact"/>
              <w:jc w:val="right"/>
            </w:pPr>
            <w:r>
              <w:t xml:space="preserve">0.036</w:t>
            </w:r>
          </w:p>
        </w:tc>
        <w:tc>
          <w:p>
            <w:pPr>
              <w:pStyle w:val="Compact"/>
              <w:jc w:val="right"/>
            </w:pPr>
            <w:r>
              <w:t xml:space="preserve">1.048</w:t>
            </w:r>
          </w:p>
        </w:tc>
        <w:tc>
          <w:p>
            <w:pPr>
              <w:pStyle w:val="Compact"/>
              <w:jc w:val="right"/>
            </w:pPr>
            <w:r>
              <w:t xml:space="preserve">0.073</w:t>
            </w:r>
          </w:p>
        </w:tc>
        <w:tc>
          <w:p>
            <w:pPr>
              <w:pStyle w:val="Compact"/>
              <w:jc w:val="right"/>
            </w:pPr>
            <w:r>
              <w:t xml:space="preserve">0.167</w:t>
            </w:r>
          </w:p>
        </w:tc>
        <w:tc>
          <w:p>
            <w:pPr>
              <w:pStyle w:val="Compact"/>
              <w:jc w:val="right"/>
            </w:pPr>
            <w:r>
              <w:t xml:space="preserve">0.417</w:t>
            </w:r>
          </w:p>
        </w:tc>
      </w:tr>
      <w:tr>
        <w:tc>
          <w:p>
            <w:pPr>
              <w:pStyle w:val="Compact"/>
              <w:jc w:val="right"/>
            </w:pPr>
            <w:r>
              <w:t xml:space="preserve">29</w:t>
            </w:r>
          </w:p>
        </w:tc>
        <w:tc>
          <w:p>
            <w:pPr>
              <w:pStyle w:val="Compact"/>
              <w:jc w:val="left"/>
            </w:pPr>
            <w:r>
              <w:t xml:space="preserve">RdNBR2</w:t>
            </w:r>
          </w:p>
        </w:tc>
        <w:tc>
          <w:p>
            <w:pPr>
              <w:pStyle w:val="Compact"/>
              <w:jc w:val="right"/>
            </w:pPr>
            <w:r>
              <w:t xml:space="preserve">32</w:t>
            </w:r>
          </w:p>
        </w:tc>
        <w:tc>
          <w:p>
            <w:pPr>
              <w:pStyle w:val="Compact"/>
              <w:jc w:val="left"/>
            </w:pPr>
            <w:r>
              <w:t xml:space="preserve">bilinear</w:t>
            </w:r>
          </w:p>
        </w:tc>
        <w:tc>
          <w:p>
            <w:pPr>
              <w:pStyle w:val="Compact"/>
              <w:jc w:val="right"/>
            </w:pPr>
            <w:r>
              <w:t xml:space="preserve">0.759</w:t>
            </w:r>
          </w:p>
        </w:tc>
        <w:tc>
          <w:p>
            <w:pPr>
              <w:pStyle w:val="Compact"/>
              <w:jc w:val="right"/>
            </w:pPr>
            <w:r>
              <w:t xml:space="preserve">1.435</w:t>
            </w:r>
          </w:p>
        </w:tc>
        <w:tc>
          <w:p>
            <w:pPr>
              <w:pStyle w:val="Compact"/>
              <w:jc w:val="right"/>
            </w:pPr>
            <w:r>
              <w:t xml:space="preserve">0.625</w:t>
            </w:r>
          </w:p>
        </w:tc>
        <w:tc>
          <w:p>
            <w:pPr>
              <w:pStyle w:val="Compact"/>
              <w:jc w:val="right"/>
            </w:pPr>
            <w:r>
              <w:t xml:space="preserve">1.100</w:t>
            </w:r>
          </w:p>
        </w:tc>
        <w:tc>
          <w:p>
            <w:pPr>
              <w:pStyle w:val="Compact"/>
              <w:jc w:val="right"/>
            </w:pPr>
            <w:r>
              <w:t xml:space="preserve">2.132</w:t>
            </w:r>
          </w:p>
        </w:tc>
        <w:tc>
          <w:p>
            <w:pPr>
              <w:pStyle w:val="Compact"/>
              <w:jc w:val="right"/>
            </w:pPr>
            <w:r>
              <w:t xml:space="preserve">3.906</w:t>
            </w:r>
          </w:p>
        </w:tc>
        <w:tc>
          <w:p>
            <w:pPr>
              <w:pStyle w:val="Compact"/>
              <w:jc w:val="right"/>
            </w:pPr>
            <w:r>
              <w:t xml:space="preserve">8.861</w:t>
            </w:r>
          </w:p>
        </w:tc>
      </w:tr>
      <w:tr>
        <w:tc>
          <w:p>
            <w:pPr>
              <w:pStyle w:val="Compact"/>
              <w:jc w:val="right"/>
            </w:pPr>
            <w:r>
              <w:t xml:space="preserve">30</w:t>
            </w:r>
          </w:p>
        </w:tc>
        <w:tc>
          <w:p>
            <w:pPr>
              <w:pStyle w:val="Compact"/>
              <w:jc w:val="left"/>
            </w:pPr>
            <w:r>
              <w:t xml:space="preserve">RdNBR</w:t>
            </w:r>
          </w:p>
        </w:tc>
        <w:tc>
          <w:p>
            <w:pPr>
              <w:pStyle w:val="Compact"/>
              <w:jc w:val="right"/>
            </w:pPr>
            <w:r>
              <w:t xml:space="preserve">16</w:t>
            </w:r>
          </w:p>
        </w:tc>
        <w:tc>
          <w:p>
            <w:pPr>
              <w:pStyle w:val="Compact"/>
              <w:jc w:val="left"/>
            </w:pPr>
            <w:r>
              <w:t xml:space="preserve">bicubic</w:t>
            </w:r>
          </w:p>
        </w:tc>
        <w:tc>
          <w:p>
            <w:pPr>
              <w:pStyle w:val="Compact"/>
              <w:jc w:val="right"/>
            </w:pPr>
            <w:r>
              <w:t xml:space="preserve">0.758</w:t>
            </w:r>
          </w:p>
        </w:tc>
        <w:tc>
          <w:p>
            <w:pPr>
              <w:pStyle w:val="Compact"/>
              <w:jc w:val="right"/>
            </w:pPr>
            <w:r>
              <w:t xml:space="preserve">0.370</w:t>
            </w:r>
          </w:p>
        </w:tc>
        <w:tc>
          <w:p>
            <w:pPr>
              <w:pStyle w:val="Compact"/>
              <w:jc w:val="right"/>
            </w:pPr>
            <w:r>
              <w:t xml:space="preserve">2.446</w:t>
            </w:r>
          </w:p>
        </w:tc>
        <w:tc>
          <w:p>
            <w:pPr>
              <w:pStyle w:val="Compact"/>
              <w:jc w:val="right"/>
            </w:pPr>
            <w:r>
              <w:t xml:space="preserve">0.926</w:t>
            </w:r>
          </w:p>
        </w:tc>
        <w:tc>
          <w:p>
            <w:pPr>
              <w:pStyle w:val="Compact"/>
              <w:jc w:val="right"/>
            </w:pPr>
            <w:r>
              <w:t xml:space="preserve">3.053</w:t>
            </w:r>
          </w:p>
        </w:tc>
        <w:tc>
          <w:p>
            <w:pPr>
              <w:pStyle w:val="Compact"/>
              <w:jc w:val="right"/>
            </w:pPr>
            <w:r>
              <w:t xml:space="preserve">8.149</w:t>
            </w:r>
          </w:p>
        </w:tc>
        <w:tc>
          <w:p>
            <w:pPr>
              <w:pStyle w:val="Compact"/>
              <w:jc w:val="right"/>
            </w:pPr>
            <w:r>
              <w:t xml:space="preserve">19.999</w:t>
            </w:r>
          </w:p>
        </w:tc>
      </w:tr>
      <w:tr>
        <w:tc>
          <w:p>
            <w:pPr>
              <w:pStyle w:val="Compact"/>
              <w:jc w:val="right"/>
            </w:pPr>
            <w:r>
              <w:t xml:space="preserve">31</w:t>
            </w:r>
          </w:p>
        </w:tc>
        <w:tc>
          <w:p>
            <w:pPr>
              <w:pStyle w:val="Compact"/>
              <w:jc w:val="left"/>
            </w:pPr>
            <w:r>
              <w:t xml:space="preserve">RdNBR2</w:t>
            </w:r>
          </w:p>
        </w:tc>
        <w:tc>
          <w:p>
            <w:pPr>
              <w:pStyle w:val="Compact"/>
              <w:jc w:val="right"/>
            </w:pPr>
            <w:r>
              <w:t xml:space="preserve">32</w:t>
            </w:r>
          </w:p>
        </w:tc>
        <w:tc>
          <w:p>
            <w:pPr>
              <w:pStyle w:val="Compact"/>
              <w:jc w:val="left"/>
            </w:pPr>
            <w:r>
              <w:t xml:space="preserve">bicubic</w:t>
            </w:r>
          </w:p>
        </w:tc>
        <w:tc>
          <w:p>
            <w:pPr>
              <w:pStyle w:val="Compact"/>
              <w:jc w:val="right"/>
            </w:pPr>
            <w:r>
              <w:t xml:space="preserve">0.754</w:t>
            </w:r>
          </w:p>
        </w:tc>
        <w:tc>
          <w:p>
            <w:pPr>
              <w:pStyle w:val="Compact"/>
              <w:jc w:val="right"/>
            </w:pPr>
            <w:r>
              <w:t xml:space="preserve">1.426</w:t>
            </w:r>
          </w:p>
        </w:tc>
        <w:tc>
          <w:p>
            <w:pPr>
              <w:pStyle w:val="Compact"/>
              <w:jc w:val="right"/>
            </w:pPr>
            <w:r>
              <w:t xml:space="preserve">0.601</w:t>
            </w:r>
          </w:p>
        </w:tc>
        <w:tc>
          <w:p>
            <w:pPr>
              <w:pStyle w:val="Compact"/>
              <w:jc w:val="right"/>
            </w:pPr>
            <w:r>
              <w:t xml:space="preserve">1.125</w:t>
            </w:r>
          </w:p>
        </w:tc>
        <w:tc>
          <w:p>
            <w:pPr>
              <w:pStyle w:val="Compact"/>
              <w:jc w:val="right"/>
            </w:pPr>
            <w:r>
              <w:t xml:space="preserve">2.098</w:t>
            </w:r>
          </w:p>
        </w:tc>
        <w:tc>
          <w:p>
            <w:pPr>
              <w:pStyle w:val="Compact"/>
              <w:jc w:val="right"/>
            </w:pPr>
            <w:r>
              <w:t xml:space="preserve">3.876</w:t>
            </w:r>
          </w:p>
        </w:tc>
        <w:tc>
          <w:p>
            <w:pPr>
              <w:pStyle w:val="Compact"/>
              <w:jc w:val="right"/>
            </w:pPr>
            <w:r>
              <w:t xml:space="preserve">8.975</w:t>
            </w:r>
          </w:p>
        </w:tc>
      </w:tr>
      <w:tr>
        <w:tc>
          <w:p>
            <w:pPr>
              <w:pStyle w:val="Compact"/>
              <w:jc w:val="right"/>
            </w:pPr>
            <w:r>
              <w:t xml:space="preserve">32</w:t>
            </w:r>
          </w:p>
        </w:tc>
        <w:tc>
          <w:p>
            <w:pPr>
              <w:pStyle w:val="Compact"/>
              <w:jc w:val="left"/>
            </w:pPr>
            <w:r>
              <w:t xml:space="preserve">dNBR</w:t>
            </w:r>
          </w:p>
        </w:tc>
        <w:tc>
          <w:p>
            <w:pPr>
              <w:pStyle w:val="Compact"/>
              <w:jc w:val="right"/>
            </w:pPr>
            <w:r>
              <w:t xml:space="preserve">64</w:t>
            </w:r>
          </w:p>
        </w:tc>
        <w:tc>
          <w:p>
            <w:pPr>
              <w:pStyle w:val="Compact"/>
              <w:jc w:val="left"/>
            </w:pPr>
            <w:r>
              <w:t xml:space="preserve">bicubic</w:t>
            </w:r>
          </w:p>
        </w:tc>
        <w:tc>
          <w:p>
            <w:pPr>
              <w:pStyle w:val="Compact"/>
              <w:jc w:val="right"/>
            </w:pPr>
            <w:r>
              <w:t xml:space="preserve">0.753</w:t>
            </w:r>
          </w:p>
        </w:tc>
        <w:tc>
          <w:p>
            <w:pPr>
              <w:pStyle w:val="Compact"/>
              <w:jc w:val="right"/>
            </w:pPr>
            <w:r>
              <w:t xml:space="preserve">0.033</w:t>
            </w:r>
          </w:p>
        </w:tc>
        <w:tc>
          <w:p>
            <w:pPr>
              <w:pStyle w:val="Compact"/>
              <w:jc w:val="right"/>
            </w:pPr>
            <w:r>
              <w:t xml:space="preserve">0.033</w:t>
            </w:r>
          </w:p>
        </w:tc>
        <w:tc>
          <w:p>
            <w:pPr>
              <w:pStyle w:val="Compact"/>
              <w:jc w:val="right"/>
            </w:pPr>
            <w:r>
              <w:t xml:space="preserve">1.086</w:t>
            </w:r>
          </w:p>
        </w:tc>
        <w:tc>
          <w:p>
            <w:pPr>
              <w:pStyle w:val="Compact"/>
              <w:jc w:val="right"/>
            </w:pPr>
            <w:r>
              <w:t xml:space="preserve">0.070</w:t>
            </w:r>
          </w:p>
        </w:tc>
        <w:tc>
          <w:p>
            <w:pPr>
              <w:pStyle w:val="Compact"/>
              <w:jc w:val="right"/>
            </w:pPr>
            <w:r>
              <w:t xml:space="preserve">0.161</w:t>
            </w:r>
          </w:p>
        </w:tc>
        <w:tc>
          <w:p>
            <w:pPr>
              <w:pStyle w:val="Compact"/>
              <w:jc w:val="right"/>
            </w:pPr>
            <w:r>
              <w:t xml:space="preserve">0.413</w:t>
            </w:r>
          </w:p>
        </w:tc>
      </w:tr>
      <w:tr>
        <w:tc>
          <w:p>
            <w:pPr>
              <w:pStyle w:val="Compact"/>
              <w:jc w:val="right"/>
            </w:pPr>
            <w:r>
              <w:t xml:space="preserve">33</w:t>
            </w:r>
          </w:p>
        </w:tc>
        <w:tc>
          <w:p>
            <w:pPr>
              <w:pStyle w:val="Compact"/>
              <w:jc w:val="left"/>
            </w:pPr>
            <w:r>
              <w:t xml:space="preserve">dNBR</w:t>
            </w:r>
          </w:p>
        </w:tc>
        <w:tc>
          <w:p>
            <w:pPr>
              <w:pStyle w:val="Compact"/>
              <w:jc w:val="right"/>
            </w:pPr>
            <w:r>
              <w:t xml:space="preserve">64</w:t>
            </w:r>
          </w:p>
        </w:tc>
        <w:tc>
          <w:p>
            <w:pPr>
              <w:pStyle w:val="Compact"/>
              <w:jc w:val="left"/>
            </w:pPr>
            <w:r>
              <w:t xml:space="preserve">bilinear</w:t>
            </w:r>
          </w:p>
        </w:tc>
        <w:tc>
          <w:p>
            <w:pPr>
              <w:pStyle w:val="Compact"/>
              <w:jc w:val="right"/>
            </w:pPr>
            <w:r>
              <w:t xml:space="preserve">0.751</w:t>
            </w:r>
          </w:p>
        </w:tc>
        <w:tc>
          <w:p>
            <w:pPr>
              <w:pStyle w:val="Compact"/>
              <w:jc w:val="right"/>
            </w:pPr>
            <w:r>
              <w:t xml:space="preserve">0.035</w:t>
            </w:r>
          </w:p>
        </w:tc>
        <w:tc>
          <w:p>
            <w:pPr>
              <w:pStyle w:val="Compact"/>
              <w:jc w:val="right"/>
            </w:pPr>
            <w:r>
              <w:t xml:space="preserve">0.033</w:t>
            </w:r>
          </w:p>
        </w:tc>
        <w:tc>
          <w:p>
            <w:pPr>
              <w:pStyle w:val="Compact"/>
              <w:jc w:val="right"/>
            </w:pPr>
            <w:r>
              <w:t xml:space="preserve">1.080</w:t>
            </w:r>
          </w:p>
        </w:tc>
        <w:tc>
          <w:p>
            <w:pPr>
              <w:pStyle w:val="Compact"/>
              <w:jc w:val="right"/>
            </w:pPr>
            <w:r>
              <w:t xml:space="preserve">0.071</w:t>
            </w:r>
          </w:p>
        </w:tc>
        <w:tc>
          <w:p>
            <w:pPr>
              <w:pStyle w:val="Compact"/>
              <w:jc w:val="right"/>
            </w:pPr>
            <w:r>
              <w:t xml:space="preserve">0.161</w:t>
            </w:r>
          </w:p>
        </w:tc>
        <w:tc>
          <w:p>
            <w:pPr>
              <w:pStyle w:val="Compact"/>
              <w:jc w:val="right"/>
            </w:pPr>
            <w:r>
              <w:t xml:space="preserve">0.406</w:t>
            </w:r>
          </w:p>
        </w:tc>
      </w:tr>
      <w:tr>
        <w:tc>
          <w:p>
            <w:pPr>
              <w:pStyle w:val="Compact"/>
              <w:jc w:val="right"/>
            </w:pPr>
            <w:r>
              <w:t xml:space="preserve">34</w:t>
            </w:r>
          </w:p>
        </w:tc>
        <w:tc>
          <w:p>
            <w:pPr>
              <w:pStyle w:val="Compact"/>
              <w:jc w:val="left"/>
            </w:pPr>
            <w:r>
              <w:t xml:space="preserve">RdNBR2</w:t>
            </w:r>
          </w:p>
        </w:tc>
        <w:tc>
          <w:p>
            <w:pPr>
              <w:pStyle w:val="Compact"/>
              <w:jc w:val="right"/>
            </w:pPr>
            <w:r>
              <w:t xml:space="preserve">48</w:t>
            </w:r>
          </w:p>
        </w:tc>
        <w:tc>
          <w:p>
            <w:pPr>
              <w:pStyle w:val="Compact"/>
              <w:jc w:val="left"/>
            </w:pPr>
            <w:r>
              <w:t xml:space="preserve">bicubic</w:t>
            </w:r>
          </w:p>
        </w:tc>
        <w:tc>
          <w:p>
            <w:pPr>
              <w:pStyle w:val="Compact"/>
              <w:jc w:val="right"/>
            </w:pPr>
            <w:r>
              <w:t xml:space="preserve">0.751</w:t>
            </w:r>
          </w:p>
        </w:tc>
        <w:tc>
          <w:p>
            <w:pPr>
              <w:pStyle w:val="Compact"/>
              <w:jc w:val="right"/>
            </w:pPr>
            <w:r>
              <w:t xml:space="preserve">1.835</w:t>
            </w:r>
          </w:p>
        </w:tc>
        <w:tc>
          <w:p>
            <w:pPr>
              <w:pStyle w:val="Compact"/>
              <w:jc w:val="right"/>
            </w:pPr>
            <w:r>
              <w:t xml:space="preserve">0.460</w:t>
            </w:r>
          </w:p>
        </w:tc>
        <w:tc>
          <w:p>
            <w:pPr>
              <w:pStyle w:val="Compact"/>
              <w:jc w:val="right"/>
            </w:pPr>
            <w:r>
              <w:t xml:space="preserve">1.209</w:t>
            </w:r>
          </w:p>
        </w:tc>
        <w:tc>
          <w:p>
            <w:pPr>
              <w:pStyle w:val="Compact"/>
              <w:jc w:val="right"/>
            </w:pPr>
            <w:r>
              <w:t xml:space="preserve">2.354</w:t>
            </w:r>
          </w:p>
        </w:tc>
        <w:tc>
          <w:p>
            <w:pPr>
              <w:pStyle w:val="Compact"/>
              <w:jc w:val="right"/>
            </w:pPr>
            <w:r>
              <w:t xml:space="preserve">3.919</w:t>
            </w:r>
          </w:p>
        </w:tc>
        <w:tc>
          <w:p>
            <w:pPr>
              <w:pStyle w:val="Compact"/>
              <w:jc w:val="right"/>
            </w:pPr>
            <w:r>
              <w:t xml:space="preserve">8.818</w:t>
            </w:r>
          </w:p>
        </w:tc>
      </w:tr>
      <w:tr>
        <w:tc>
          <w:p>
            <w:pPr>
              <w:pStyle w:val="Compact"/>
              <w:jc w:val="right"/>
            </w:pPr>
            <w:r>
              <w:t xml:space="preserve">35</w:t>
            </w:r>
          </w:p>
        </w:tc>
        <w:tc>
          <w:p>
            <w:pPr>
              <w:pStyle w:val="Compact"/>
              <w:jc w:val="left"/>
            </w:pPr>
            <w:r>
              <w:t xml:space="preserve">dNBR</w:t>
            </w:r>
          </w:p>
        </w:tc>
        <w:tc>
          <w:p>
            <w:pPr>
              <w:pStyle w:val="Compact"/>
              <w:jc w:val="right"/>
            </w:pPr>
            <w:r>
              <w:t xml:space="preserve">48</w:t>
            </w:r>
          </w:p>
        </w:tc>
        <w:tc>
          <w:p>
            <w:pPr>
              <w:pStyle w:val="Compact"/>
              <w:jc w:val="left"/>
            </w:pPr>
            <w:r>
              <w:t xml:space="preserve">bilinear</w:t>
            </w:r>
          </w:p>
        </w:tc>
        <w:tc>
          <w:p>
            <w:pPr>
              <w:pStyle w:val="Compact"/>
              <w:jc w:val="right"/>
            </w:pPr>
            <w:r>
              <w:t xml:space="preserve">0.748</w:t>
            </w:r>
          </w:p>
        </w:tc>
        <w:tc>
          <w:p>
            <w:pPr>
              <w:pStyle w:val="Compact"/>
              <w:jc w:val="right"/>
            </w:pPr>
            <w:r>
              <w:t xml:space="preserve">0.035</w:t>
            </w:r>
          </w:p>
        </w:tc>
        <w:tc>
          <w:p>
            <w:pPr>
              <w:pStyle w:val="Compact"/>
              <w:jc w:val="right"/>
            </w:pPr>
            <w:r>
              <w:t xml:space="preserve">0.033</w:t>
            </w:r>
          </w:p>
        </w:tc>
        <w:tc>
          <w:p>
            <w:pPr>
              <w:pStyle w:val="Compact"/>
              <w:jc w:val="right"/>
            </w:pPr>
            <w:r>
              <w:t xml:space="preserve">1.076</w:t>
            </w:r>
          </w:p>
        </w:tc>
        <w:tc>
          <w:p>
            <w:pPr>
              <w:pStyle w:val="Compact"/>
              <w:jc w:val="right"/>
            </w:pPr>
            <w:r>
              <w:t xml:space="preserve">0.071</w:t>
            </w:r>
          </w:p>
        </w:tc>
        <w:tc>
          <w:p>
            <w:pPr>
              <w:pStyle w:val="Compact"/>
              <w:jc w:val="right"/>
            </w:pPr>
            <w:r>
              <w:t xml:space="preserve">0.161</w:t>
            </w:r>
          </w:p>
        </w:tc>
        <w:tc>
          <w:p>
            <w:pPr>
              <w:pStyle w:val="Compact"/>
              <w:jc w:val="right"/>
            </w:pPr>
            <w:r>
              <w:t xml:space="preserve">0.405</w:t>
            </w:r>
          </w:p>
        </w:tc>
      </w:tr>
      <w:tr>
        <w:tc>
          <w:p>
            <w:pPr>
              <w:pStyle w:val="Compact"/>
              <w:jc w:val="right"/>
            </w:pPr>
            <w:r>
              <w:t xml:space="preserve">36</w:t>
            </w:r>
          </w:p>
        </w:tc>
        <w:tc>
          <w:p>
            <w:pPr>
              <w:pStyle w:val="Compact"/>
              <w:jc w:val="left"/>
            </w:pPr>
            <w:r>
              <w:t xml:space="preserve">RdNDVI</w:t>
            </w:r>
          </w:p>
        </w:tc>
        <w:tc>
          <w:p>
            <w:pPr>
              <w:pStyle w:val="Compact"/>
              <w:jc w:val="right"/>
            </w:pPr>
            <w:r>
              <w:t xml:space="preserve">16</w:t>
            </w:r>
          </w:p>
        </w:tc>
        <w:tc>
          <w:p>
            <w:pPr>
              <w:pStyle w:val="Compact"/>
              <w:jc w:val="left"/>
            </w:pPr>
            <w:r>
              <w:t xml:space="preserve">bilinear</w:t>
            </w:r>
          </w:p>
        </w:tc>
        <w:tc>
          <w:p>
            <w:pPr>
              <w:pStyle w:val="Compact"/>
              <w:jc w:val="right"/>
            </w:pPr>
            <w:r>
              <w:t xml:space="preserve">0.747</w:t>
            </w:r>
          </w:p>
        </w:tc>
        <w:tc>
          <w:p>
            <w:pPr>
              <w:pStyle w:val="Compact"/>
              <w:jc w:val="right"/>
            </w:pPr>
            <w:r>
              <w:t xml:space="preserve">-0.983</w:t>
            </w:r>
          </w:p>
        </w:tc>
        <w:tc>
          <w:p>
            <w:pPr>
              <w:pStyle w:val="Compact"/>
              <w:jc w:val="right"/>
            </w:pPr>
            <w:r>
              <w:t xml:space="preserve">2.503</w:t>
            </w:r>
          </w:p>
        </w:tc>
        <w:tc>
          <w:p>
            <w:pPr>
              <w:pStyle w:val="Compact"/>
              <w:jc w:val="right"/>
            </w:pPr>
            <w:r>
              <w:t xml:space="preserve">0.678</w:t>
            </w:r>
          </w:p>
        </w:tc>
        <w:tc>
          <w:p>
            <w:pPr>
              <w:pStyle w:val="Compact"/>
              <w:jc w:val="right"/>
            </w:pPr>
            <w:r>
              <w:t xml:space="preserve">1.695</w:t>
            </w:r>
          </w:p>
        </w:tc>
        <w:tc>
          <w:p>
            <w:pPr>
              <w:pStyle w:val="Compact"/>
              <w:jc w:val="right"/>
            </w:pPr>
            <w:r>
              <w:t xml:space="preserve">4.856</w:t>
            </w:r>
          </w:p>
        </w:tc>
        <w:tc>
          <w:p>
            <w:pPr>
              <w:pStyle w:val="Compact"/>
              <w:jc w:val="right"/>
            </w:pPr>
            <w:r>
              <w:t xml:space="preserve">10.515</w:t>
            </w:r>
          </w:p>
        </w:tc>
      </w:tr>
      <w:tr>
        <w:tc>
          <w:p>
            <w:pPr>
              <w:pStyle w:val="Compact"/>
              <w:jc w:val="right"/>
            </w:pPr>
            <w:r>
              <w:t xml:space="preserve">37</w:t>
            </w:r>
          </w:p>
        </w:tc>
        <w:tc>
          <w:p>
            <w:pPr>
              <w:pStyle w:val="Compact"/>
              <w:jc w:val="left"/>
            </w:pPr>
            <w:r>
              <w:t xml:space="preserve">dNDVI</w:t>
            </w:r>
          </w:p>
        </w:tc>
        <w:tc>
          <w:p>
            <w:pPr>
              <w:pStyle w:val="Compact"/>
              <w:jc w:val="right"/>
            </w:pPr>
            <w:r>
              <w:t xml:space="preserve">64</w:t>
            </w:r>
          </w:p>
        </w:tc>
        <w:tc>
          <w:p>
            <w:pPr>
              <w:pStyle w:val="Compact"/>
              <w:jc w:val="left"/>
            </w:pPr>
            <w:r>
              <w:t xml:space="preserve">bicubic</w:t>
            </w:r>
          </w:p>
        </w:tc>
        <w:tc>
          <w:p>
            <w:pPr>
              <w:pStyle w:val="Compact"/>
              <w:jc w:val="right"/>
            </w:pPr>
            <w:r>
              <w:t xml:space="preserve">0.746</w:t>
            </w:r>
          </w:p>
        </w:tc>
        <w:tc>
          <w:p>
            <w:pPr>
              <w:pStyle w:val="Compact"/>
              <w:jc w:val="right"/>
            </w:pPr>
            <w:r>
              <w:t xml:space="preserve">-0.055</w:t>
            </w:r>
          </w:p>
        </w:tc>
        <w:tc>
          <w:p>
            <w:pPr>
              <w:pStyle w:val="Compact"/>
              <w:jc w:val="right"/>
            </w:pPr>
            <w:r>
              <w:t xml:space="preserve">0.082</w:t>
            </w:r>
          </w:p>
        </w:tc>
        <w:tc>
          <w:p>
            <w:pPr>
              <w:pStyle w:val="Compact"/>
              <w:jc w:val="right"/>
            </w:pPr>
            <w:r>
              <w:t xml:space="preserve">0.609</w:t>
            </w:r>
          </w:p>
        </w:tc>
        <w:tc>
          <w:p>
            <w:pPr>
              <w:pStyle w:val="Compact"/>
              <w:jc w:val="right"/>
            </w:pPr>
            <w:r>
              <w:t xml:space="preserve">0.032</w:t>
            </w:r>
          </w:p>
        </w:tc>
        <w:tc>
          <w:p>
            <w:pPr>
              <w:pStyle w:val="Compact"/>
              <w:jc w:val="right"/>
            </w:pPr>
            <w:r>
              <w:t xml:space="preserve">0.120</w:t>
            </w:r>
          </w:p>
        </w:tc>
        <w:tc>
          <w:p>
            <w:pPr>
              <w:pStyle w:val="Compact"/>
              <w:jc w:val="right"/>
            </w:pPr>
            <w:r>
              <w:t xml:space="preserve">0.266</w:t>
            </w:r>
          </w:p>
        </w:tc>
      </w:tr>
      <w:tr>
        <w:tc>
          <w:p>
            <w:pPr>
              <w:pStyle w:val="Compact"/>
              <w:jc w:val="right"/>
            </w:pPr>
            <w:r>
              <w:t xml:space="preserve">38</w:t>
            </w:r>
          </w:p>
        </w:tc>
        <w:tc>
          <w:p>
            <w:pPr>
              <w:pStyle w:val="Compact"/>
              <w:jc w:val="left"/>
            </w:pPr>
            <w:r>
              <w:t xml:space="preserve">dNDVI</w:t>
            </w:r>
          </w:p>
        </w:tc>
        <w:tc>
          <w:p>
            <w:pPr>
              <w:pStyle w:val="Compact"/>
              <w:jc w:val="right"/>
            </w:pPr>
            <w:r>
              <w:t xml:space="preserve">64</w:t>
            </w:r>
          </w:p>
        </w:tc>
        <w:tc>
          <w:p>
            <w:pPr>
              <w:pStyle w:val="Compact"/>
              <w:jc w:val="left"/>
            </w:pPr>
            <w:r>
              <w:t xml:space="preserve">bilinear</w:t>
            </w:r>
          </w:p>
        </w:tc>
        <w:tc>
          <w:p>
            <w:pPr>
              <w:pStyle w:val="Compact"/>
              <w:jc w:val="right"/>
            </w:pPr>
            <w:r>
              <w:t xml:space="preserve">0.741</w:t>
            </w:r>
          </w:p>
        </w:tc>
        <w:tc>
          <w:p>
            <w:pPr>
              <w:pStyle w:val="Compact"/>
              <w:jc w:val="right"/>
            </w:pPr>
            <w:r>
              <w:t xml:space="preserve">-0.046</w:t>
            </w:r>
          </w:p>
        </w:tc>
        <w:tc>
          <w:p>
            <w:pPr>
              <w:pStyle w:val="Compact"/>
              <w:jc w:val="right"/>
            </w:pPr>
            <w:r>
              <w:t xml:space="preserve">0.075</w:t>
            </w:r>
          </w:p>
        </w:tc>
        <w:tc>
          <w:p>
            <w:pPr>
              <w:pStyle w:val="Compact"/>
              <w:jc w:val="right"/>
            </w:pPr>
            <w:r>
              <w:t xml:space="preserve">0.627</w:t>
            </w:r>
          </w:p>
        </w:tc>
        <w:tc>
          <w:p>
            <w:pPr>
              <w:pStyle w:val="Compact"/>
              <w:jc w:val="right"/>
            </w:pPr>
            <w:r>
              <w:t xml:space="preserve">0.034</w:t>
            </w:r>
          </w:p>
        </w:tc>
        <w:tc>
          <w:p>
            <w:pPr>
              <w:pStyle w:val="Compact"/>
              <w:jc w:val="right"/>
            </w:pPr>
            <w:r>
              <w:t xml:space="preserve">0.118</w:t>
            </w:r>
          </w:p>
        </w:tc>
        <w:tc>
          <w:p>
            <w:pPr>
              <w:pStyle w:val="Compact"/>
              <w:jc w:val="right"/>
            </w:pPr>
            <w:r>
              <w:t xml:space="preserve">0.261</w:t>
            </w:r>
          </w:p>
        </w:tc>
      </w:tr>
      <w:tr>
        <w:tc>
          <w:p>
            <w:pPr>
              <w:pStyle w:val="Compact"/>
              <w:jc w:val="right"/>
            </w:pPr>
            <w:r>
              <w:t xml:space="preserve">39</w:t>
            </w:r>
          </w:p>
        </w:tc>
        <w:tc>
          <w:p>
            <w:pPr>
              <w:pStyle w:val="Compact"/>
              <w:jc w:val="left"/>
            </w:pPr>
            <w:r>
              <w:t xml:space="preserve">RdNBR2</w:t>
            </w:r>
          </w:p>
        </w:tc>
        <w:tc>
          <w:p>
            <w:pPr>
              <w:pStyle w:val="Compact"/>
              <w:jc w:val="right"/>
            </w:pPr>
            <w:r>
              <w:t xml:space="preserve">48</w:t>
            </w:r>
          </w:p>
        </w:tc>
        <w:tc>
          <w:p>
            <w:pPr>
              <w:pStyle w:val="Compact"/>
              <w:jc w:val="left"/>
            </w:pPr>
            <w:r>
              <w:t xml:space="preserve">bilinear</w:t>
            </w:r>
          </w:p>
        </w:tc>
        <w:tc>
          <w:p>
            <w:pPr>
              <w:pStyle w:val="Compact"/>
              <w:jc w:val="right"/>
            </w:pPr>
            <w:r>
              <w:t xml:space="preserve">0.737</w:t>
            </w:r>
          </w:p>
        </w:tc>
        <w:tc>
          <w:p>
            <w:pPr>
              <w:pStyle w:val="Compact"/>
              <w:jc w:val="right"/>
            </w:pPr>
            <w:r>
              <w:t xml:space="preserve">1.802</w:t>
            </w:r>
          </w:p>
        </w:tc>
        <w:tc>
          <w:p>
            <w:pPr>
              <w:pStyle w:val="Compact"/>
              <w:jc w:val="right"/>
            </w:pPr>
            <w:r>
              <w:t xml:space="preserve">0.497</w:t>
            </w:r>
          </w:p>
        </w:tc>
        <w:tc>
          <w:p>
            <w:pPr>
              <w:pStyle w:val="Compact"/>
              <w:jc w:val="right"/>
            </w:pPr>
            <w:r>
              <w:t xml:space="preserve">1.174</w:t>
            </w:r>
          </w:p>
        </w:tc>
        <w:tc>
          <w:p>
            <w:pPr>
              <w:pStyle w:val="Compact"/>
              <w:jc w:val="right"/>
            </w:pPr>
            <w:r>
              <w:t xml:space="preserve">2.361</w:t>
            </w:r>
          </w:p>
        </w:tc>
        <w:tc>
          <w:p>
            <w:pPr>
              <w:pStyle w:val="Compact"/>
              <w:jc w:val="right"/>
            </w:pPr>
            <w:r>
              <w:t xml:space="preserve">3.956</w:t>
            </w:r>
          </w:p>
        </w:tc>
        <w:tc>
          <w:p>
            <w:pPr>
              <w:pStyle w:val="Compact"/>
              <w:jc w:val="right"/>
            </w:pPr>
            <w:r>
              <w:t xml:space="preserve">8.766</w:t>
            </w:r>
          </w:p>
        </w:tc>
      </w:tr>
      <w:tr>
        <w:tc>
          <w:p>
            <w:pPr>
              <w:pStyle w:val="Compact"/>
              <w:jc w:val="right"/>
            </w:pPr>
            <w:r>
              <w:t xml:space="preserve">40</w:t>
            </w:r>
          </w:p>
        </w:tc>
        <w:tc>
          <w:p>
            <w:pPr>
              <w:pStyle w:val="Compact"/>
              <w:jc w:val="left"/>
            </w:pPr>
            <w:r>
              <w:t xml:space="preserve">RdNBR</w:t>
            </w:r>
          </w:p>
        </w:tc>
        <w:tc>
          <w:p>
            <w:pPr>
              <w:pStyle w:val="Compact"/>
              <w:jc w:val="right"/>
            </w:pPr>
            <w:r>
              <w:t xml:space="preserve">64</w:t>
            </w:r>
          </w:p>
        </w:tc>
        <w:tc>
          <w:p>
            <w:pPr>
              <w:pStyle w:val="Compact"/>
              <w:jc w:val="left"/>
            </w:pPr>
            <w:r>
              <w:t xml:space="preserve">bicubic</w:t>
            </w:r>
          </w:p>
        </w:tc>
        <w:tc>
          <w:p>
            <w:pPr>
              <w:pStyle w:val="Compact"/>
              <w:jc w:val="right"/>
            </w:pPr>
            <w:r>
              <w:t xml:space="preserve">0.737</w:t>
            </w:r>
          </w:p>
        </w:tc>
        <w:tc>
          <w:p>
            <w:pPr>
              <w:pStyle w:val="Compact"/>
              <w:jc w:val="right"/>
            </w:pPr>
            <w:r>
              <w:t xml:space="preserve">-1.448</w:t>
            </w:r>
          </w:p>
        </w:tc>
        <w:tc>
          <w:p>
            <w:pPr>
              <w:pStyle w:val="Compact"/>
              <w:jc w:val="right"/>
            </w:pPr>
            <w:r>
              <w:t xml:space="preserve">3.651</w:t>
            </w:r>
          </w:p>
        </w:tc>
        <w:tc>
          <w:p>
            <w:pPr>
              <w:pStyle w:val="Compact"/>
              <w:jc w:val="right"/>
            </w:pPr>
            <w:r>
              <w:t xml:space="preserve">0.819</w:t>
            </w:r>
          </w:p>
        </w:tc>
        <w:tc>
          <w:p>
            <w:pPr>
              <w:pStyle w:val="Compact"/>
              <w:jc w:val="right"/>
            </w:pPr>
            <w:r>
              <w:t xml:space="preserve">2.515</w:t>
            </w:r>
          </w:p>
        </w:tc>
        <w:tc>
          <w:p>
            <w:pPr>
              <w:pStyle w:val="Compact"/>
              <w:jc w:val="right"/>
            </w:pPr>
            <w:r>
              <w:t xml:space="preserve">8.717</w:t>
            </w:r>
          </w:p>
        </w:tc>
        <w:tc>
          <w:p>
            <w:pPr>
              <w:pStyle w:val="Compact"/>
              <w:jc w:val="right"/>
            </w:pPr>
            <w:r>
              <w:t xml:space="preserve">21.611</w:t>
            </w:r>
          </w:p>
        </w:tc>
      </w:tr>
      <w:tr>
        <w:tc>
          <w:p>
            <w:pPr>
              <w:pStyle w:val="Compact"/>
              <w:jc w:val="right"/>
            </w:pPr>
            <w:r>
              <w:t xml:space="preserve">41</w:t>
            </w:r>
          </w:p>
        </w:tc>
        <w:tc>
          <w:p>
            <w:pPr>
              <w:pStyle w:val="Compact"/>
              <w:jc w:val="left"/>
            </w:pPr>
            <w:r>
              <w:t xml:space="preserve">RdNBR2</w:t>
            </w:r>
          </w:p>
        </w:tc>
        <w:tc>
          <w:p>
            <w:pPr>
              <w:pStyle w:val="Compact"/>
              <w:jc w:val="right"/>
            </w:pPr>
            <w:r>
              <w:t xml:space="preserve">64</w:t>
            </w:r>
          </w:p>
        </w:tc>
        <w:tc>
          <w:p>
            <w:pPr>
              <w:pStyle w:val="Compact"/>
              <w:jc w:val="left"/>
            </w:pPr>
            <w:r>
              <w:t xml:space="preserve">bilinear</w:t>
            </w:r>
          </w:p>
        </w:tc>
        <w:tc>
          <w:p>
            <w:pPr>
              <w:pStyle w:val="Compact"/>
              <w:jc w:val="right"/>
            </w:pPr>
            <w:r>
              <w:t xml:space="preserve">0.735</w:t>
            </w:r>
          </w:p>
        </w:tc>
        <w:tc>
          <w:p>
            <w:pPr>
              <w:pStyle w:val="Compact"/>
              <w:jc w:val="right"/>
            </w:pPr>
            <w:r>
              <w:t xml:space="preserve">2.027</w:t>
            </w:r>
          </w:p>
        </w:tc>
        <w:tc>
          <w:p>
            <w:pPr>
              <w:pStyle w:val="Compact"/>
              <w:jc w:val="right"/>
            </w:pPr>
            <w:r>
              <w:t xml:space="preserve">0.451</w:t>
            </w:r>
          </w:p>
        </w:tc>
        <w:tc>
          <w:p>
            <w:pPr>
              <w:pStyle w:val="Compact"/>
              <w:jc w:val="right"/>
            </w:pPr>
            <w:r>
              <w:t xml:space="preserve">1.204</w:t>
            </w:r>
          </w:p>
        </w:tc>
        <w:tc>
          <w:p>
            <w:pPr>
              <w:pStyle w:val="Compact"/>
              <w:jc w:val="right"/>
            </w:pPr>
            <w:r>
              <w:t xml:space="preserve">2.536</w:t>
            </w:r>
          </w:p>
        </w:tc>
        <w:tc>
          <w:p>
            <w:pPr>
              <w:pStyle w:val="Compact"/>
              <w:jc w:val="right"/>
            </w:pPr>
            <w:r>
              <w:t xml:space="preserve">4.060</w:t>
            </w:r>
          </w:p>
        </w:tc>
        <w:tc>
          <w:p>
            <w:pPr>
              <w:pStyle w:val="Compact"/>
              <w:jc w:val="right"/>
            </w:pPr>
            <w:r>
              <w:t xml:space="preserve">8.801</w:t>
            </w:r>
          </w:p>
        </w:tc>
      </w:tr>
      <w:tr>
        <w:tc>
          <w:p>
            <w:pPr>
              <w:pStyle w:val="Compact"/>
              <w:jc w:val="right"/>
            </w:pPr>
            <w:r>
              <w:t xml:space="preserve">42</w:t>
            </w:r>
          </w:p>
        </w:tc>
        <w:tc>
          <w:p>
            <w:pPr>
              <w:pStyle w:val="Compact"/>
              <w:jc w:val="left"/>
            </w:pPr>
            <w:r>
              <w:t xml:space="preserve">dNBR</w:t>
            </w:r>
          </w:p>
        </w:tc>
        <w:tc>
          <w:p>
            <w:pPr>
              <w:pStyle w:val="Compact"/>
              <w:jc w:val="right"/>
            </w:pPr>
            <w:r>
              <w:t xml:space="preserve">16</w:t>
            </w:r>
          </w:p>
        </w:tc>
        <w:tc>
          <w:p>
            <w:pPr>
              <w:pStyle w:val="Compact"/>
              <w:jc w:val="left"/>
            </w:pPr>
            <w:r>
              <w:t xml:space="preserve">bicubic</w:t>
            </w:r>
          </w:p>
        </w:tc>
        <w:tc>
          <w:p>
            <w:pPr>
              <w:pStyle w:val="Compact"/>
              <w:jc w:val="right"/>
            </w:pPr>
            <w:r>
              <w:t xml:space="preserve">0.729</w:t>
            </w:r>
          </w:p>
        </w:tc>
        <w:tc>
          <w:p>
            <w:pPr>
              <w:pStyle w:val="Compact"/>
              <w:jc w:val="right"/>
            </w:pPr>
            <w:r>
              <w:t xml:space="preserve">0.032</w:t>
            </w:r>
          </w:p>
        </w:tc>
        <w:tc>
          <w:p>
            <w:pPr>
              <w:pStyle w:val="Compact"/>
              <w:jc w:val="right"/>
            </w:pPr>
            <w:r>
              <w:t xml:space="preserve">0.036</w:t>
            </w:r>
          </w:p>
        </w:tc>
        <w:tc>
          <w:p>
            <w:pPr>
              <w:pStyle w:val="Compact"/>
              <w:jc w:val="right"/>
            </w:pPr>
            <w:r>
              <w:t xml:space="preserve">1.058</w:t>
            </w:r>
          </w:p>
        </w:tc>
        <w:tc>
          <w:p>
            <w:pPr>
              <w:pStyle w:val="Compact"/>
              <w:jc w:val="right"/>
            </w:pPr>
            <w:r>
              <w:t xml:space="preserve">0.072</w:t>
            </w:r>
          </w:p>
        </w:tc>
        <w:tc>
          <w:p>
            <w:pPr>
              <w:pStyle w:val="Compact"/>
              <w:jc w:val="right"/>
            </w:pPr>
            <w:r>
              <w:t xml:space="preserve">0.168</w:t>
            </w:r>
          </w:p>
        </w:tc>
        <w:tc>
          <w:p>
            <w:pPr>
              <w:pStyle w:val="Compact"/>
              <w:jc w:val="right"/>
            </w:pPr>
            <w:r>
              <w:t xml:space="preserve">0.423</w:t>
            </w:r>
          </w:p>
        </w:tc>
      </w:tr>
      <w:tr>
        <w:tc>
          <w:p>
            <w:pPr>
              <w:pStyle w:val="Compact"/>
              <w:jc w:val="right"/>
            </w:pPr>
            <w:r>
              <w:t xml:space="preserve">43</w:t>
            </w:r>
          </w:p>
        </w:tc>
        <w:tc>
          <w:p>
            <w:pPr>
              <w:pStyle w:val="Compact"/>
              <w:jc w:val="left"/>
            </w:pPr>
            <w:r>
              <w:t xml:space="preserve">dNBR2</w:t>
            </w:r>
          </w:p>
        </w:tc>
        <w:tc>
          <w:p>
            <w:pPr>
              <w:pStyle w:val="Compact"/>
              <w:jc w:val="right"/>
            </w:pPr>
            <w:r>
              <w:t xml:space="preserve">32</w:t>
            </w:r>
          </w:p>
        </w:tc>
        <w:tc>
          <w:p>
            <w:pPr>
              <w:pStyle w:val="Compact"/>
              <w:jc w:val="left"/>
            </w:pPr>
            <w:r>
              <w:t xml:space="preserve">bilinear</w:t>
            </w:r>
          </w:p>
        </w:tc>
        <w:tc>
          <w:p>
            <w:pPr>
              <w:pStyle w:val="Compact"/>
              <w:jc w:val="right"/>
            </w:pPr>
            <w:r>
              <w:t xml:space="preserve">0.727</w:t>
            </w:r>
          </w:p>
        </w:tc>
        <w:tc>
          <w:p>
            <w:pPr>
              <w:pStyle w:val="Compact"/>
              <w:jc w:val="right"/>
            </w:pPr>
            <w:r>
              <w:t xml:space="preserve">0.026</w:t>
            </w:r>
          </w:p>
        </w:tc>
        <w:tc>
          <w:p>
            <w:pPr>
              <w:pStyle w:val="Compact"/>
              <w:jc w:val="right"/>
            </w:pPr>
            <w:r>
              <w:t xml:space="preserve">0.009</w:t>
            </w:r>
          </w:p>
        </w:tc>
        <w:tc>
          <w:p>
            <w:pPr>
              <w:pStyle w:val="Compact"/>
              <w:jc w:val="right"/>
            </w:pPr>
            <w:r>
              <w:t xml:space="preserve">1.149</w:t>
            </w:r>
          </w:p>
        </w:tc>
        <w:tc>
          <w:p>
            <w:pPr>
              <w:pStyle w:val="Compact"/>
              <w:jc w:val="right"/>
            </w:pPr>
            <w:r>
              <w:t xml:space="preserve">0.035</w:t>
            </w:r>
          </w:p>
        </w:tc>
        <w:tc>
          <w:p>
            <w:pPr>
              <w:pStyle w:val="Compact"/>
              <w:jc w:val="right"/>
            </w:pPr>
            <w:r>
              <w:t xml:space="preserve">0.062</w:t>
            </w:r>
          </w:p>
        </w:tc>
        <w:tc>
          <w:p>
            <w:pPr>
              <w:pStyle w:val="Compact"/>
              <w:jc w:val="right"/>
            </w:pPr>
            <w:r>
              <w:t xml:space="preserve">0.140</w:t>
            </w:r>
          </w:p>
        </w:tc>
      </w:tr>
      <w:tr>
        <w:tc>
          <w:p>
            <w:pPr>
              <w:pStyle w:val="Compact"/>
              <w:jc w:val="right"/>
            </w:pPr>
            <w:r>
              <w:t xml:space="preserve">44</w:t>
            </w:r>
          </w:p>
        </w:tc>
        <w:tc>
          <w:p>
            <w:pPr>
              <w:pStyle w:val="Compact"/>
              <w:jc w:val="left"/>
            </w:pPr>
            <w:r>
              <w:t xml:space="preserve">dNDVI</w:t>
            </w:r>
          </w:p>
        </w:tc>
        <w:tc>
          <w:p>
            <w:pPr>
              <w:pStyle w:val="Compact"/>
              <w:jc w:val="right"/>
            </w:pPr>
            <w:r>
              <w:t xml:space="preserve">16</w:t>
            </w:r>
          </w:p>
        </w:tc>
        <w:tc>
          <w:p>
            <w:pPr>
              <w:pStyle w:val="Compact"/>
              <w:jc w:val="left"/>
            </w:pPr>
            <w:r>
              <w:t xml:space="preserve">bicubic</w:t>
            </w:r>
          </w:p>
        </w:tc>
        <w:tc>
          <w:p>
            <w:pPr>
              <w:pStyle w:val="Compact"/>
              <w:jc w:val="right"/>
            </w:pPr>
            <w:r>
              <w:t xml:space="preserve">0.726</w:t>
            </w:r>
          </w:p>
        </w:tc>
        <w:tc>
          <w:p>
            <w:pPr>
              <w:pStyle w:val="Compact"/>
              <w:jc w:val="right"/>
            </w:pPr>
            <w:r>
              <w:t xml:space="preserve">-0.030</w:t>
            </w:r>
          </w:p>
        </w:tc>
        <w:tc>
          <w:p>
            <w:pPr>
              <w:pStyle w:val="Compact"/>
              <w:jc w:val="right"/>
            </w:pPr>
            <w:r>
              <w:t xml:space="preserve">0.065</w:t>
            </w:r>
          </w:p>
        </w:tc>
        <w:tc>
          <w:p>
            <w:pPr>
              <w:pStyle w:val="Compact"/>
              <w:jc w:val="right"/>
            </w:pPr>
            <w:r>
              <w:t xml:space="preserve">0.674</w:t>
            </w:r>
          </w:p>
        </w:tc>
        <w:tc>
          <w:p>
            <w:pPr>
              <w:pStyle w:val="Compact"/>
              <w:jc w:val="right"/>
            </w:pPr>
            <w:r>
              <w:t xml:space="preserve">0.040</w:t>
            </w:r>
          </w:p>
        </w:tc>
        <w:tc>
          <w:p>
            <w:pPr>
              <w:pStyle w:val="Compact"/>
              <w:jc w:val="right"/>
            </w:pPr>
            <w:r>
              <w:t xml:space="preserve">0.121</w:t>
            </w:r>
          </w:p>
        </w:tc>
        <w:tc>
          <w:p>
            <w:pPr>
              <w:pStyle w:val="Compact"/>
              <w:jc w:val="right"/>
            </w:pPr>
            <w:r>
              <w:t xml:space="preserve">0.267</w:t>
            </w:r>
          </w:p>
        </w:tc>
      </w:tr>
      <w:tr>
        <w:tc>
          <w:p>
            <w:pPr>
              <w:pStyle w:val="Compact"/>
              <w:jc w:val="right"/>
            </w:pPr>
            <w:r>
              <w:t xml:space="preserve">45</w:t>
            </w:r>
          </w:p>
        </w:tc>
        <w:tc>
          <w:p>
            <w:pPr>
              <w:pStyle w:val="Compact"/>
              <w:jc w:val="left"/>
            </w:pPr>
            <w:r>
              <w:t xml:space="preserve">RdNDVI</w:t>
            </w:r>
          </w:p>
        </w:tc>
        <w:tc>
          <w:p>
            <w:pPr>
              <w:pStyle w:val="Compact"/>
              <w:jc w:val="right"/>
            </w:pPr>
            <w:r>
              <w:t xml:space="preserve">16</w:t>
            </w:r>
          </w:p>
        </w:tc>
        <w:tc>
          <w:p>
            <w:pPr>
              <w:pStyle w:val="Compact"/>
              <w:jc w:val="left"/>
            </w:pPr>
            <w:r>
              <w:t xml:space="preserve">bicubic</w:t>
            </w:r>
          </w:p>
        </w:tc>
        <w:tc>
          <w:p>
            <w:pPr>
              <w:pStyle w:val="Compact"/>
              <w:jc w:val="right"/>
            </w:pPr>
            <w:r>
              <w:t xml:space="preserve">0.725</w:t>
            </w:r>
          </w:p>
        </w:tc>
        <w:tc>
          <w:p>
            <w:pPr>
              <w:pStyle w:val="Compact"/>
              <w:jc w:val="right"/>
            </w:pPr>
            <w:r>
              <w:t xml:space="preserve">-1.248</w:t>
            </w:r>
          </w:p>
        </w:tc>
        <w:tc>
          <w:p>
            <w:pPr>
              <w:pStyle w:val="Compact"/>
              <w:jc w:val="right"/>
            </w:pPr>
            <w:r>
              <w:t xml:space="preserve">2.681</w:t>
            </w:r>
          </w:p>
        </w:tc>
        <w:tc>
          <w:p>
            <w:pPr>
              <w:pStyle w:val="Compact"/>
              <w:jc w:val="right"/>
            </w:pPr>
            <w:r>
              <w:t xml:space="preserve">0.665</w:t>
            </w:r>
          </w:p>
        </w:tc>
        <w:tc>
          <w:p>
            <w:pPr>
              <w:pStyle w:val="Compact"/>
              <w:jc w:val="right"/>
            </w:pPr>
            <w:r>
              <w:t xml:space="preserve">1.618</w:t>
            </w:r>
          </w:p>
        </w:tc>
        <w:tc>
          <w:p>
            <w:pPr>
              <w:pStyle w:val="Compact"/>
              <w:jc w:val="right"/>
            </w:pPr>
            <w:r>
              <w:t xml:space="preserve">4.908</w:t>
            </w:r>
          </w:p>
        </w:tc>
        <w:tc>
          <w:p>
            <w:pPr>
              <w:pStyle w:val="Compact"/>
              <w:jc w:val="right"/>
            </w:pPr>
            <w:r>
              <w:t xml:space="preserve">10.721</w:t>
            </w:r>
          </w:p>
        </w:tc>
      </w:tr>
      <w:tr>
        <w:tc>
          <w:p>
            <w:pPr>
              <w:pStyle w:val="Compact"/>
              <w:jc w:val="right"/>
            </w:pPr>
            <w:r>
              <w:t xml:space="preserve">46</w:t>
            </w:r>
          </w:p>
        </w:tc>
        <w:tc>
          <w:p>
            <w:pPr>
              <w:pStyle w:val="Compact"/>
              <w:jc w:val="left"/>
            </w:pPr>
            <w:r>
              <w:t xml:space="preserve">dNBR2</w:t>
            </w:r>
          </w:p>
        </w:tc>
        <w:tc>
          <w:p>
            <w:pPr>
              <w:pStyle w:val="Compact"/>
              <w:jc w:val="right"/>
            </w:pPr>
            <w:r>
              <w:t xml:space="preserve">32</w:t>
            </w:r>
          </w:p>
        </w:tc>
        <w:tc>
          <w:p>
            <w:pPr>
              <w:pStyle w:val="Compact"/>
              <w:jc w:val="left"/>
            </w:pPr>
            <w:r>
              <w:t xml:space="preserve">bicubic</w:t>
            </w:r>
          </w:p>
        </w:tc>
        <w:tc>
          <w:p>
            <w:pPr>
              <w:pStyle w:val="Compact"/>
              <w:jc w:val="right"/>
            </w:pPr>
            <w:r>
              <w:t xml:space="preserve">0.715</w:t>
            </w:r>
          </w:p>
        </w:tc>
        <w:tc>
          <w:p>
            <w:pPr>
              <w:pStyle w:val="Compact"/>
              <w:jc w:val="right"/>
            </w:pPr>
            <w:r>
              <w:t xml:space="preserve">0.025</w:t>
            </w:r>
          </w:p>
        </w:tc>
        <w:tc>
          <w:p>
            <w:pPr>
              <w:pStyle w:val="Compact"/>
              <w:jc w:val="right"/>
            </w:pPr>
            <w:r>
              <w:t xml:space="preserve">0.008</w:t>
            </w:r>
          </w:p>
        </w:tc>
        <w:tc>
          <w:p>
            <w:pPr>
              <w:pStyle w:val="Compact"/>
              <w:jc w:val="right"/>
            </w:pPr>
            <w:r>
              <w:t xml:space="preserve">1.177</w:t>
            </w:r>
          </w:p>
        </w:tc>
        <w:tc>
          <w:p>
            <w:pPr>
              <w:pStyle w:val="Compact"/>
              <w:jc w:val="right"/>
            </w:pPr>
            <w:r>
              <w:t xml:space="preserve">0.035</w:t>
            </w:r>
          </w:p>
        </w:tc>
        <w:tc>
          <w:p>
            <w:pPr>
              <w:pStyle w:val="Compact"/>
              <w:jc w:val="right"/>
            </w:pPr>
            <w:r>
              <w:t xml:space="preserve">0.061</w:t>
            </w:r>
          </w:p>
        </w:tc>
        <w:tc>
          <w:p>
            <w:pPr>
              <w:pStyle w:val="Compact"/>
              <w:jc w:val="right"/>
            </w:pPr>
            <w:r>
              <w:t xml:space="preserve">0.142</w:t>
            </w:r>
          </w:p>
        </w:tc>
      </w:tr>
      <w:tr>
        <w:tc>
          <w:p>
            <w:pPr>
              <w:pStyle w:val="Compact"/>
              <w:jc w:val="right"/>
            </w:pPr>
            <w:r>
              <w:t xml:space="preserve">47</w:t>
            </w:r>
          </w:p>
        </w:tc>
        <w:tc>
          <w:p>
            <w:pPr>
              <w:pStyle w:val="Compact"/>
              <w:jc w:val="left"/>
            </w:pPr>
            <w:r>
              <w:t xml:space="preserve">dNBR2</w:t>
            </w:r>
          </w:p>
        </w:tc>
        <w:tc>
          <w:p>
            <w:pPr>
              <w:pStyle w:val="Compact"/>
              <w:jc w:val="right"/>
            </w:pPr>
            <w:r>
              <w:t xml:space="preserve">64</w:t>
            </w:r>
          </w:p>
        </w:tc>
        <w:tc>
          <w:p>
            <w:pPr>
              <w:pStyle w:val="Compact"/>
              <w:jc w:val="left"/>
            </w:pPr>
            <w:r>
              <w:t xml:space="preserve">bilinear</w:t>
            </w:r>
          </w:p>
        </w:tc>
        <w:tc>
          <w:p>
            <w:pPr>
              <w:pStyle w:val="Compact"/>
              <w:jc w:val="right"/>
            </w:pPr>
            <w:r>
              <w:t xml:space="preserve">0.714</w:t>
            </w:r>
          </w:p>
        </w:tc>
        <w:tc>
          <w:p>
            <w:pPr>
              <w:pStyle w:val="Compact"/>
              <w:jc w:val="right"/>
            </w:pPr>
            <w:r>
              <w:t xml:space="preserve">0.036</w:t>
            </w:r>
          </w:p>
        </w:tc>
        <w:tc>
          <w:p>
            <w:pPr>
              <w:pStyle w:val="Compact"/>
              <w:jc w:val="right"/>
            </w:pPr>
            <w:r>
              <w:t xml:space="preserve">0.006</w:t>
            </w:r>
          </w:p>
        </w:tc>
        <w:tc>
          <w:p>
            <w:pPr>
              <w:pStyle w:val="Compact"/>
              <w:jc w:val="right"/>
            </w:pPr>
            <w:r>
              <w:t xml:space="preserve">1.283</w:t>
            </w:r>
          </w:p>
        </w:tc>
        <w:tc>
          <w:p>
            <w:pPr>
              <w:pStyle w:val="Compact"/>
              <w:jc w:val="right"/>
            </w:pPr>
            <w:r>
              <w:t xml:space="preserve">0.043</w:t>
            </w:r>
          </w:p>
        </w:tc>
        <w:tc>
          <w:p>
            <w:pPr>
              <w:pStyle w:val="Compact"/>
              <w:jc w:val="right"/>
            </w:pPr>
            <w:r>
              <w:t xml:space="preserve">0.064</w:t>
            </w:r>
          </w:p>
        </w:tc>
        <w:tc>
          <w:p>
            <w:pPr>
              <w:pStyle w:val="Compact"/>
              <w:jc w:val="right"/>
            </w:pPr>
            <w:r>
              <w:t xml:space="preserve">0.137</w:t>
            </w:r>
          </w:p>
        </w:tc>
      </w:tr>
      <w:tr>
        <w:tc>
          <w:p>
            <w:pPr>
              <w:pStyle w:val="Compact"/>
              <w:jc w:val="right"/>
            </w:pPr>
            <w:r>
              <w:t xml:space="preserve">48</w:t>
            </w:r>
          </w:p>
        </w:tc>
        <w:tc>
          <w:p>
            <w:pPr>
              <w:pStyle w:val="Compact"/>
              <w:jc w:val="left"/>
            </w:pPr>
            <w:r>
              <w:t xml:space="preserve">dNDVI</w:t>
            </w:r>
          </w:p>
        </w:tc>
        <w:tc>
          <w:p>
            <w:pPr>
              <w:pStyle w:val="Compact"/>
              <w:jc w:val="right"/>
            </w:pPr>
            <w:r>
              <w:t xml:space="preserve">16</w:t>
            </w:r>
          </w:p>
        </w:tc>
        <w:tc>
          <w:p>
            <w:pPr>
              <w:pStyle w:val="Compact"/>
              <w:jc w:val="left"/>
            </w:pPr>
            <w:r>
              <w:t xml:space="preserve">bilinear</w:t>
            </w:r>
          </w:p>
        </w:tc>
        <w:tc>
          <w:p>
            <w:pPr>
              <w:pStyle w:val="Compact"/>
              <w:jc w:val="right"/>
            </w:pPr>
            <w:r>
              <w:t xml:space="preserve">0.707</w:t>
            </w:r>
          </w:p>
        </w:tc>
        <w:tc>
          <w:p>
            <w:pPr>
              <w:pStyle w:val="Compact"/>
              <w:jc w:val="right"/>
            </w:pPr>
            <w:r>
              <w:t xml:space="preserve">-0.023</w:t>
            </w:r>
          </w:p>
        </w:tc>
        <w:tc>
          <w:p>
            <w:pPr>
              <w:pStyle w:val="Compact"/>
              <w:jc w:val="right"/>
            </w:pPr>
            <w:r>
              <w:t xml:space="preserve">0.060</w:t>
            </w:r>
          </w:p>
        </w:tc>
        <w:tc>
          <w:p>
            <w:pPr>
              <w:pStyle w:val="Compact"/>
              <w:jc w:val="right"/>
            </w:pPr>
            <w:r>
              <w:t xml:space="preserve">0.689</w:t>
            </w:r>
          </w:p>
        </w:tc>
        <w:tc>
          <w:p>
            <w:pPr>
              <w:pStyle w:val="Compact"/>
              <w:jc w:val="right"/>
            </w:pPr>
            <w:r>
              <w:t xml:space="preserve">0.042</w:t>
            </w:r>
          </w:p>
        </w:tc>
        <w:tc>
          <w:p>
            <w:pPr>
              <w:pStyle w:val="Compact"/>
              <w:jc w:val="right"/>
            </w:pPr>
            <w:r>
              <w:t xml:space="preserve">0.120</w:t>
            </w:r>
          </w:p>
        </w:tc>
        <w:tc>
          <w:p>
            <w:pPr>
              <w:pStyle w:val="Compact"/>
              <w:jc w:val="right"/>
            </w:pPr>
            <w:r>
              <w:t xml:space="preserve">0.261</w:t>
            </w:r>
          </w:p>
        </w:tc>
      </w:tr>
      <w:tr>
        <w:tc>
          <w:p>
            <w:pPr>
              <w:pStyle w:val="Compact"/>
              <w:jc w:val="right"/>
            </w:pPr>
            <w:r>
              <w:t xml:space="preserve">49</w:t>
            </w:r>
          </w:p>
        </w:tc>
        <w:tc>
          <w:p>
            <w:pPr>
              <w:pStyle w:val="Compact"/>
              <w:jc w:val="left"/>
            </w:pPr>
            <w:r>
              <w:t xml:space="preserve">dNBR2</w:t>
            </w:r>
          </w:p>
        </w:tc>
        <w:tc>
          <w:p>
            <w:pPr>
              <w:pStyle w:val="Compact"/>
              <w:jc w:val="right"/>
            </w:pPr>
            <w:r>
              <w:t xml:space="preserve">48</w:t>
            </w:r>
          </w:p>
        </w:tc>
        <w:tc>
          <w:p>
            <w:pPr>
              <w:pStyle w:val="Compact"/>
              <w:jc w:val="left"/>
            </w:pPr>
            <w:r>
              <w:t xml:space="preserve">bilinear</w:t>
            </w:r>
          </w:p>
        </w:tc>
        <w:tc>
          <w:p>
            <w:pPr>
              <w:pStyle w:val="Compact"/>
              <w:jc w:val="right"/>
            </w:pPr>
            <w:r>
              <w:t xml:space="preserve">0.686</w:t>
            </w:r>
          </w:p>
        </w:tc>
        <w:tc>
          <w:p>
            <w:pPr>
              <w:pStyle w:val="Compact"/>
              <w:jc w:val="right"/>
            </w:pPr>
            <w:r>
              <w:t xml:space="preserve">0.033</w:t>
            </w:r>
          </w:p>
        </w:tc>
        <w:tc>
          <w:p>
            <w:pPr>
              <w:pStyle w:val="Compact"/>
              <w:jc w:val="right"/>
            </w:pPr>
            <w:r>
              <w:t xml:space="preserve">0.006</w:t>
            </w:r>
          </w:p>
        </w:tc>
        <w:tc>
          <w:p>
            <w:pPr>
              <w:pStyle w:val="Compact"/>
              <w:jc w:val="right"/>
            </w:pPr>
            <w:r>
              <w:t xml:space="preserve">1.248</w:t>
            </w:r>
          </w:p>
        </w:tc>
        <w:tc>
          <w:p>
            <w:pPr>
              <w:pStyle w:val="Compact"/>
              <w:jc w:val="right"/>
            </w:pPr>
            <w:r>
              <w:t xml:space="preserve">0.040</w:t>
            </w:r>
          </w:p>
        </w:tc>
        <w:tc>
          <w:p>
            <w:pPr>
              <w:pStyle w:val="Compact"/>
              <w:jc w:val="right"/>
            </w:pPr>
            <w:r>
              <w:t xml:space="preserve">0.063</w:t>
            </w:r>
          </w:p>
        </w:tc>
        <w:tc>
          <w:p>
            <w:pPr>
              <w:pStyle w:val="Compact"/>
              <w:jc w:val="right"/>
            </w:pPr>
            <w:r>
              <w:t xml:space="preserve">0.137</w:t>
            </w:r>
          </w:p>
        </w:tc>
      </w:tr>
      <w:tr>
        <w:tc>
          <w:p>
            <w:pPr>
              <w:pStyle w:val="Compact"/>
              <w:jc w:val="right"/>
            </w:pPr>
            <w:r>
              <w:t xml:space="preserve">50</w:t>
            </w:r>
          </w:p>
        </w:tc>
        <w:tc>
          <w:p>
            <w:pPr>
              <w:pStyle w:val="Compact"/>
              <w:jc w:val="left"/>
            </w:pPr>
            <w:r>
              <w:t xml:space="preserve">RdNBR2</w:t>
            </w:r>
          </w:p>
        </w:tc>
        <w:tc>
          <w:p>
            <w:pPr>
              <w:pStyle w:val="Compact"/>
              <w:jc w:val="right"/>
            </w:pPr>
            <w:r>
              <w:t xml:space="preserve">16</w:t>
            </w:r>
          </w:p>
        </w:tc>
        <w:tc>
          <w:p>
            <w:pPr>
              <w:pStyle w:val="Compact"/>
              <w:jc w:val="left"/>
            </w:pPr>
            <w:r>
              <w:t xml:space="preserve">bilinear</w:t>
            </w:r>
          </w:p>
        </w:tc>
        <w:tc>
          <w:p>
            <w:pPr>
              <w:pStyle w:val="Compact"/>
              <w:jc w:val="right"/>
            </w:pPr>
            <w:r>
              <w:t xml:space="preserve">0.682</w:t>
            </w:r>
          </w:p>
        </w:tc>
        <w:tc>
          <w:p>
            <w:pPr>
              <w:pStyle w:val="Compact"/>
              <w:jc w:val="right"/>
            </w:pPr>
            <w:r>
              <w:t xml:space="preserve">1.928</w:t>
            </w:r>
          </w:p>
        </w:tc>
        <w:tc>
          <w:p>
            <w:pPr>
              <w:pStyle w:val="Compact"/>
              <w:jc w:val="right"/>
            </w:pPr>
            <w:r>
              <w:t xml:space="preserve">0.465</w:t>
            </w:r>
          </w:p>
        </w:tc>
        <w:tc>
          <w:p>
            <w:pPr>
              <w:pStyle w:val="Compact"/>
              <w:jc w:val="right"/>
            </w:pPr>
            <w:r>
              <w:t xml:space="preserve">1.189</w:t>
            </w:r>
          </w:p>
        </w:tc>
        <w:tc>
          <w:p>
            <w:pPr>
              <w:pStyle w:val="Compact"/>
              <w:jc w:val="right"/>
            </w:pPr>
            <w:r>
              <w:t xml:space="preserve">2.452</w:t>
            </w:r>
          </w:p>
        </w:tc>
        <w:tc>
          <w:p>
            <w:pPr>
              <w:pStyle w:val="Compact"/>
              <w:jc w:val="right"/>
            </w:pPr>
            <w:r>
              <w:t xml:space="preserve">3.983</w:t>
            </w:r>
          </w:p>
        </w:tc>
        <w:tc>
          <w:p>
            <w:pPr>
              <w:pStyle w:val="Compact"/>
              <w:jc w:val="right"/>
            </w:pPr>
            <w:r>
              <w:t xml:space="preserve">8.676</w:t>
            </w:r>
          </w:p>
        </w:tc>
      </w:tr>
      <w:tr>
        <w:tc>
          <w:p>
            <w:pPr>
              <w:pStyle w:val="Compact"/>
              <w:jc w:val="right"/>
            </w:pPr>
            <w:r>
              <w:t xml:space="preserve">51</w:t>
            </w:r>
          </w:p>
        </w:tc>
        <w:tc>
          <w:p>
            <w:pPr>
              <w:pStyle w:val="Compact"/>
              <w:jc w:val="left"/>
            </w:pPr>
            <w:r>
              <w:t xml:space="preserve">dNBR2</w:t>
            </w:r>
          </w:p>
        </w:tc>
        <w:tc>
          <w:p>
            <w:pPr>
              <w:pStyle w:val="Compact"/>
              <w:jc w:val="right"/>
            </w:pPr>
            <w:r>
              <w:t xml:space="preserve">16</w:t>
            </w:r>
          </w:p>
        </w:tc>
        <w:tc>
          <w:p>
            <w:pPr>
              <w:pStyle w:val="Compact"/>
              <w:jc w:val="left"/>
            </w:pPr>
            <w:r>
              <w:t xml:space="preserve">bilinear</w:t>
            </w:r>
          </w:p>
        </w:tc>
        <w:tc>
          <w:p>
            <w:pPr>
              <w:pStyle w:val="Compact"/>
              <w:jc w:val="right"/>
            </w:pPr>
            <w:r>
              <w:t xml:space="preserve">0.662</w:t>
            </w:r>
          </w:p>
        </w:tc>
        <w:tc>
          <w:p>
            <w:pPr>
              <w:pStyle w:val="Compact"/>
              <w:jc w:val="right"/>
            </w:pPr>
            <w:r>
              <w:t xml:space="preserve">0.030</w:t>
            </w:r>
          </w:p>
        </w:tc>
        <w:tc>
          <w:p>
            <w:pPr>
              <w:pStyle w:val="Compact"/>
              <w:jc w:val="right"/>
            </w:pPr>
            <w:r>
              <w:t xml:space="preserve">0.009</w:t>
            </w:r>
          </w:p>
        </w:tc>
        <w:tc>
          <w:p>
            <w:pPr>
              <w:pStyle w:val="Compact"/>
              <w:jc w:val="right"/>
            </w:pPr>
            <w:r>
              <w:t xml:space="preserve">1.138</w:t>
            </w:r>
          </w:p>
        </w:tc>
        <w:tc>
          <w:p>
            <w:pPr>
              <w:pStyle w:val="Compact"/>
              <w:jc w:val="right"/>
            </w:pPr>
            <w:r>
              <w:t xml:space="preserve">0.040</w:t>
            </w:r>
          </w:p>
        </w:tc>
        <w:tc>
          <w:p>
            <w:pPr>
              <w:pStyle w:val="Compact"/>
              <w:jc w:val="right"/>
            </w:pPr>
            <w:r>
              <w:t xml:space="preserve">0.066</w:t>
            </w:r>
          </w:p>
        </w:tc>
        <w:tc>
          <w:p>
            <w:pPr>
              <w:pStyle w:val="Compact"/>
              <w:jc w:val="right"/>
            </w:pPr>
            <w:r>
              <w:t xml:space="preserve">0.143</w:t>
            </w:r>
          </w:p>
        </w:tc>
      </w:tr>
      <w:tr>
        <w:tc>
          <w:p>
            <w:pPr>
              <w:pStyle w:val="Compact"/>
              <w:jc w:val="right"/>
            </w:pPr>
            <w:r>
              <w:t xml:space="preserve">52</w:t>
            </w:r>
          </w:p>
        </w:tc>
        <w:tc>
          <w:p>
            <w:pPr>
              <w:pStyle w:val="Compact"/>
              <w:jc w:val="left"/>
            </w:pPr>
            <w:r>
              <w:t xml:space="preserve">RdNBR2</w:t>
            </w:r>
          </w:p>
        </w:tc>
        <w:tc>
          <w:p>
            <w:pPr>
              <w:pStyle w:val="Compact"/>
              <w:jc w:val="right"/>
            </w:pPr>
            <w:r>
              <w:t xml:space="preserve">16</w:t>
            </w:r>
          </w:p>
        </w:tc>
        <w:tc>
          <w:p>
            <w:pPr>
              <w:pStyle w:val="Compact"/>
              <w:jc w:val="left"/>
            </w:pPr>
            <w:r>
              <w:t xml:space="preserve">bicubic</w:t>
            </w:r>
          </w:p>
        </w:tc>
        <w:tc>
          <w:p>
            <w:pPr>
              <w:pStyle w:val="Compact"/>
              <w:jc w:val="right"/>
            </w:pPr>
            <w:r>
              <w:t xml:space="preserve">0.654</w:t>
            </w:r>
          </w:p>
        </w:tc>
        <w:tc>
          <w:p>
            <w:pPr>
              <w:pStyle w:val="Compact"/>
              <w:jc w:val="right"/>
            </w:pPr>
            <w:r>
              <w:t xml:space="preserve">1.871</w:t>
            </w:r>
          </w:p>
        </w:tc>
        <w:tc>
          <w:p>
            <w:pPr>
              <w:pStyle w:val="Compact"/>
              <w:jc w:val="right"/>
            </w:pPr>
            <w:r>
              <w:t xml:space="preserve">0.467</w:t>
            </w:r>
          </w:p>
        </w:tc>
        <w:tc>
          <w:p>
            <w:pPr>
              <w:pStyle w:val="Compact"/>
              <w:jc w:val="right"/>
            </w:pPr>
            <w:r>
              <w:t xml:space="preserve">1.198</w:t>
            </w:r>
          </w:p>
        </w:tc>
        <w:tc>
          <w:p>
            <w:pPr>
              <w:pStyle w:val="Compact"/>
              <w:jc w:val="right"/>
            </w:pPr>
            <w:r>
              <w:t xml:space="preserve">2.398</w:t>
            </w:r>
          </w:p>
        </w:tc>
        <w:tc>
          <w:p>
            <w:pPr>
              <w:pStyle w:val="Compact"/>
              <w:jc w:val="right"/>
            </w:pPr>
            <w:r>
              <w:t xml:space="preserve">3.960</w:t>
            </w:r>
          </w:p>
        </w:tc>
        <w:tc>
          <w:p>
            <w:pPr>
              <w:pStyle w:val="Compact"/>
              <w:jc w:val="right"/>
            </w:pPr>
            <w:r>
              <w:t xml:space="preserve">8.792</w:t>
            </w:r>
          </w:p>
        </w:tc>
      </w:tr>
      <w:tr>
        <w:tc>
          <w:p>
            <w:pPr>
              <w:pStyle w:val="Compact"/>
              <w:jc w:val="right"/>
            </w:pPr>
            <w:r>
              <w:t xml:space="preserve">53</w:t>
            </w:r>
          </w:p>
        </w:tc>
        <w:tc>
          <w:p>
            <w:pPr>
              <w:pStyle w:val="Compact"/>
              <w:jc w:val="left"/>
            </w:pPr>
            <w:r>
              <w:t xml:space="preserve">dNBR2</w:t>
            </w:r>
          </w:p>
        </w:tc>
        <w:tc>
          <w:p>
            <w:pPr>
              <w:pStyle w:val="Compact"/>
              <w:jc w:val="right"/>
            </w:pPr>
            <w:r>
              <w:t xml:space="preserve">16</w:t>
            </w:r>
          </w:p>
        </w:tc>
        <w:tc>
          <w:p>
            <w:pPr>
              <w:pStyle w:val="Compact"/>
              <w:jc w:val="left"/>
            </w:pPr>
            <w:r>
              <w:t xml:space="preserve">bicubic</w:t>
            </w:r>
          </w:p>
        </w:tc>
        <w:tc>
          <w:p>
            <w:pPr>
              <w:pStyle w:val="Compact"/>
              <w:jc w:val="right"/>
            </w:pPr>
            <w:r>
              <w:t xml:space="preserve">0.635</w:t>
            </w:r>
          </w:p>
        </w:tc>
        <w:tc>
          <w:p>
            <w:pPr>
              <w:pStyle w:val="Compact"/>
              <w:jc w:val="right"/>
            </w:pPr>
            <w:r>
              <w:t xml:space="preserve">0.029</w:t>
            </w:r>
          </w:p>
        </w:tc>
        <w:tc>
          <w:p>
            <w:pPr>
              <w:pStyle w:val="Compact"/>
              <w:jc w:val="right"/>
            </w:pPr>
            <w:r>
              <w:t xml:space="preserve">0.009</w:t>
            </w:r>
          </w:p>
        </w:tc>
        <w:tc>
          <w:p>
            <w:pPr>
              <w:pStyle w:val="Compact"/>
              <w:jc w:val="right"/>
            </w:pPr>
            <w:r>
              <w:t xml:space="preserve">1.156</w:t>
            </w:r>
          </w:p>
        </w:tc>
        <w:tc>
          <w:p>
            <w:pPr>
              <w:pStyle w:val="Compact"/>
              <w:jc w:val="right"/>
            </w:pPr>
            <w:r>
              <w:t xml:space="preserve">0.039</w:t>
            </w:r>
          </w:p>
        </w:tc>
        <w:tc>
          <w:p>
            <w:pPr>
              <w:pStyle w:val="Compact"/>
              <w:jc w:val="right"/>
            </w:pPr>
            <w:r>
              <w:t xml:space="preserve">0.066</w:t>
            </w:r>
          </w:p>
        </w:tc>
        <w:tc>
          <w:p>
            <w:pPr>
              <w:pStyle w:val="Compact"/>
              <w:jc w:val="right"/>
            </w:pPr>
            <w:r>
              <w:t xml:space="preserve">0.145</w:t>
            </w:r>
          </w:p>
        </w:tc>
      </w:tr>
      <w:tr>
        <w:tc>
          <w:p>
            <w:pPr>
              <w:pStyle w:val="Compact"/>
              <w:jc w:val="right"/>
            </w:pPr>
            <w:r>
              <w:t xml:space="preserve">54</w:t>
            </w:r>
          </w:p>
        </w:tc>
        <w:tc>
          <w:p>
            <w:pPr>
              <w:pStyle w:val="Compact"/>
              <w:jc w:val="left"/>
            </w:pPr>
            <w:r>
              <w:t xml:space="preserve">RdNBR</w:t>
            </w:r>
          </w:p>
        </w:tc>
        <w:tc>
          <w:p>
            <w:pPr>
              <w:pStyle w:val="Compact"/>
              <w:jc w:val="right"/>
            </w:pPr>
            <w:r>
              <w:t xml:space="preserve">48</w:t>
            </w:r>
          </w:p>
        </w:tc>
        <w:tc>
          <w:p>
            <w:pPr>
              <w:pStyle w:val="Compact"/>
              <w:jc w:val="left"/>
            </w:pPr>
            <w:r>
              <w:t xml:space="preserve">bilinear</w:t>
            </w:r>
          </w:p>
        </w:tc>
        <w:tc>
          <w:p>
            <w:pPr>
              <w:pStyle w:val="Compact"/>
              <w:jc w:val="right"/>
            </w:pPr>
            <w:r>
              <w:t xml:space="preserve">0.630</w:t>
            </w:r>
          </w:p>
        </w:tc>
        <w:tc>
          <w:p>
            <w:pPr>
              <w:pStyle w:val="Compact"/>
              <w:jc w:val="right"/>
            </w:pPr>
            <w:r>
              <w:t xml:space="preserve">-3.445</w:t>
            </w:r>
          </w:p>
        </w:tc>
        <w:tc>
          <w:p>
            <w:pPr>
              <w:pStyle w:val="Compact"/>
              <w:jc w:val="right"/>
            </w:pPr>
            <w:r>
              <w:t xml:space="preserve">5.132</w:t>
            </w:r>
          </w:p>
        </w:tc>
        <w:tc>
          <w:p>
            <w:pPr>
              <w:pStyle w:val="Compact"/>
              <w:jc w:val="right"/>
            </w:pPr>
            <w:r>
              <w:t xml:space="preserve">0.724</w:t>
            </w:r>
          </w:p>
        </w:tc>
        <w:tc>
          <w:p>
            <w:pPr>
              <w:pStyle w:val="Compact"/>
              <w:jc w:val="right"/>
            </w:pPr>
            <w:r>
              <w:t xml:space="preserve">2.072</w:t>
            </w:r>
          </w:p>
        </w:tc>
        <w:tc>
          <w:p>
            <w:pPr>
              <w:pStyle w:val="Compact"/>
              <w:jc w:val="right"/>
            </w:pPr>
            <w:r>
              <w:t xml:space="preserve">9.235</w:t>
            </w:r>
          </w:p>
        </w:tc>
        <w:tc>
          <w:p>
            <w:pPr>
              <w:pStyle w:val="Compact"/>
              <w:jc w:val="right"/>
            </w:pPr>
            <w:r>
              <w:t xml:space="preserve">22.700</w:t>
            </w:r>
          </w:p>
        </w:tc>
      </w:tr>
      <w:tr>
        <w:tc>
          <w:p>
            <w:pPr>
              <w:pStyle w:val="Compact"/>
              <w:jc w:val="right"/>
            </w:pPr>
            <w:r>
              <w:t xml:space="preserve">55</w:t>
            </w:r>
          </w:p>
        </w:tc>
        <w:tc>
          <w:p>
            <w:pPr>
              <w:pStyle w:val="Compact"/>
              <w:jc w:val="left"/>
            </w:pPr>
            <w:r>
              <w:t xml:space="preserve">dNBR2</w:t>
            </w:r>
          </w:p>
        </w:tc>
        <w:tc>
          <w:p>
            <w:pPr>
              <w:pStyle w:val="Compact"/>
              <w:jc w:val="right"/>
            </w:pPr>
            <w:r>
              <w:t xml:space="preserve">48</w:t>
            </w:r>
          </w:p>
        </w:tc>
        <w:tc>
          <w:p>
            <w:pPr>
              <w:pStyle w:val="Compact"/>
              <w:jc w:val="left"/>
            </w:pPr>
            <w:r>
              <w:t xml:space="preserve">bicubic</w:t>
            </w:r>
          </w:p>
        </w:tc>
        <w:tc>
          <w:p>
            <w:pPr>
              <w:pStyle w:val="Compact"/>
              <w:jc w:val="right"/>
            </w:pPr>
            <w:r>
              <w:t xml:space="preserve">0.000</w:t>
            </w:r>
          </w:p>
        </w:tc>
        <w:tc>
          <w:p>
            <w:pPr>
              <w:pStyle w:val="Compact"/>
              <w:jc w:val="right"/>
            </w:pPr>
            <w:r>
              <w:t xml:space="preserve">0.033</w:t>
            </w:r>
          </w:p>
        </w:tc>
        <w:tc>
          <w:p>
            <w:pPr>
              <w:pStyle w:val="Compact"/>
              <w:jc w:val="right"/>
            </w:pPr>
            <w:r>
              <w:t xml:space="preserve">0.006</w:t>
            </w:r>
          </w:p>
        </w:tc>
        <w:tc>
          <w:p>
            <w:pPr>
              <w:pStyle w:val="Compact"/>
              <w:jc w:val="right"/>
            </w:pPr>
            <w:r>
              <w:t xml:space="preserve">1.284</w:t>
            </w:r>
          </w:p>
        </w:tc>
        <w:tc>
          <w:p>
            <w:pPr>
              <w:pStyle w:val="Compact"/>
              <w:jc w:val="right"/>
            </w:pPr>
            <w:r>
              <w:t xml:space="preserve">0.040</w:t>
            </w:r>
          </w:p>
        </w:tc>
        <w:tc>
          <w:p>
            <w:pPr>
              <w:pStyle w:val="Compact"/>
              <w:jc w:val="right"/>
            </w:pPr>
            <w:r>
              <w:t xml:space="preserve">0.062</w:t>
            </w:r>
          </w:p>
        </w:tc>
        <w:tc>
          <w:p>
            <w:pPr>
              <w:pStyle w:val="Compact"/>
              <w:jc w:val="right"/>
            </w:pPr>
            <w:r>
              <w:t xml:space="preserve">0.138</w:t>
            </w:r>
          </w:p>
        </w:tc>
      </w:tr>
      <w:tr>
        <w:tc>
          <w:p>
            <w:pPr>
              <w:pStyle w:val="Compact"/>
              <w:jc w:val="right"/>
            </w:pPr>
            <w:r>
              <w:t xml:space="preserve">56</w:t>
            </w:r>
          </w:p>
        </w:tc>
        <w:tc>
          <w:p>
            <w:pPr>
              <w:pStyle w:val="Compact"/>
              <w:jc w:val="left"/>
            </w:pPr>
            <w:r>
              <w:t xml:space="preserve">dNBR2</w:t>
            </w:r>
          </w:p>
        </w:tc>
        <w:tc>
          <w:p>
            <w:pPr>
              <w:pStyle w:val="Compact"/>
              <w:jc w:val="right"/>
            </w:pPr>
            <w:r>
              <w:t xml:space="preserve">64</w:t>
            </w:r>
          </w:p>
        </w:tc>
        <w:tc>
          <w:p>
            <w:pPr>
              <w:pStyle w:val="Compact"/>
              <w:jc w:val="left"/>
            </w:pPr>
            <w:r>
              <w:t xml:space="preserve">bicubic</w:t>
            </w:r>
          </w:p>
        </w:tc>
        <w:tc>
          <w:p>
            <w:pPr>
              <w:pStyle w:val="Compact"/>
              <w:jc w:val="right"/>
            </w:pPr>
            <w:r>
              <w:t xml:space="preserve">0.000</w:t>
            </w:r>
          </w:p>
        </w:tc>
        <w:tc>
          <w:p>
            <w:pPr>
              <w:pStyle w:val="Compact"/>
              <w:jc w:val="right"/>
            </w:pPr>
            <w:r>
              <w:t xml:space="preserve">0.037</w:t>
            </w:r>
          </w:p>
        </w:tc>
        <w:tc>
          <w:p>
            <w:pPr>
              <w:pStyle w:val="Compact"/>
              <w:jc w:val="right"/>
            </w:pPr>
            <w:r>
              <w:t xml:space="preserve">0.005</w:t>
            </w:r>
          </w:p>
        </w:tc>
        <w:tc>
          <w:p>
            <w:pPr>
              <w:pStyle w:val="Compact"/>
              <w:jc w:val="right"/>
            </w:pPr>
            <w:r>
              <w:t xml:space="preserve">1.313</w:t>
            </w:r>
          </w:p>
        </w:tc>
        <w:tc>
          <w:p>
            <w:pPr>
              <w:pStyle w:val="Compact"/>
              <w:jc w:val="right"/>
            </w:pPr>
            <w:r>
              <w:t xml:space="preserve">0.043</w:t>
            </w:r>
          </w:p>
        </w:tc>
        <w:tc>
          <w:p>
            <w:pPr>
              <w:pStyle w:val="Compact"/>
              <w:jc w:val="right"/>
            </w:pPr>
            <w:r>
              <w:t xml:space="preserve">0.064</w:t>
            </w:r>
          </w:p>
        </w:tc>
        <w:tc>
          <w:p>
            <w:pPr>
              <w:pStyle w:val="Compact"/>
              <w:jc w:val="right"/>
            </w:pPr>
            <w:r>
              <w:t xml:space="preserve">0.139</w:t>
            </w:r>
          </w:p>
        </w:tc>
      </w:tr>
    </w:tbl>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 8 (Tab. 1).</w:t>
      </w:r>
    </w:p>
    <w:p>
      <w:pPr>
        <w:pStyle w:val="Heading2"/>
      </w:pPr>
      <w:bookmarkStart w:id="46" w:name="prefire-vegetation-density-annual-heat-load-and-topographic-roughness-effects-on-wildfire-severity"/>
      <w:r>
        <w:t xml:space="preserve">Prefire vegetation density, annual heat load, and topographic roughness effects on wildfire severity</w:t>
      </w:r>
      <w:bookmarkEnd w:id="46"/>
    </w:p>
    <w:p>
      <w:pPr>
        <w:pStyle w:val="CaptionedFigure"/>
      </w:pPr>
      <w:r>
        <w:drawing>
          <wp:inline>
            <wp:extent cx="3810000" cy="2540000"/>
            <wp:effectExtent b="0" l="0" r="0" t="0"/>
            <wp:docPr descr="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 “extreme conditions or not” 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 title="" id="1" name="Picture"/>
            <a:graphic>
              <a:graphicData uri="http://schemas.openxmlformats.org/drawingml/2006/picture">
                <pic:pic>
                  <pic:nvPicPr>
                    <pic:cNvPr descr="../figures/prob-hi-sev_all-effect-size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w:t>
      </w:r>
      <w:r>
        <w:t xml:space="preserve"> </w:t>
      </w:r>
      <w:r>
        <w:t xml:space="preserve">“</w:t>
      </w:r>
      <w:r>
        <w:t xml:space="preserve">extreme conditions or not</w:t>
      </w:r>
      <w:r>
        <w:t xml:space="preserve">”</w:t>
      </w:r>
      <w:r>
        <w:t xml:space="preserve"> </w:t>
      </w:r>
      <w:r>
        <w:t xml:space="preserve">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w:t>
      </w:r>
    </w:p>
    <w:p>
      <w:pPr>
        <w:pStyle w:val="BodyText"/>
      </w:pPr>
      <w:r>
        <w:t xml:space="preserve">We found that the strongest influence on the probability of a forested area burning at high severity is the density of the vegetation, as measured by the prefire NDVI (</w:t>
      </w:r>
      <m:oMath>
        <m:sSub>
          <m:e>
            <m:r>
              <m:t>β</m:t>
            </m:r>
          </m:e>
          <m:sub>
            <m:r>
              <m:rPr>
                <m:sty m:val="p"/>
              </m:rPr>
              <m:t>prefire_ndvi</m:t>
            </m:r>
          </m:sub>
        </m:sSub>
        <m:r>
          <m:t>=</m:t>
        </m:r>
      </m:oMath>
      <w:r>
        <w:t xml:space="preserve"> </w:t>
      </w:r>
      <w:r>
        <w:t xml:space="preserve">0.91 (1 pixel radius; 95% CI = [0.842, 0.979]), 0.927 (2 pixel radius; 95% CI = [0.858, 0.994]), 0.94 (3 pixel radius; 95% CI = [0.872, 1.01]), 0.945 (4 pixel radius; 95% CI = [0.874, 1.012]) on the log-odds scale; Fig. 7). For all 4 models using different neighborhood sizes for the heterogeneity and topographic roughness predictors, a greater prefire NDVI led to a greater probability of high severity fire. Potential annual heat load, which integrates aspect, slope, and latitude, also had a strong positive relationship with the probability of a high severity fire (</w:t>
      </w:r>
      <m:oMath>
        <m:sSub>
          <m:e>
            <m:r>
              <m:t>β</m:t>
            </m:r>
          </m:e>
          <m:sub>
            <m:r>
              <m:rPr>
                <m:sty m:val="p"/>
              </m:rPr>
              <m:t>pahl</m:t>
            </m:r>
          </m:sub>
        </m:sSub>
        <m:r>
          <m:t>=</m:t>
        </m:r>
      </m:oMath>
      <w:r>
        <w:t xml:space="preserve"> </w:t>
      </w:r>
      <w:r>
        <w:t xml:space="preserve">0.242 (1 pixel radius; 95% CI = [0.195, 0.286]), 0.243 (2 pixel radius; 95% CI = [0.199, 0.288]), 0.243 (3 pixel radius; 95% CI = [0.198, 0.288]), 0.243 (4 pixel radius; 95% CI = [0.198, 0.288]); Fig. 7). Areas that were located on southwest facing slopes at lower latitudes tended to be more likely to burn at high severity. We found no effect of local topographic roughness on wildfire severity at any neighborhood size (</w:t>
      </w:r>
      <m:oMath>
        <m:sSub>
          <m:e>
            <m:r>
              <m:t>β</m:t>
            </m:r>
          </m:e>
          <m:sub>
            <m:r>
              <m:rPr>
                <m:sty m:val="p"/>
              </m:rPr>
              <m:t>topographic_roughness</m:t>
            </m:r>
          </m:sub>
        </m:sSub>
        <m:r>
          <m:t>=</m:t>
        </m:r>
      </m:oMath>
      <w:r>
        <w:t xml:space="preserve"> </w:t>
      </w:r>
      <w:r>
        <w:t xml:space="preserve">-0.015 (1 pixel radius; 95% CI = [-0.06, 0.031]), -0.01 (2 pixel radius; 95% CI = [-0.058, 0.037]), -0.014 (3 pixel radius; 95% CI = [-0.061, 0.034]), -0.019 (4 pixel radius; 95% CI = [-0.068, 0.031]); Fig. 7).</w:t>
      </w:r>
    </w:p>
    <w:p>
      <w:pPr>
        <w:pStyle w:val="Heading3"/>
      </w:pPr>
      <w:bookmarkStart w:id="48" w:name="hour-fuel-moisture-effect-on-wildfire-severity"/>
      <w:r>
        <w:t xml:space="preserve">100 hour fuel moisture effect on wildfire severity</w:t>
      </w:r>
      <w:bookmarkEnd w:id="48"/>
    </w:p>
    <w:p>
      <w:pPr>
        <w:pStyle w:val="FirstParagraph"/>
      </w:pPr>
      <w:r>
        <w:t xml:space="preserve">We found a non-linear effect of 100 hour fuel moisture on wildfire severity such that, under normal fuel moisture conditions (100 hour fuel moisture greater than 20</w:t>
      </w:r>
      <w:r>
        <w:rPr>
          <w:vertAlign w:val="superscript"/>
        </w:rPr>
        <w:t xml:space="preserve">th</w:t>
      </w:r>
      <w:r>
        <w:t xml:space="preserve"> </w:t>
      </w:r>
      <w:r>
        <w:t xml:space="preserve">percentile), increasing fuel moisture had a strong negative effect of the probability of a high severity wildfire (</w:t>
      </w:r>
      <m:oMath>
        <m:sSub>
          <m:e>
            <m:r>
              <m:t>β</m:t>
            </m:r>
          </m:e>
          <m:sub>
            <m:r>
              <m:rPr>
                <m:sty m:val="p"/>
              </m:rPr>
              <m:t>fm100</m:t>
            </m:r>
          </m:sub>
        </m:sSub>
        <m:r>
          <m:t>=</m:t>
        </m:r>
      </m:oMath>
      <w:r>
        <w:t xml:space="preserve"> </w:t>
      </w:r>
      <w:r>
        <w:t xml:space="preserve">-0.432 (1 pixel radius; 95% CI = [-0.654, -0.202]), -0.442 (2 pixel radius; 95% CI = [-0.677, -0.228]), -0.43 (3 pixel radius; 95% CI = [-0.651, -0.209]), -0.441 (4 pixel radius; 95% CI = [-0.663, -0.215]); Fig. 7). However, under extreme fuel moisture conditions (100 hour fuel moisture less than 20</w:t>
      </w:r>
      <w:r>
        <w:rPr>
          <w:vertAlign w:val="superscript"/>
        </w:rPr>
        <w:t xml:space="preserve">th</w:t>
      </w:r>
      <w:r>
        <w:t xml:space="preserve"> </w:t>
      </w:r>
      <w:r>
        <w:t xml:space="preserve">percentile), we detected no influence of fuel moisture on the probability of a high severity wildfire (</w:t>
      </w:r>
      <m:oMath>
        <m:sSub>
          <m:e>
            <m:r>
              <m:t>β</m:t>
            </m:r>
          </m:e>
          <m:sub>
            <m:r>
              <m:rPr>
                <m:sty m:val="p"/>
              </m:rPr>
              <m:t>fm100</m:t>
            </m:r>
          </m:sub>
        </m:sSub>
        <m:r>
          <m:t>+</m:t>
        </m:r>
        <m:sSub>
          <m:e>
            <m:r>
              <m:t>β</m:t>
            </m:r>
          </m:e>
          <m:sub>
            <m:r>
              <m:rPr>
                <m:sty m:val="p"/>
              </m:rPr>
              <m:t>extreme_fm100</m:t>
            </m:r>
          </m:sub>
        </m:sSub>
        <m:r>
          <m:t>+</m:t>
        </m:r>
        <m:sSub>
          <m:e>
            <m:r>
              <m:t>β</m:t>
            </m:r>
          </m:e>
          <m:sub>
            <m:r>
              <m:rPr>
                <m:sty m:val="p"/>
              </m:rPr>
              <m:t>extreme_fm100*fm100</m:t>
            </m:r>
          </m:sub>
        </m:sSub>
        <m:r>
          <m:t>=</m:t>
        </m:r>
      </m:oMath>
      <w:r>
        <w:t xml:space="preserve"> </w:t>
      </w:r>
      <w:r>
        <w:t xml:space="preserve">0.22 (1 pixel radius; 95% CI = [-0.349, 0.798]), 0.206 (2 pixel radius; 95% CI = [-0.352, 0.771]), 0.172 (3 pixel radius; 95% CI = [-0.39, 0.732]), 0.168 (4 pixel radius; 95% CI = [-0.401, 0.707]); Fig. 7).</w:t>
      </w:r>
    </w:p>
    <w:p>
      <w:pPr>
        <w:pStyle w:val="Heading3"/>
      </w:pPr>
      <w:bookmarkStart w:id="49" w:name="heterogeneity-in-vegetation-structure-effect-on-wildfire-severity"/>
      <w:r>
        <w:t xml:space="preserve">Heterogeneity in vegetation structure effect on wildfire severity</w:t>
      </w:r>
      <w:bookmarkEnd w:id="49"/>
    </w:p>
    <w:p>
      <w:pPr>
        <w:pStyle w:val="FirstParagraph"/>
      </w:pPr>
      <w:r>
        <w:t xml:space="preserve">We found strong evidence for an effect of heterogeneity of vegetation structure on the probability of a high severity wildfire. The effect was modulated by the fuel moisture conditions. Under normal fuel moisture conditions, an increasing heterogeneity of vegetation structure greatly reduced the probability of a high severity wildfire accounting for other variables (</w:t>
      </w:r>
      <w:r>
        <w:t xml:space="preserve"> </w:t>
      </w:r>
      <m:oMath>
        <m:sSub>
          <m:e>
            <m:r>
              <m:t>β</m:t>
            </m:r>
          </m:e>
          <m:sub>
            <m:r>
              <m:rPr>
                <m:sty m:val="p"/>
              </m:rPr>
              <m:t>heterogeneity</m:t>
            </m:r>
          </m:sub>
        </m:sSub>
        <m:r>
          <m:t>+</m:t>
        </m:r>
      </m:oMath>
      <w:r>
        <w:t xml:space="preserve"> </w:t>
      </w:r>
      <w:r>
        <w:t xml:space="preserve">0.888</w:t>
      </w:r>
      <w:r>
        <w:t xml:space="preserve"> </w:t>
      </w:r>
      <m:oMath>
        <m:r>
          <m:t>*</m:t>
        </m:r>
        <m:sSub>
          <m:e>
            <m:r>
              <m:t>β</m:t>
            </m:r>
          </m:e>
          <m:sub>
            <m:r>
              <m:rPr>
                <m:sty m:val="p"/>
              </m:rPr>
              <m:t>fm100</m:t>
            </m:r>
          </m:sub>
        </m:sSub>
        <m:r>
          <m:t>+</m:t>
        </m:r>
      </m:oMath>
      <w:r>
        <w:t xml:space="preserve"> </w:t>
      </w:r>
      <w:r>
        <w:t xml:space="preserve">0.888</w:t>
      </w:r>
      <w:r>
        <w:t xml:space="preserve"> </w:t>
      </w:r>
      <m:oMath>
        <m:r>
          <m:t>*</m:t>
        </m:r>
        <m:sSub>
          <m:e>
            <m:r>
              <m:t>β</m:t>
            </m:r>
          </m:e>
          <m:sub>
            <m:r>
              <m:rPr>
                <m:sty m:val="p"/>
              </m:rPr>
              <m:t>heterogeneity*fm100</m:t>
            </m:r>
          </m:sub>
        </m:sSub>
        <m:r>
          <m:t>=</m:t>
        </m:r>
      </m:oMath>
      <w:r>
        <w:t xml:space="preserve"> </w:t>
      </w:r>
      <w:r>
        <w:t xml:space="preserve">-0.488 (1 pixel radius; 95% CI = [-0.714, -0.267]), -0.443 (2 pixel radius; 95% CI = [-0.667, -0.232]), -0.393 (3 pixel radius; 95% CI = [-0.613, -0.176]), -0.388 (4 pixel radius; 95% CI = [-0.609, -0.169])</w:t>
      </w:r>
      <w:r>
        <w:t xml:space="preserve"> </w:t>
      </w:r>
      <w:r>
        <w:t xml:space="preserve">). This effect is nearly half as strong (but opposite in direction) as the dominant control on the mean probability of a high severity fire– the vegetation density (Fig. 7).</w:t>
      </w:r>
    </w:p>
    <w:p>
      <w:pPr>
        <w:pStyle w:val="BodyText"/>
      </w:pPr>
      <w:r>
        <w:t xml:space="preserve">However, under extreme fuel moisture conditions, we found the opposite pattern: increasing heterogeneity of vegetation structure greatly</w:t>
      </w:r>
      <w:r>
        <w:t xml:space="preserve"> </w:t>
      </w:r>
      <w:r>
        <w:rPr>
          <w:i/>
        </w:rPr>
        <w:t xml:space="preserve">increased</w:t>
      </w:r>
      <w:r>
        <w:t xml:space="preserve"> </w:t>
      </w:r>
      <w:r>
        <w:t xml:space="preserve">the probability of a high severity wildfire, accounting for other variables (</w:t>
      </w:r>
      <w:r>
        <w:t xml:space="preserve"> </w:t>
      </w:r>
      <m:oMath>
        <m:sSub>
          <m:e>
            <m:r>
              <m:t>β</m:t>
            </m:r>
          </m:e>
          <m:sub>
            <m:r>
              <m:rPr>
                <m:sty m:val="p"/>
              </m:rPr>
              <m:t>heterogeneity</m:t>
            </m:r>
          </m:sub>
        </m:sSub>
        <m:r>
          <m:t>+</m:t>
        </m:r>
        <m:sSub>
          <m:e>
            <m:r>
              <m:t>β</m:t>
            </m:r>
          </m:e>
          <m:sub>
            <m:r>
              <m:rPr>
                <m:sty m:val="p"/>
              </m:rPr>
              <m:t>extreme_fm100</m:t>
            </m:r>
          </m:sub>
        </m:sSub>
        <m:r>
          <m:t>+</m:t>
        </m:r>
      </m:oMath>
      <w:r>
        <w:t xml:space="preserve"> </w:t>
      </w:r>
      <w:r>
        <w:t xml:space="preserve">-0.588</w:t>
      </w:r>
      <w:r>
        <w:t xml:space="preserve"> </w:t>
      </w:r>
      <m:oMath>
        <m:r>
          <m:t>*</m:t>
        </m:r>
        <m:sSub>
          <m:e>
            <m:r>
              <m:t>β</m:t>
            </m:r>
          </m:e>
          <m:sub>
            <m:r>
              <m:rPr>
                <m:sty m:val="p"/>
              </m:rPr>
              <m:t>fm100</m:t>
            </m:r>
          </m:sub>
        </m:sSub>
        <m:r>
          <m:t>+</m:t>
        </m:r>
        <m:sSub>
          <m:e>
            <m:r>
              <m:t>β</m:t>
            </m:r>
          </m:e>
          <m:sub>
            <m:r>
              <m:rPr>
                <m:sty m:val="p"/>
              </m:rPr>
              <m:t>heterogeneity*extreme_fm100</m:t>
            </m:r>
          </m:sub>
        </m:sSub>
        <m:r>
          <m:t>+</m:t>
        </m:r>
      </m:oMath>
      <w:r>
        <w:t xml:space="preserve"> </w:t>
      </w:r>
      <w:r>
        <w:t xml:space="preserve">-0.588</w:t>
      </w:r>
      <w:r>
        <w:t xml:space="preserve"> </w:t>
      </w:r>
      <m:oMath>
        <m:r>
          <m:t>*</m:t>
        </m:r>
        <m:sSub>
          <m:e>
            <m:r>
              <m:t>β</m:t>
            </m:r>
          </m:e>
          <m:sub>
            <m:r>
              <m:rPr>
                <m:sty m:val="p"/>
              </m:rPr>
              <m:t>heterogeneity*fm100</m:t>
            </m:r>
          </m:sub>
        </m:sSub>
        <m:r>
          <m:t>+</m:t>
        </m:r>
      </m:oMath>
      <w:r>
        <w:t xml:space="preserve"> </w:t>
      </w:r>
      <w:r>
        <w:t xml:space="preserve">-0.588</w:t>
      </w:r>
      <w:r>
        <w:t xml:space="preserve"> </w:t>
      </w:r>
      <m:oMath>
        <m:r>
          <m:t>*</m:t>
        </m:r>
        <m:sSub>
          <m:e>
            <m:r>
              <m:t>β</m:t>
            </m:r>
          </m:e>
          <m:sub>
            <m:r>
              <m:rPr>
                <m:sty m:val="p"/>
              </m:rPr>
              <m:t>extreme_fm100*fm100</m:t>
            </m:r>
          </m:sub>
        </m:sSub>
        <m:r>
          <m:t>+</m:t>
        </m:r>
      </m:oMath>
      <w:r>
        <w:t xml:space="preserve"> </w:t>
      </w:r>
      <w:r>
        <w:t xml:space="preserve">-0.588</w:t>
      </w:r>
      <w:r>
        <w:t xml:space="preserve"> </w:t>
      </w:r>
      <m:oMath>
        <m:r>
          <m:t>*</m:t>
        </m:r>
        <m:sSub>
          <m:e>
            <m:r>
              <m:t>β</m:t>
            </m:r>
          </m:e>
          <m:sub>
            <m:r>
              <m:rPr>
                <m:sty m:val="p"/>
              </m:rPr>
              <m:t>heterogeneity*extreme_fm100*fm100</m:t>
            </m:r>
          </m:sub>
        </m:sSub>
        <m:r>
          <m:t>=</m:t>
        </m:r>
      </m:oMath>
      <w:r>
        <w:t xml:space="preserve"> </w:t>
      </w:r>
      <w:r>
        <w:t xml:space="preserve">0.548 (1 pixel radius; 95% CI = [0.279, 0.824]), 0.582 (2 pixel radius; 95% CI = [0.297, 0.864]), 0.621 (3 pixel radius; 95% CI = [0.337, 0.902]), 0.635 (4 pixel radius; 95% CI = [0.353, 0.931])</w:t>
      </w:r>
      <w:r>
        <w:t xml:space="preserve"> </w:t>
      </w:r>
      <w:r>
        <w:t xml:space="preserve">). The effect size of heterogeneity in extreme conditions is half to nearly two-thirds the effect size of prefire vegetation density, and in the same positive direction (Fig. 7).</w:t>
      </w:r>
    </w:p>
    <w:p>
      <w:pPr>
        <w:pStyle w:val="Heading1"/>
      </w:pPr>
      <w:bookmarkStart w:id="50" w:name="discussion"/>
      <w:r>
        <w:t xml:space="preserve">Discussion</w:t>
      </w:r>
      <w:bookmarkEnd w:id="50"/>
    </w:p>
    <w:p>
      <w:pPr>
        <w:pStyle w:val="FirstParagraph"/>
      </w:pPr>
      <w:r>
        <w:t xml:space="preserve">We developed a new approach to calculating wildfire severity using remotely sensed images from the Landsat series of satellites using a minimal amount of user input– a geometry (i.e., a point location or a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 We also found that several other remotely sensed measures of severity validated nearly as well with CBI data.</w:t>
      </w:r>
    </w:p>
    <w:p>
      <w:pPr>
        <w:pStyle w:val="BodyText"/>
      </w:pPr>
      <w:r>
        <w:t xml:space="preserve">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dNBR)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measure wildfire severity at very high spatial resolutions.</w:t>
      </w:r>
    </w:p>
    <w:p>
      <w:pPr>
        <w:pStyle w:val="BodyText"/>
      </w:pPr>
      <w:r>
        <w:t xml:space="preserve">We used our new approach to calculate wildfire severity for 920 fires that burned in the Sierra Nevada yellow pine/mixed conifer forest between 1984 and 2016. We additionally calculated 100 hour fuel moisture, local topographic roughness, potential annual heat load, prefire vegetation density, and the local heterogeneity of prefire vegetation density at 4 neighborhood sizes ranging from 0.81 hectares to 7.29 hectares. We modeled the effect of these variables on wildfire severity and found a strong positive relationship with both prefire vegetation density and potential annual heat load. We found no effect of topographic roughness on wildfire severity. We found a negative effect of 100 hour fuel moisture on severity, but only during normal fuel moisture conditions (100 hour fuel moisture greater than 20</w:t>
      </w:r>
      <w:r>
        <w:rPr>
          <w:vertAlign w:val="superscript"/>
        </w:rPr>
        <w:t xml:space="preserve">th</w:t>
      </w:r>
      <w:r>
        <w:t xml:space="preserve"> </w:t>
      </w:r>
      <w:r>
        <w:t xml:space="preserve">percentile). We found a strong negative effect of heterogeneity of vegetation structure on wildfire severity in normal fuel moisture conditions, and a strong positive effect of heterogeneity on severity in extreme fuel moisture conditions.</w:t>
      </w:r>
    </w:p>
    <w:p>
      <w:pPr>
        <w:pStyle w:val="BodyText"/>
      </w:pPr>
      <w:r>
        <w:t xml:space="preserve">For similar vegetation density in a given local neighborhood, greater heterogeneity implies more of a mixture of dense patches and sparsely vegetated patches (see Fig. 5). Under non-extreme fuel moisture conditions, the more sparsely vegetation patches interrupt fuel continuity and reduce the likelihood of high severity fire. Under extreme fuel moisture conditions however, the more densely vegetated patches are more likely to burn at high severity and that high severity is more likley to be contagious.</w:t>
      </w:r>
    </w:p>
    <w:p>
      <w:pPr>
        <w:pStyle w:val="BodyText"/>
      </w:pPr>
      <w:r>
        <w:t xml:space="preserve">Days with extreme fuel moisture conditions are likely to increase in a warming world</w:t>
      </w:r>
      <w:r>
        <w:t xml:space="preserve"> </w:t>
      </w:r>
      <w:r>
        <w:t xml:space="preserve">(Abatzoglou &amp; Williams 2016; Westerling 2016)</w:t>
      </w:r>
      <w:r>
        <w:t xml:space="preserve">. This could have dire consequences for the formerly self-stabilizing heterogeneous forest/infrequent high severity fire system. Densification of forests as a result of fire suppression was always a problem with respect to increases in extreme fire behavior (large fires, more high severity). Coupled with anthropogenic global warming, we may have also broken our last forest structure tool for reducing wildfire severity– heterogeneity in structure.</w:t>
      </w:r>
    </w:p>
    <w:p>
      <w:pPr>
        <w:pStyle w:val="Heading3"/>
      </w:pPr>
      <w:bookmarkStart w:id="51" w:name="caveats"/>
      <w:r>
        <w:t xml:space="preserve">Caveats</w:t>
      </w:r>
      <w:bookmarkEnd w:id="51"/>
    </w:p>
    <w:p>
      <w:pPr>
        <w:pStyle w:val="FirstParagraph"/>
      </w:pPr>
      <w:r>
        <w:t xml:space="preserve">Our method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We have captured a coarse measure of heterogeneity. While we did find that this coarse measure does strongly relate to fire severity, it does not account for fire behavior or spatial pattern forming processes at the individual tree scale. This may still be possible using remotely sensed data at a finer spatial resolution, but with a cost in temporal resolution and time series depth (e.g. NAIP imagery at 1m resolution but with only 3 total images starting in 2008)</w:t>
      </w:r>
      <w:r>
        <w:t xml:space="preserve"> </w:t>
      </w:r>
      <w:r>
        <w:t xml:space="preserve">(Dickinson</w:t>
      </w:r>
      <w:r>
        <w:t xml:space="preserve"> </w:t>
      </w:r>
      <w:r>
        <w:rPr>
          <w:i/>
        </w:rPr>
        <w:t xml:space="preserve">et al.</w:t>
      </w:r>
      <w:r>
        <w:t xml:space="preserve"> </w:t>
      </w:r>
      <w:r>
        <w:t xml:space="preserve">2016)</w:t>
      </w:r>
      <w:r>
        <w:t xml:space="preserve">. Additional metrics of heterogeneity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the finer spatial resolution of NAIP imagery.</w:t>
      </w:r>
    </w:p>
    <w:p>
      <w:pPr>
        <w:pStyle w:val="Heading3"/>
      </w:pPr>
      <w:bookmarkStart w:id="52" w:name="translating-resistance-to-long-term-persistance"/>
      <w:r>
        <w:t xml:space="preserve">Translating resistance to long term persistance</w:t>
      </w:r>
      <w:bookmarkEnd w:id="52"/>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For instance, increases in the second angular momentum of the configuration of vegetation patches may represent early warning signs of a catastrophic shift in a system whereby it converts to a vegetation-less desert. The change in this particular texture serves as an indicator of system precariousness because it reflects the spatial process by which the system stabilizes. In the case of desertification as a result of increasing grazing pressure, facilitation is the process driving vegetation patch configurations and the increase in spatial variation of those configurations indicates a breakdown in the process itself as the system moves nearer to a bifurcation point between a vegetated and a non-vegetated state. In our case, we measure heterogeneity as a spatial feature that is part of the feedback loop between disturbance and forest spatial structure, so we gain insight into longer-term patterns by measuring a signature of the pattern forming process itself. More work is needed to verify the degree to which the spatial features of mixed conifer forests– or the spatial features of the disturbances that affect them– capture the</w:t>
      </w:r>
    </w:p>
    <w:p>
      <w:pPr>
        <w:pStyle w:val="Heading1"/>
      </w:pPr>
      <w:bookmarkStart w:id="53" w:name="conclusions"/>
      <w:r>
        <w:t xml:space="preserve">Conclusions</w:t>
      </w:r>
      <w:bookmarkEnd w:id="53"/>
    </w:p>
    <w:p>
      <w:pPr>
        <w:pStyle w:val="FirstParagraph"/>
      </w:pPr>
      <w:r>
        <w:t xml:space="preserve">We encourage researchers and managers to make their ground based severity data available with site location (including datum) and the alarm data for the fire the field data is measuring. Cloud-based GIS, central image hosting, and integration with powerful classification tools are sure to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data sharing of ground based severity measures.</w:t>
      </w:r>
    </w:p>
    <w:p>
      <w:pPr>
        <w:pStyle w:val="BodyText"/>
      </w:pPr>
      <w:r>
        <w:t xml:space="preserve">While the severity of a wildfire in any given place may be idiosyncratic and controlled by many variables, it is clear that heterogeneous forest structure generally makes mixed conifer forest in the Sierra Nevada more resistant to this inevitable disturbance under normal fuel moisture conditions. Because a resistant forest is a resilient forest, heterogeneity in forest structure may increase the probability of long-term forest persistence. Given the opposite effect of heterogeneity in extreme fuel moisture conditions and the normalization of what were once considered extreme fuel moisture conditions in a warming world,</w:t>
      </w:r>
    </w:p>
    <w:bookmarkStart w:id="147" w:name="refs"/>
    <w:bookmarkStart w:id="54"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4"/>
    <w:bookmarkStart w:id="55" w:name="ref-Abatzoglou2016"/>
    <w:p>
      <w:pPr>
        <w:pStyle w:val="Bibliography"/>
      </w:pPr>
      <w:r>
        <w:t xml:space="preserve">2.</w:t>
      </w:r>
      <w:r>
        <w:br w:type="textWrapping"/>
      </w:r>
      <w:r>
        <w:t xml:space="preserve">Abatzoglou, J.T. &amp; Williams, A.P. (2016). The impact of anthropogenic climate change on wildfire across western US forests.</w:t>
      </w:r>
      <w:r>
        <w:t xml:space="preserve"> </w:t>
      </w:r>
      <w:r>
        <w:rPr>
          <w:i/>
        </w:rPr>
        <w:t xml:space="preserve">Proceedings of the National Academy of Sciences</w:t>
      </w:r>
      <w:r>
        <w:t xml:space="preserve">, In press.</w:t>
      </w:r>
    </w:p>
    <w:bookmarkEnd w:id="55"/>
    <w:bookmarkStart w:id="56" w:name="ref-Ackerly2010"/>
    <w:p>
      <w:pPr>
        <w:pStyle w:val="Bibliography"/>
      </w:pPr>
      <w:r>
        <w:t xml:space="preserve">3.</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6"/>
    <w:bookmarkStart w:id="57" w:name="ref-Agashe2009"/>
    <w:p>
      <w:pPr>
        <w:pStyle w:val="Bibliography"/>
      </w:pPr>
      <w:r>
        <w:t xml:space="preserve">4.</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57"/>
    <w:bookmarkStart w:id="58" w:name="ref-Asner2015"/>
    <w:p>
      <w:pPr>
        <w:pStyle w:val="Bibliography"/>
      </w:pPr>
      <w:r>
        <w:t xml:space="preserve">5.</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58"/>
    <w:bookmarkStart w:id="59" w:name="ref-Asner2017"/>
    <w:p>
      <w:pPr>
        <w:pStyle w:val="Bibliography"/>
      </w:pPr>
      <w:r>
        <w:t xml:space="preserve">6.</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59"/>
    <w:bookmarkStart w:id="60" w:name="ref-Baskett2009"/>
    <w:p>
      <w:pPr>
        <w:pStyle w:val="Bibliography"/>
      </w:pPr>
      <w:r>
        <w:t xml:space="preserve">7.</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0"/>
    <w:bookmarkStart w:id="61" w:name="ref-Bastarrika2011"/>
    <w:p>
      <w:pPr>
        <w:pStyle w:val="Bibliography"/>
      </w:pPr>
      <w:r>
        <w:t xml:space="preserve">8.</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1"/>
    <w:bookmarkStart w:id="62" w:name="ref-Boschetti2015"/>
    <w:p>
      <w:pPr>
        <w:pStyle w:val="Bibliography"/>
      </w:pPr>
      <w:r>
        <w:t xml:space="preserve">9.</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2"/>
    <w:bookmarkStart w:id="63" w:name="ref-Burkner2017"/>
    <w:p>
      <w:pPr>
        <w:pStyle w:val="Bibliography"/>
      </w:pPr>
      <w:r>
        <w:t xml:space="preserve">10.</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3"/>
    <w:bookmarkStart w:id="64" w:name="ref-Cadotte2013"/>
    <w:p>
      <w:pPr>
        <w:pStyle w:val="Bibliography"/>
      </w:pPr>
      <w:r>
        <w:t xml:space="preserve">11.</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4"/>
    <w:bookmarkStart w:id="65" w:name="ref-Cansler2012"/>
    <w:p>
      <w:pPr>
        <w:pStyle w:val="Bibliography"/>
      </w:pPr>
      <w:r>
        <w:t xml:space="preserve">12.</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65"/>
    <w:bookmarkStart w:id="66" w:name="ref-Cansler2014"/>
    <w:p>
      <w:pPr>
        <w:pStyle w:val="Bibliography"/>
      </w:pPr>
      <w:r>
        <w:t xml:space="preserve">13.</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66"/>
    <w:bookmarkStart w:id="67" w:name="ref-Chesson2000"/>
    <w:p>
      <w:pPr>
        <w:pStyle w:val="Bibliography"/>
      </w:pPr>
      <w:r>
        <w:t xml:space="preserve">14.</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67"/>
    <w:bookmarkStart w:id="68" w:name="ref-Clyatt2016"/>
    <w:p>
      <w:pPr>
        <w:pStyle w:val="Bibliography"/>
      </w:pPr>
      <w:r>
        <w:t xml:space="preserve">15.</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68"/>
    <w:bookmarkStart w:id="69" w:name="ref-Collins2015"/>
    <w:p>
      <w:pPr>
        <w:pStyle w:val="Bibliography"/>
      </w:pPr>
      <w:r>
        <w:t xml:space="preserve">16.</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69"/>
    <w:bookmarkStart w:id="70" w:name="ref-Collins2010"/>
    <w:p>
      <w:pPr>
        <w:pStyle w:val="Bibliography"/>
      </w:pPr>
      <w:r>
        <w:t xml:space="preserve">17.</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0"/>
    <w:bookmarkStart w:id="71" w:name="ref-Conners1984"/>
    <w:p>
      <w:pPr>
        <w:pStyle w:val="Bibliography"/>
      </w:pPr>
      <w:r>
        <w:t xml:space="preserve">18.</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1"/>
    <w:bookmarkStart w:id="72" w:name="ref-Crowther2015"/>
    <w:p>
      <w:pPr>
        <w:pStyle w:val="Bibliography"/>
      </w:pPr>
      <w:r>
        <w:t xml:space="preserve">19.</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2"/>
    <w:bookmarkStart w:id="73" w:name="ref-Culbert2012"/>
    <w:p>
      <w:pPr>
        <w:pStyle w:val="Bibliography"/>
      </w:pPr>
      <w:r>
        <w:t xml:space="preserve">20.</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73"/>
    <w:bookmarkStart w:id="74" w:name="ref-DeFrenne2013"/>
    <w:p>
      <w:pPr>
        <w:pStyle w:val="Bibliography"/>
      </w:pPr>
      <w:r>
        <w:t xml:space="preserve">21.</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74"/>
    <w:bookmarkStart w:id="75" w:name="ref-DeSantis2010"/>
    <w:p>
      <w:pPr>
        <w:pStyle w:val="Bibliography"/>
      </w:pPr>
      <w:r>
        <w:t xml:space="preserve">22.</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75"/>
    <w:bookmarkStart w:id="76" w:name="ref-Dickinson2016"/>
    <w:p>
      <w:pPr>
        <w:pStyle w:val="Bibliography"/>
      </w:pPr>
      <w:r>
        <w:t xml:space="preserve">23.</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76"/>
    <w:bookmarkStart w:id="77" w:name="ref-Dillon2011"/>
    <w:p>
      <w:pPr>
        <w:pStyle w:val="Bibliography"/>
      </w:pPr>
      <w:r>
        <w:t xml:space="preserve">24.</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77"/>
    <w:bookmarkStart w:id="78" w:name="ref-Edwards2018"/>
    <w:p>
      <w:pPr>
        <w:pStyle w:val="Bibliography"/>
      </w:pPr>
      <w:r>
        <w:t xml:space="preserve">25.</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78"/>
    <w:bookmarkStart w:id="79" w:name="ref-Eidenshink2007"/>
    <w:p>
      <w:pPr>
        <w:pStyle w:val="Bibliography"/>
      </w:pPr>
      <w:r>
        <w:t xml:space="preserve">26.</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79"/>
    <w:bookmarkStart w:id="80" w:name="ref-Farr2007"/>
    <w:p>
      <w:pPr>
        <w:pStyle w:val="Bibliography"/>
      </w:pPr>
      <w:r>
        <w:t xml:space="preserve">27.</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0"/>
    <w:bookmarkStart w:id="81" w:name="ref-Fernandez2018"/>
    <w:p>
      <w:pPr>
        <w:pStyle w:val="Bibliography"/>
      </w:pPr>
      <w:r>
        <w:t xml:space="preserve">28.</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81"/>
    <w:bookmarkStart w:id="82" w:name="ref-Folke2004"/>
    <w:p>
      <w:pPr>
        <w:pStyle w:val="Bibliography"/>
      </w:pPr>
      <w:r>
        <w:t xml:space="preserve">29.</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82"/>
    <w:bookmarkStart w:id="83" w:name="ref-Ford2013"/>
    <w:p>
      <w:pPr>
        <w:pStyle w:val="Bibliography"/>
      </w:pPr>
      <w:r>
        <w:t xml:space="preserve">30.</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83"/>
    <w:bookmarkStart w:id="84" w:name="ref-Gao1996"/>
    <w:p>
      <w:pPr>
        <w:pStyle w:val="Bibliography"/>
      </w:pPr>
      <w:r>
        <w:t xml:space="preserve">31.</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84"/>
    <w:bookmarkStart w:id="85" w:name="ref-Gazol2016"/>
    <w:p>
      <w:pPr>
        <w:pStyle w:val="Bibliography"/>
      </w:pPr>
      <w:r>
        <w:t xml:space="preserve">32.</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85"/>
    <w:bookmarkStart w:id="86" w:name="ref-Goodwin2014"/>
    <w:p>
      <w:pPr>
        <w:pStyle w:val="Bibliography"/>
      </w:pPr>
      <w:r>
        <w:t xml:space="preserve">33.</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86"/>
    <w:bookmarkStart w:id="87" w:name="ref-Gorelick2017"/>
    <w:p>
      <w:pPr>
        <w:pStyle w:val="Bibliography"/>
      </w:pPr>
      <w:r>
        <w:t xml:space="preserve">34.</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87"/>
    <w:bookmarkStart w:id="88" w:name="ref-Graham2004"/>
    <w:p>
      <w:pPr>
        <w:pStyle w:val="Bibliography"/>
      </w:pPr>
      <w:r>
        <w:t xml:space="preserve">35.</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88"/>
    <w:bookmarkStart w:id="89" w:name="ref-Gunderson2000"/>
    <w:p>
      <w:pPr>
        <w:pStyle w:val="Bibliography"/>
      </w:pPr>
      <w:r>
        <w:t xml:space="preserve">36.</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89"/>
    <w:bookmarkStart w:id="90" w:name="ref-Hansen2013"/>
    <w:p>
      <w:pPr>
        <w:pStyle w:val="Bibliography"/>
      </w:pPr>
      <w:r>
        <w:t xml:space="preserve">37.</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90"/>
    <w:bookmarkStart w:id="91" w:name="ref-Haralick1973"/>
    <w:p>
      <w:pPr>
        <w:pStyle w:val="Bibliography"/>
      </w:pPr>
      <w:r>
        <w:t xml:space="preserve">38.</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91"/>
    <w:bookmarkStart w:id="92" w:name="ref-Harvey2016c"/>
    <w:p>
      <w:pPr>
        <w:pStyle w:val="Bibliography"/>
      </w:pPr>
      <w:r>
        <w:t xml:space="preserve">39.</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92"/>
    <w:bookmarkStart w:id="93" w:name="ref-Hawbaker2017"/>
    <w:p>
      <w:pPr>
        <w:pStyle w:val="Bibliography"/>
      </w:pPr>
      <w:r>
        <w:t xml:space="preserve">40.</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93"/>
    <w:bookmarkStart w:id="94" w:name="ref-Holden2009"/>
    <w:p>
      <w:pPr>
        <w:pStyle w:val="Bibliography"/>
      </w:pPr>
      <w:r>
        <w:t xml:space="preserve">41.</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94"/>
    <w:bookmarkStart w:id="95" w:name="ref-Holling1973"/>
    <w:p>
      <w:pPr>
        <w:pStyle w:val="Bibliography"/>
      </w:pPr>
      <w:r>
        <w:t xml:space="preserve">42.</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95"/>
    <w:bookmarkStart w:id="96" w:name="ref-Huang2014"/>
    <w:p>
      <w:pPr>
        <w:pStyle w:val="Bibliography"/>
      </w:pPr>
      <w:r>
        <w:t xml:space="preserve">43.</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96"/>
    <w:bookmarkStart w:id="97" w:name="ref-Key2006"/>
    <w:p>
      <w:pPr>
        <w:pStyle w:val="Bibliography"/>
      </w:pPr>
      <w:r>
        <w:t xml:space="preserve">44.</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97"/>
    <w:bookmarkStart w:id="98" w:name="ref-Kefi2014"/>
    <w:p>
      <w:pPr>
        <w:pStyle w:val="Bibliography"/>
      </w:pPr>
      <w:r>
        <w:t xml:space="preserve">45.</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98"/>
    <w:bookmarkStart w:id="99" w:name="ref-Kolden2015"/>
    <w:p>
      <w:pPr>
        <w:pStyle w:val="Bibliography"/>
      </w:pPr>
      <w:r>
        <w:t xml:space="preserve">46.</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99"/>
    <w:bookmarkStart w:id="100" w:name="ref-Kotliar1990"/>
    <w:p>
      <w:pPr>
        <w:pStyle w:val="Bibliography"/>
      </w:pPr>
      <w:r>
        <w:t xml:space="preserve">47.</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00"/>
    <w:bookmarkStart w:id="101" w:name="ref-Larson2012"/>
    <w:p>
      <w:pPr>
        <w:pStyle w:val="Bibliography"/>
      </w:pPr>
      <w:r>
        <w:t xml:space="preserve">48.</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01"/>
    <w:bookmarkStart w:id="102" w:name="ref-Lenoir2013"/>
    <w:p>
      <w:pPr>
        <w:pStyle w:val="Bibliography"/>
      </w:pPr>
      <w:r>
        <w:t xml:space="preserve">49.</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02"/>
    <w:bookmarkStart w:id="103" w:name="ref-Malone2018"/>
    <w:p>
      <w:pPr>
        <w:pStyle w:val="Bibliography"/>
      </w:pPr>
      <w:r>
        <w:t xml:space="preserve">50.</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03"/>
    <w:bookmarkStart w:id="104" w:name="ref-Masek2006"/>
    <w:p>
      <w:pPr>
        <w:pStyle w:val="Bibliography"/>
      </w:pPr>
      <w:r>
        <w:t xml:space="preserve">51.</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04"/>
    <w:bookmarkStart w:id="105" w:name="ref-McCune2007"/>
    <w:p>
      <w:pPr>
        <w:pStyle w:val="Bibliography"/>
      </w:pPr>
      <w:r>
        <w:t xml:space="preserve">52.</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05"/>
    <w:bookmarkStart w:id="106" w:name="ref-McCune2002"/>
    <w:p>
      <w:pPr>
        <w:pStyle w:val="Bibliography"/>
      </w:pPr>
      <w:r>
        <w:t xml:space="preserve">53.</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06"/>
    <w:bookmarkStart w:id="107" w:name="ref-Millar2015"/>
    <w:p>
      <w:pPr>
        <w:pStyle w:val="Bibliography"/>
      </w:pPr>
      <w:r>
        <w:t xml:space="preserve">54.</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07"/>
    <w:bookmarkStart w:id="108" w:name="ref-Miller2009a"/>
    <w:p>
      <w:pPr>
        <w:pStyle w:val="Bibliography"/>
      </w:pPr>
      <w:r>
        <w:t xml:space="preserve">55.</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08"/>
    <w:bookmarkStart w:id="109" w:name="ref-Miller2007"/>
    <w:p>
      <w:pPr>
        <w:pStyle w:val="Bibliography"/>
      </w:pPr>
      <w:r>
        <w:t xml:space="preserve">56.</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09"/>
    <w:bookmarkStart w:id="110" w:name="ref-Moritz2005"/>
    <w:p>
      <w:pPr>
        <w:pStyle w:val="Bibliography"/>
      </w:pPr>
      <w:r>
        <w:t xml:space="preserve">57.</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10"/>
    <w:bookmarkStart w:id="111" w:name="ref-Nasi2015"/>
    <w:p>
      <w:pPr>
        <w:pStyle w:val="Bibliography"/>
      </w:pPr>
      <w:r>
        <w:t xml:space="preserve">58.</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11"/>
    <w:bookmarkStart w:id="112" w:name="ref-North2015"/>
    <w:p>
      <w:pPr>
        <w:pStyle w:val="Bibliography"/>
      </w:pPr>
      <w:r>
        <w:t xml:space="preserve">59.</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12"/>
    <w:bookmarkStart w:id="113" w:name="ref-North2009"/>
    <w:p>
      <w:pPr>
        <w:pStyle w:val="Bibliography"/>
      </w:pPr>
      <w:r>
        <w:t xml:space="preserve">60.</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13"/>
    <w:bookmarkStart w:id="114" w:name="ref-ParkWilliams2012"/>
    <w:p>
      <w:pPr>
        <w:pStyle w:val="Bibliography"/>
      </w:pPr>
      <w:r>
        <w:t xml:space="preserve">61.</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14"/>
    <w:bookmarkStart w:id="115" w:name="ref-Parks2014"/>
    <w:p>
      <w:pPr>
        <w:pStyle w:val="Bibliography"/>
      </w:pPr>
      <w:r>
        <w:t xml:space="preserve">62.</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15"/>
    <w:bookmarkStart w:id="116" w:name="ref-Prichard2014"/>
    <w:p>
      <w:pPr>
        <w:pStyle w:val="Bibliography"/>
      </w:pPr>
      <w:r>
        <w:t xml:space="preserve">63.</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16"/>
    <w:bookmarkStart w:id="117" w:name="ref-Questad2008"/>
    <w:p>
      <w:pPr>
        <w:pStyle w:val="Bibliography"/>
      </w:pPr>
      <w:r>
        <w:t xml:space="preserve">64.</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17"/>
    <w:bookmarkStart w:id="118" w:name="ref-RCoreTeam2018"/>
    <w:p>
      <w:pPr>
        <w:pStyle w:val="Bibliography"/>
      </w:pPr>
      <w:r>
        <w:t xml:space="preserve">65.</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18"/>
    <w:bookmarkStart w:id="119" w:name="ref-Raffa2009"/>
    <w:p>
      <w:pPr>
        <w:pStyle w:val="Bibliography"/>
      </w:pPr>
      <w:r>
        <w:t xml:space="preserve">66.</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19"/>
    <w:bookmarkStart w:id="120" w:name="ref-Raffa2008"/>
    <w:p>
      <w:pPr>
        <w:pStyle w:val="Bibliography"/>
      </w:pPr>
      <w:r>
        <w:t xml:space="preserve">67.</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20"/>
    <w:bookmarkStart w:id="121" w:name="ref-Reilly2017"/>
    <w:p>
      <w:pPr>
        <w:pStyle w:val="Bibliography"/>
      </w:pPr>
      <w:r>
        <w:t xml:space="preserve">68.</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21"/>
    <w:bookmarkStart w:id="122" w:name="ref-Reusch2005"/>
    <w:p>
      <w:pPr>
        <w:pStyle w:val="Bibliography"/>
      </w:pPr>
      <w:r>
        <w:t xml:space="preserve">69.</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22"/>
    <w:bookmarkStart w:id="123" w:name="ref-Rouse1973"/>
    <w:p>
      <w:pPr>
        <w:pStyle w:val="Bibliography"/>
      </w:pPr>
      <w:r>
        <w:t xml:space="preserve">70.</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23"/>
    <w:bookmarkStart w:id="124" w:name="ref-Scholl2010"/>
    <w:p>
      <w:pPr>
        <w:pStyle w:val="Bibliography"/>
      </w:pPr>
      <w:r>
        <w:t xml:space="preserve">71.</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24"/>
    <w:bookmarkStart w:id="125" w:name="ref-Sikkink2013"/>
    <w:p>
      <w:pPr>
        <w:pStyle w:val="Bibliography"/>
      </w:pPr>
      <w:r>
        <w:t xml:space="preserve">72.</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25"/>
    <w:bookmarkStart w:id="126" w:name="ref-Steel2015"/>
    <w:p>
      <w:pPr>
        <w:pStyle w:val="Bibliography"/>
      </w:pPr>
      <w:r>
        <w:t xml:space="preserve">73.</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26"/>
    <w:bookmarkStart w:id="127" w:name="ref-Stein2014a"/>
    <w:p>
      <w:pPr>
        <w:pStyle w:val="Bibliography"/>
      </w:pPr>
      <w:r>
        <w:t xml:space="preserve">74.</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27"/>
    <w:bookmarkStart w:id="128" w:name="ref-Stephens2004"/>
    <w:p>
      <w:pPr>
        <w:pStyle w:val="Bibliography"/>
      </w:pPr>
      <w:r>
        <w:t xml:space="preserve">75.</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28"/>
    <w:bookmarkStart w:id="129" w:name="ref-Stephens2008"/>
    <w:p>
      <w:pPr>
        <w:pStyle w:val="Bibliography"/>
      </w:pPr>
      <w:r>
        <w:t xml:space="preserve">76.</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29"/>
    <w:bookmarkStart w:id="130" w:name="ref-Stephens2015"/>
    <w:p>
      <w:pPr>
        <w:pStyle w:val="Bibliography"/>
      </w:pPr>
      <w:r>
        <w:t xml:space="preserve">77.</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30"/>
    <w:bookmarkStart w:id="131" w:name="ref-Stephens2013a"/>
    <w:p>
      <w:pPr>
        <w:pStyle w:val="Bibliography"/>
      </w:pPr>
      <w:r>
        <w:t xml:space="preserve">78.</w:t>
      </w:r>
      <w:r>
        <w:br w:type="textWrapping"/>
      </w:r>
      <w:r>
        <w:t xml:space="preserve">Stephens, S.L., Moghaddas, J.J., Edminster, C., Fiedler, C.E., Haase, S. &amp; Harrington, M.</w:t>
      </w:r>
      <w:r>
        <w:t xml:space="preserve"> </w:t>
      </w:r>
      <w:r>
        <w:rPr>
          <w:i/>
        </w:rPr>
        <w:t xml:space="preserve">et al.</w:t>
      </w:r>
      <w:r>
        <w:t xml:space="preserve"> </w:t>
      </w:r>
      <w:r>
        <w:t xml:space="preserve">(2013). Fire Treatment Effects on Vegetation Structure, Fuels, and Potential Fire Severity in Western U. S. Forests.</w:t>
      </w:r>
      <w:r>
        <w:t xml:space="preserve"> </w:t>
      </w:r>
      <w:r>
        <w:rPr>
          <w:i/>
        </w:rPr>
        <w:t xml:space="preserve">Ecological Applications</w:t>
      </w:r>
      <w:r>
        <w:t xml:space="preserve">, 19, 305–320.</w:t>
      </w:r>
    </w:p>
    <w:bookmarkEnd w:id="131"/>
    <w:bookmarkStart w:id="132" w:name="ref-Sugihara2006"/>
    <w:p>
      <w:pPr>
        <w:pStyle w:val="Bibliography"/>
      </w:pPr>
      <w:r>
        <w:t xml:space="preserve">79.</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32"/>
    <w:bookmarkStart w:id="133" w:name="ref-Tilman1994"/>
    <w:p>
      <w:pPr>
        <w:pStyle w:val="Bibliography"/>
      </w:pPr>
      <w:r>
        <w:t xml:space="preserve">80.</w:t>
      </w:r>
      <w:r>
        <w:br w:type="textWrapping"/>
      </w:r>
      <w:r>
        <w:t xml:space="preserve">Tilman, D. (1994). Competition and biodiversity in spatially structured habitats.</w:t>
      </w:r>
      <w:r>
        <w:t xml:space="preserve"> </w:t>
      </w:r>
      <w:r>
        <w:rPr>
          <w:i/>
        </w:rPr>
        <w:t xml:space="preserve">Ecology</w:t>
      </w:r>
      <w:r>
        <w:t xml:space="preserve">, 75, 2–16.</w:t>
      </w:r>
    </w:p>
    <w:bookmarkEnd w:id="133"/>
    <w:bookmarkStart w:id="134" w:name="ref-Trumbore2015"/>
    <w:p>
      <w:pPr>
        <w:pStyle w:val="Bibliography"/>
      </w:pPr>
      <w:r>
        <w:t xml:space="preserve">81.</w:t>
      </w:r>
      <w:r>
        <w:br w:type="textWrapping"/>
      </w:r>
      <w:r>
        <w:t xml:space="preserve">Trumbore, S., Brando, P. &amp; Hartmann, H. (2015). Forest health and global change.</w:t>
      </w:r>
      <w:r>
        <w:t xml:space="preserve"> </w:t>
      </w:r>
      <w:r>
        <w:rPr>
          <w:i/>
        </w:rPr>
        <w:t xml:space="preserve">Science</w:t>
      </w:r>
      <w:r>
        <w:t xml:space="preserve">, 349.</w:t>
      </w:r>
    </w:p>
    <w:bookmarkEnd w:id="134"/>
    <w:bookmarkStart w:id="135" w:name="ref-Tuanmu2015"/>
    <w:p>
      <w:pPr>
        <w:pStyle w:val="Bibliography"/>
      </w:pPr>
      <w:r>
        <w:t xml:space="preserve">82.</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35"/>
    <w:bookmarkStart w:id="136" w:name="ref-USGSlasrc2017"/>
    <w:p>
      <w:pPr>
        <w:pStyle w:val="Bibliography"/>
      </w:pPr>
      <w:r>
        <w:t xml:space="preserve">83.</w:t>
      </w:r>
      <w:r>
        <w:br w:type="textWrapping"/>
      </w:r>
      <w:r>
        <w:t xml:space="preserve">USGS. (2017a). Product Guide: Landat 8 Surface Reflectance Code (LaSRC) Product.</w:t>
      </w:r>
      <w:r>
        <w:t xml:space="preserve"> </w:t>
      </w:r>
      <w:r>
        <w:rPr>
          <w:i/>
        </w:rPr>
        <w:t xml:space="preserve">USGS Professional Paper</w:t>
      </w:r>
      <w:r>
        <w:t xml:space="preserve">, 4.2.</w:t>
      </w:r>
    </w:p>
    <w:bookmarkEnd w:id="136"/>
    <w:bookmarkStart w:id="137" w:name="ref-USGSledaps2017"/>
    <w:p>
      <w:pPr>
        <w:pStyle w:val="Bibliography"/>
      </w:pPr>
      <w:r>
        <w:t xml:space="preserve">84.</w:t>
      </w:r>
      <w:r>
        <w:br w:type="textWrapping"/>
      </w:r>
      <w:r>
        <w:t xml:space="preserve">USGS. (2017b). Product Guide: Landsat 4-7 Surface Reflectance (LEDAPS) Product.</w:t>
      </w:r>
      <w:r>
        <w:t xml:space="preserve"> </w:t>
      </w:r>
      <w:r>
        <w:rPr>
          <w:i/>
        </w:rPr>
        <w:t xml:space="preserve">USGS Professional Paper</w:t>
      </w:r>
      <w:r>
        <w:t xml:space="preserve">, 8, 38.</w:t>
      </w:r>
    </w:p>
    <w:bookmarkEnd w:id="137"/>
    <w:bookmarkStart w:id="138" w:name="ref-Veraverbeke2013"/>
    <w:p>
      <w:pPr>
        <w:pStyle w:val="Bibliography"/>
      </w:pPr>
      <w:r>
        <w:t xml:space="preserve">85.</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38"/>
    <w:bookmarkStart w:id="139" w:name="ref-Vermote2016"/>
    <w:p>
      <w:pPr>
        <w:pStyle w:val="Bibliography"/>
      </w:pPr>
      <w:r>
        <w:t xml:space="preserve">86.</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39"/>
    <w:bookmarkStart w:id="140" w:name="ref-Virah-Sawmy2009"/>
    <w:p>
      <w:pPr>
        <w:pStyle w:val="Bibliography"/>
      </w:pPr>
      <w:r>
        <w:t xml:space="preserve">87.</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40"/>
    <w:bookmarkStart w:id="141" w:name="ref-Walker2004"/>
    <w:p>
      <w:pPr>
        <w:pStyle w:val="Bibliography"/>
      </w:pPr>
      <w:r>
        <w:t xml:space="preserve">88.</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41"/>
    <w:bookmarkStart w:id="142" w:name="ref-Westerling2016"/>
    <w:p>
      <w:pPr>
        <w:pStyle w:val="Bibliography"/>
      </w:pPr>
      <w:r>
        <w:t xml:space="preserve">89.</w:t>
      </w:r>
      <w:r>
        <w:br w:type="textWrapping"/>
      </w: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371, 20160373.</w:t>
      </w:r>
    </w:p>
    <w:bookmarkEnd w:id="142"/>
    <w:bookmarkStart w:id="143" w:name="ref-Westerling2006"/>
    <w:p>
      <w:pPr>
        <w:pStyle w:val="Bibliography"/>
      </w:pPr>
      <w:r>
        <w:t xml:space="preserve">90.</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43"/>
    <w:bookmarkStart w:id="144" w:name="ref-Wood2012"/>
    <w:p>
      <w:pPr>
        <w:pStyle w:val="Bibliography"/>
      </w:pPr>
      <w:r>
        <w:t xml:space="preserve">91.</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44"/>
    <w:bookmarkStart w:id="145" w:name="ref-Young2017"/>
    <w:p>
      <w:pPr>
        <w:pStyle w:val="Bibliography"/>
      </w:pPr>
      <w:r>
        <w:t xml:space="preserve">92.</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45"/>
    <w:bookmarkStart w:id="146" w:name="ref-Zhu2006"/>
    <w:p>
      <w:pPr>
        <w:pStyle w:val="Bibliography"/>
      </w:pPr>
      <w:r>
        <w:t xml:space="preserve">93.</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46"/>
    <w:bookmarkEnd w:id="147"/>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f9cc8b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52a66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aa1d51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f1d9492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e62682b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a439cd7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8828610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20d8f73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45" Target="media/rId45.pdf" /><Relationship Type="http://schemas.openxmlformats.org/officeDocument/2006/relationships/image" Id="rId25" Target="media/rId25.pdf" /><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of vegetation structure interacts with fuel moisture to affect forest resistance to wildfire</dc:title>
  <dc:creator>Michael J Koontz1,2; Malcolm P North2,3; Stephen E Fick4; Chhaya M Werner5; Andrew M Latimer2</dc:creator>
  <cp:keywords/>
  <dcterms:created xsi:type="dcterms:W3CDTF">2018-05-16T04:44:11Z</dcterms:created>
  <dcterms:modified xsi:type="dcterms:W3CDTF">2018-05-16T04:44:11Z</dcterms:modified>
</cp:coreProperties>
</file>