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B274A3" w14:textId="77777777" w:rsidR="008C356C" w:rsidRPr="008C356C" w:rsidRDefault="008C356C" w:rsidP="008C356C">
      <w:pPr>
        <w:spacing w:line="480" w:lineRule="auto"/>
        <w:rPr>
          <w:rFonts w:ascii="Helvetica" w:hAnsi="Helvetica"/>
          <w:b/>
        </w:rPr>
      </w:pPr>
      <w:r w:rsidRPr="008C356C">
        <w:rPr>
          <w:rFonts w:ascii="Helvetica" w:hAnsi="Helvetica"/>
          <w:b/>
        </w:rPr>
        <w:t>Supplemental methods.</w:t>
      </w:r>
    </w:p>
    <w:p w14:paraId="1E7745ED" w14:textId="2277945E" w:rsidR="008C356C" w:rsidRPr="008C356C" w:rsidRDefault="008C356C" w:rsidP="008C356C">
      <w:pPr>
        <w:spacing w:line="480" w:lineRule="auto"/>
        <w:rPr>
          <w:rFonts w:ascii="Helvetica" w:hAnsi="Helvetica"/>
        </w:rPr>
      </w:pPr>
      <w:r w:rsidRPr="008C356C">
        <w:rPr>
          <w:rFonts w:ascii="Helvetica" w:hAnsi="Helvetica"/>
        </w:rPr>
        <w:t xml:space="preserve">Normalized difference vegetation index (NDVI; Eq. 1) correlates with vegetation density, canopy </w:t>
      </w:r>
      <w:r w:rsidR="00B359A9">
        <w:rPr>
          <w:rFonts w:ascii="Helvetica" w:hAnsi="Helvetica"/>
        </w:rPr>
        <w:t xml:space="preserve">cover, and leaf area index </w:t>
      </w:r>
      <w:r w:rsidR="00B359A9">
        <w:rPr>
          <w:rFonts w:ascii="Helvetica" w:hAnsi="Helvetica"/>
        </w:rPr>
        <w:fldChar w:fldCharType="begin" w:fldLock="1"/>
      </w:r>
      <w:r w:rsidR="00B359A9">
        <w:rPr>
          <w:rFonts w:ascii="Helvetica" w:hAnsi="Helvetica"/>
        </w:rPr>
        <w:instrText>ADDIN CSL_CITATION {"citationItems":[{"id":"ITEM-1","itemData":{"DOI":"citeulike-article-id:12009708","ISBN":"0027-8424","ISSN":"00344257","PMID":"1434","abstract":"The author has identified the following significant results.","author":[{"dropping-particle":"","family":"Rouse","given":"J. W.","non-dropping-particle":"","parse-names":false,"suffix":""},{"dropping-particle":"","family":"Hass","given":"R. H.","non-dropping-particle":"","parse-names":false,"suffix":""},{"dropping-particle":"","family":"Schell","given":"J.A.","non-dropping-particle":"","parse-names":false,"suffix":""},{"dropping-particle":"","family":"Deering","given":"D.W.","non-dropping-particle":"","parse-names":false,"suffix":""}],"container-title":"Third Earth Resources Technology Satellite (ERTS) symposium","id":"ITEM-1","issued":{"date-parts":[["1973"]]},"page":"309-317","title":"Monitoring vegetation systems in the great plains with ERTS","type":"article-journal","volume":"1"},"uris":["http://www.mendeley.com/documents/?uuid=ee5b7df3-c828-43ea-b747-1c5736ceb53f"]}],"mendeley":{"formattedCitation":"(Rouse et al. 1973)","plainTextFormattedCitation":"(Rouse et al. 1973)","previouslyFormattedCitation":"(Rouse et al. 1973)"},"properties":{"noteIndex":0},"schema":"https://github.com/citation-style-language/schema/raw/master/csl-citation.json"}</w:instrText>
      </w:r>
      <w:r w:rsidR="00B359A9">
        <w:rPr>
          <w:rFonts w:ascii="Helvetica" w:hAnsi="Helvetica"/>
        </w:rPr>
        <w:fldChar w:fldCharType="separate"/>
      </w:r>
      <w:r w:rsidR="00B359A9" w:rsidRPr="00B359A9">
        <w:rPr>
          <w:rFonts w:ascii="Helvetica" w:hAnsi="Helvetica"/>
          <w:noProof/>
        </w:rPr>
        <w:t>(Rouse et al. 1973)</w:t>
      </w:r>
      <w:r w:rsidR="00B359A9">
        <w:rPr>
          <w:rFonts w:ascii="Helvetica" w:hAnsi="Helvetica"/>
        </w:rPr>
        <w:fldChar w:fldCharType="end"/>
      </w:r>
      <w:r w:rsidRPr="008C356C">
        <w:rPr>
          <w:rFonts w:ascii="Helvetica" w:hAnsi="Helvetica"/>
        </w:rPr>
        <w:t xml:space="preserve">. Normalized difference moisture index (NDMI; Eq. 2) correlates with similar vegetation characteristics as NDVI, but doesn’t saturate at high levels of foliar biomass </w:t>
      </w:r>
      <w:r w:rsidR="00B359A9">
        <w:rPr>
          <w:rFonts w:ascii="Helvetica" w:hAnsi="Helvetica"/>
        </w:rPr>
        <w:fldChar w:fldCharType="begin" w:fldLock="1"/>
      </w:r>
      <w:r w:rsidR="00B359A9">
        <w:rPr>
          <w:rFonts w:ascii="Helvetica" w:hAnsi="Helvetica"/>
        </w:rPr>
        <w:instrText>ADDIN CSL_CITATION {"citationItems":[{"id":"ITEM-1","itemData":{"DOI":"10.1016/S0034-4257(96)00067-3","ISBN":"0034-4257","ISSN":"00344257","PMID":"728","abstract":"The normalized difference vegetation index (NDVI) has been widely used for remote sensing of vegetation for many years. This index uses radiances or reflectances from a red channel around 0.66 ??m and a near-IR channel around 0.86 ??m. The red channel is located in the strong chlorophyll absorption region, while the near-IR channel is located in the high reflectance plateau of vegetation canopies. The two channels sense very different depths through vegetation canopies. In this article, another index, namely the normalized difference water index (NDWI), is proposed for remote sensing of vegetation liquid water from space. NDWI is defined as (p(0.86 ??m) - ??(1.24 ??m))/(??(0.86 ??m) + ??(1.24 ??m)), where ?? represents the radiance in reflectance units. Both the 0.86-??m and the 1.24-??m channels are located in the high reflectance plateau of vegetation canopies. They sense similar depths through vegetation canopies. They sense similar depths through vegetation canopies. Absorption by vegetation liquid water near 0.86 ??m is negligible. Weak liquid absorption at 1.24 ??m is present. Canopy scattering enhances the water absorption. As a result, NDWI is sensitive to changes in liquid water content of vegetation canopies. Atmospheric aerosol scattering effects in the 0.86-1.24 ??m region are weak. NDWI is less sensitive to atmospheric effects than NDVI. NDWI does not remove completely the background soil reflectance effects, similar to NDVI. Because the information about vegetation canopies contained in the 1.24-??m channel is very different from that contained in the red channel near 0.66 ??m. NDWI should be considered as an independent vegetation index. It is complementary to, not a substitute for NDVI. Laboratory-measured reflectance of stacked green leaves, and spectral imaging data acquired with Airborne Visible Infrared Imaging Spectrometer (AVIRIS) over Jasper Ridge in California and the High Plains in northern Colorado, are used to demonstrate the usefulness of NDWI. Comparisons between NDWI and NDVI images are also given.","author":[{"dropping-particle":"","family":"Gao","given":"Bo C.","non-dropping-particle":"","parse-names":false,"suffix":""}],"container-title":"Remote Sensing of Environment","id":"ITEM-1","issue":"3","issued":{"date-parts":[["1996"]]},"page":"257-266","title":"NDWI - A normalized difference water index for remote sensing of vegetation liquid water from space","type":"article-journal","volume":"58"},"uris":["http://www.mendeley.com/documents/?uuid=29cc6eee-a692-4157-bfde-bae893257fe0"]},{"id":"ITEM-2","itemData":{"DOI":"10.1016/j.rse.2016.04.020","ISSN":"00344257","abstract":"There is a well-established need within the remote sensing community for improved estimation and understanding of canopy structure and its influence on the retrieval of leaf biochemical properties. The main goal of this research was to assess the potential of optical spectral information from NASA's Airborne Visible/Infrared Imaging Spectrometer (AVIRIS) to discriminate different canopy structural types. In the first phase, we assessed the relationships between optical metrics and canopy structural parameters obtained from LiDAR in terms of different canopy structural attributes (biomass (i.e., area under Vegetation Vertical Profile, VVPint), canopy height and vegetation complexity). Secondly, we identified and classified different \"canopy structural types\" by integrating several structural traits using Random Forests (RF). The study area is a heterogeneous forest in Sierra National Forest in California (USA). AVIRIS optical properties were analyzed by means of several sets of variables, including single narrow band reflectance and 1st derivative, sub-pixel cover fractions, narrow-band indices, spectral absorption features, optimized normalized difference indices and Principal Component Analysis (PCA) components. Our results demonstrate that optical data contain structural information that can be retrieved. The first principal component, used as a proxy for albedo, was the most strongly correlated optical metric with vegetation complexity, and it also correlated well with biomass (VVPint) and height. In conifer forests, the shade fraction was especially correlated to vegetation complexity, while water-sensitive optical metrics had high correlations with biomass (VVPint). Single spectral band analysis results showed that correlations differ in magnitude and in direction, across the spectrum and by vegetation type and structural variable. This research illustrates the potential of AVIRIS to analyze canopy structure and to distinguish several structural types in a heterogeneous forest. Furthermore, RF using optical metrics derived from AVIRIS proved to be a powerful technique to generate maps of structural attributes. The results emphasize the importance of using the whole optical spectrum, since all spectral regions contributed to canopy structure assessment.","author":[{"dropping-particle":"","family":"Huesca","given":"Margarita","non-dropping-particle":"","parse-names":false,"suffix":""},{"dropping-particle":"","family":"García","given":"Mariano","non-dropping-particle":"","parse-names":false,"suffix":""},{"dropping-particle":"","family":"Roth","given":"Keely L.","non-dropping-particle":"","parse-names":false,"suffix":""},{"dropping-particle":"","family":"Casas","given":"Angeles","non-dropping-particle":"","parse-names":false,"suffix":""},{"dropping-particle":"","family":"Ustin","given":"Susan L.","non-dropping-particle":"","parse-names":false,"suffix":""}],"container-title":"Remote Sensing of Environment","id":"ITEM-2","issued":{"date-parts":[["2016"]]},"page":"208-226","publisher":"Elsevier Inc.","title":"Canopy structural attributes derived from AVIRIS imaging spectroscopy data in a mixed broadleaf/conifer forest","type":"article-journal","volume":"182"},"uris":["http://www.mendeley.com/documents/?uuid=c27a111e-d4e9-4644-aa16-353d2e3266ee"]}],"mendeley":{"formattedCitation":"(Gao 1996, Huesca et al. 2016)","plainTextFormattedCitation":"(Gao 1996, Huesca et al. 2016)","previouslyFormattedCitation":"(Gao 1996, Huesca et al. 2016)"},"properties":{"noteIndex":0},"schema":"https://github.com/citation-style-language/schema/raw/master/csl-citation.json"}</w:instrText>
      </w:r>
      <w:r w:rsidR="00B359A9">
        <w:rPr>
          <w:rFonts w:ascii="Helvetica" w:hAnsi="Helvetica"/>
        </w:rPr>
        <w:fldChar w:fldCharType="separate"/>
      </w:r>
      <w:r w:rsidR="00B359A9" w:rsidRPr="00B359A9">
        <w:rPr>
          <w:rFonts w:ascii="Helvetica" w:hAnsi="Helvetica"/>
          <w:noProof/>
        </w:rPr>
        <w:t>(Gao 1996, Huesca et al. 2016)</w:t>
      </w:r>
      <w:r w:rsidR="00B359A9">
        <w:rPr>
          <w:rFonts w:ascii="Helvetica" w:hAnsi="Helvetica"/>
        </w:rPr>
        <w:fldChar w:fldCharType="end"/>
      </w:r>
      <w:r w:rsidRPr="008C356C">
        <w:rPr>
          <w:rFonts w:ascii="Helvetica" w:hAnsi="Helvetica"/>
        </w:rPr>
        <w:t xml:space="preserve">. Normalized burn ratio (NBR; Eq. 3) and normalized burn ratio version 2 (NBR2; Eq. 4) respond strongly to fire effects on vegetation </w:t>
      </w:r>
      <w:r w:rsidR="00B359A9">
        <w:rPr>
          <w:rFonts w:ascii="Helvetica" w:hAnsi="Helvetica"/>
        </w:rPr>
        <w:fldChar w:fldCharType="begin" w:fldLock="1"/>
      </w:r>
      <w:r w:rsidR="00B359A9">
        <w:rPr>
          <w:rFonts w:ascii="Helvetica" w:hAnsi="Helvetica"/>
        </w:rPr>
        <w:instrText>ADDIN CSL_CITATION {"citationItems":[{"id":"ITEM-1","itemData":{"DOI":"10.1080/10106049109354290","ISBN":"1010604910","ISSN":"10106049","abstract":"Abstract Remote sensing techniques are specially suitable to detect and to map areas affected by forest fires. In this work, Landsat 5 Thematic Mapper (TM) data has been used to study a number of forest fires that occurred in the province of Valencia (Spain) and to monitor the vegetation regeneration over burnt areas. A reference area (non?burnt forest) was established to assess the change produced by fire. The radiance in the thermal band (10.4?12.5 ?m) and the normalized difference in reflectance between near 1R (0.76?0.90 ?m) and middle IR (2.08?2.35 ?m) were the most suitable parameters to map burnt areas. This index can also be used for monitoring vegetation regeneration in burnt areas. About a month after the fire, the burns show temperatures of 5?6 °C higher than those found in the reference area, and the vegetation index shows negative values whereas the reference area values remain positive. The differences between the burns and the reference area for the vegetation index decrease with time as vegetation regenerates. Abstract Remote sensing techniques are specially suitable to detect and to map areas affected by forest fires. In this work, Landsat 5 Thematic Mapper (TM) data has been used to study a number of forest fires that occurred in the province of Valencia (Spain) and to monitor the vegetation regeneration over burnt areas. A reference area (non?burnt forest) was established to assess the change produced by fire. The radiance in the thermal band (10.4?12.5 ?m) and the normalized difference in reflectance between near 1R (0.76?0.90 ?m) and middle IR (2.08?2.35 ?m) were the most suitable parameters to map burnt areas. This index can also be used for monitoring vegetation regeneration in burnt areas. About a month after the fire, the burns show temperatures of 5?6 °C higher than those found in the reference area, and the vegetation index shows negative values whereas the reference area values remain positive. The differences between the burns and the reference area for the vegetation index decrease with time as vegetation regenerates.","author":[{"dropping-particle":"","family":"García","given":"M. J. López","non-dropping-particle":"","parse-names":false,"suffix":""},{"dropping-particle":"","family":"Caselles","given":"V.","non-dropping-particle":"","parse-names":false,"suffix":""}],"container-title":"Geocarto International","id":"ITEM-1","issue":"1","issued":{"date-parts":[["1991"]]},"page":"31-37","title":"Mapping burns and natural reforestation using thematic mapper data","type":"article-journal","volume":"6"},"uris":["http://www.mendeley.com/documents/?uuid=1d65ae71-ad83-45c6-9e94-1aaab6cf5c9f"]},{"id":"ITEM-2","itemData":{"DOI":"10.1002/app.1994.070541203","ISBN":"USDA Forest Service Gen. Tech. Rep. RMRS-GTR-164-CD","ISSN":"02775786","PMID":"4","abstract":"Landscape Assessment primarily addresses the need to identify and quantify fire effects over large areas, at times involving many burns. In contrast to individual case studies, the ability to compare results is emphasized along with the capacity to aggregate information across broad regions and over time. Results show the spatial heterogeneity of burns and how fire interacts with vegetation and topography. The quantity measured and mapped is “burn severity,” defined here as a scaled index gauging the magnitude of ecological change caused by fire. In the process, two methodologies are integrated. Burn Remote Sensing (BR) involves remote sensing with Landsat 30-meter data and a derived radiometric value called the Normalized Burn Ratio (NBR). The NBR is temporally differenced between pre- and postfire datasets to determine the extent and degree of change detected from burning (fig. LA-1). Two timeframes of acquisition identify effects soon after fire and during the next growing season for Initial and Extended Assessments, respectively. The latter includes vegetative recovery potential and delayed mortality. The Burn Index (BI) adds a complementary field sampling approach, called the Composite Burn Index (CBI). It entails a relatively large plot, independent severity ratings for individual strata, and a synoptic rating for the whole plot area. Plot sampling may be used to calibrate and validate remote sensing results, to relate detected radiometric change to actual fire effects on the ground. Alternatively, plot sampling may be implemented in stand-alone field surveys for individual site assessment.","author":[{"dropping-particle":"","family":"Key","given":"Carl H","non-dropping-particle":"","parse-names":false,"suffix":""},{"dropping-particle":"","family":"Benson","given":"Nathan C","non-dropping-particle":"","parse-names":false,"suffix":""}],"container-title":"USDA Forest Service General Technical Report RMRS-GTR-164-CD","id":"ITEM-2","issue":"June","issued":{"date-parts":[["2006"]]},"page":"1-55","title":"Landscape assessment: Sampling and analysis methods","type":"article-journal"},"uris":["http://www.mendeley.com/documents/?uuid=c9222312-8d98-47e4-aba4-f58dd6d5d816"]},{"id":"ITEM-3","itemData":{"DOI":"10.1016/j.rse.2017.06.027","ISBN":"0034-4257","ISSN":"00344257","abstract":"Complete and accurate burned area data are needed to document patterns of fires, to quantify relationships between the patterns and drivers of fire occurrence, and to assess the impacts of fires on human and natural systems. Unfortunately, in many areas existing fire occurrence datasets are known to be incomplete. Consequently, the need to systematically collect burned area information has been recognized by the United Nations Framework Convention on Climate Change and the Intergovernmental Panel on Climate Change, which have both called for the production of essential climate variables (ECVs), including information about burned area. In this paper, we present an algorithm that identifies burned areas in dense time-series of Landsat data to produce the Landsat Burned Area Essential Climate Variable (BAECV) products. The algorithm uses gradient boosted regression models to generate burn probability surfaces using band values and spectral indices from individual Landsat scenes, lagged reference conditions, and change metrics between the scene and reference predictors. Burn classifications are generated from the burn probability surfaces using pixel-level thresholding in combination with a region growing process. The algorithm can be applied anywhere Landsat and training data are available. For this study, BAECV products were generated for the conterminous United States from 1984 through 2015. These products consist of pixel-level burn probabilities for each Landsat scene, in addition to, annual composites including: the maximum burn probability and a burn classification. We compared the BAECV burn classification products to the existing Global Fire Emissions Database (GFED; 1997–2015) and Monitoring Trends in Burn Severity (MTBS; 1984–2013) data. We found that the BAECV products mapped 36% more burned area than the GFED and 116% more burned area than MTBS. Differences between the BAECV products and the GFED were especially high in the West and East where the BAECV products mapped 32% and 88% more burned area, respectively. However, the BAECV products found less burned area than the GFED in regions with frequent agricultural fires. Compared to the MTBS data, the BAECV products identified 31% more burned area in the West, 312% more in the Great Plains, and 233% more in the East. Most pixels in the MTBS data were detected by the BAECV, regardless of burn severity. The BAECV products document patterns of fire similar to those in the GFED but also showed patte…","author":[{"dropping-particle":"","family":"Hawbaker","given":"Todd J.","non-dropping-particle":"","parse-names":false,"suffix":""},{"dropping-particle":"","family":"Vanderhoof","given":"Melanie K.","non-dropping-particle":"","parse-names":false,"suffix":""},{"dropping-particle":"","family":"Beal","given":"Yen Ju","non-dropping-particle":"","parse-names":false,"suffix":""},{"dropping-particle":"","family":"Takacs","given":"Joshua D.","non-dropping-particle":"","parse-names":false,"suffix":""},{"dropping-particle":"","family":"Schmidt","given":"Gail L.","non-dropping-particle":"","parse-names":false,"suffix":""},{"dropping-particle":"","family":"Falgout","given":"Jeff T.","non-dropping-particle":"","parse-names":false,"suffix":""},{"dropping-particle":"","family":"Williams","given":"Brad","non-dropping-particle":"","parse-names":false,"suffix":""},{"dropping-particle":"","family":"Fairaux","given":"Nicole M.","non-dropping-particle":"","parse-names":false,"suffix":""},{"dropping-particle":"","family":"Caldwell","given":"Megan K.","non-dropping-particle":"","parse-names":false,"suffix":""},{"dropping-particle":"","family":"Picotte","given":"Joshua J.","non-dropping-particle":"","parse-names":false,"suffix":""},{"dropping-particle":"","family":"Howard","given":"Stephen M.","non-dropping-particle":"","parse-names":false,"suffix":""},{"dropping-particle":"","family":"Stitt","given":"Susan","non-dropping-particle":"","parse-names":false,"suffix":""},{"dropping-particle":"","family":"Dwyer","given":"John L.","non-dropping-particle":"","parse-names":false,"suffix":""}],"container-title":"Remote Sensing of Environment","id":"ITEM-3","issued":{"date-parts":[["2017"]]},"page":"504-522","publisher":"Elsevier Inc.","title":"Mapping burned areas using dense time-series of Landsat data","type":"article-journal","volume":"198"},"uris":["http://www.mendeley.com/documents/?uuid=9e45ba18-7077-4bc4-acd5-8dcc63712932"]},{"id":"ITEM-4","itemData":{"DOI":"10.1080/1073161X.1994.10467258","ISSN":"1545-598X","author":[{"dropping-particle":"","family":"USGS","given":"","non-dropping-particle":"","parse-names":false,"suffix":""}],"container-title":"USGS Professional Paper","id":"ITEM-4","issue":"1","issued":{"date-parts":[["2017"]]},"page":"38","title":"Product Guide: Landsat 4-7 Surface Reflectance (LEDAPS) Product","type":"article-journal","volume":"8"},"uris":["http://www.mendeley.com/documents/?uuid=237c5b84-caf1-4fb7-ae7c-8cd0a2bb3b8f"]},{"id":"ITEM-5","itemData":{"author":[{"dropping-particle":"","family":"USGS","given":"","non-dropping-particle":"","parse-names":false,"suffix":""}],"container-title":"USGS Professional Paper","id":"ITEM-5","issued":{"date-parts":[["2017"]]},"title":"Product Guide: Landat 8 Surface Reflectance Code (LaSRC) Product","type":"article-journal","volume":"4.2"},"uris":["http://www.mendeley.com/documents/?uuid=69fda2d8-b646-4d5e-b45a-48e7967862e0"]}],"mendeley":{"formattedCitation":"(García and Caselles 1991, Key and Benson 2006, Hawbaker et al. 2017, USGS 2017a, 2017b)","plainTextFormattedCitation":"(García and Caselles 1991, Key and Benson 2006, Hawbaker et al. 2017, USGS 2017a, 2017b)","previouslyFormattedCitation":"(García and Caselles 1991, Key and Benson 2006, Hawbaker et al. 2017, USGS 2017a, 2017b)"},"properties":{"noteIndex":0},"schema":"https://github.com/citation-style-language/schema/raw/master/csl-citation.json"}</w:instrText>
      </w:r>
      <w:r w:rsidR="00B359A9">
        <w:rPr>
          <w:rFonts w:ascii="Helvetica" w:hAnsi="Helvetica"/>
        </w:rPr>
        <w:fldChar w:fldCharType="separate"/>
      </w:r>
      <w:r w:rsidR="00B359A9" w:rsidRPr="00B359A9">
        <w:rPr>
          <w:rFonts w:ascii="Helvetica" w:hAnsi="Helvetica"/>
          <w:noProof/>
        </w:rPr>
        <w:t>(García and Caselles 1991, Key and Benson 2006, Hawbaker et al. 2017, USGS 2017a, 2017b)</w:t>
      </w:r>
      <w:r w:rsidR="00B359A9">
        <w:rPr>
          <w:rFonts w:ascii="Helvetica" w:hAnsi="Helvetica"/>
        </w:rPr>
        <w:fldChar w:fldCharType="end"/>
      </w:r>
      <w:r w:rsidRPr="008C356C">
        <w:rPr>
          <w:rFonts w:ascii="Helvetica" w:hAnsi="Helvetica"/>
        </w:rPr>
        <w:t>.</w:t>
      </w:r>
    </w:p>
    <w:p w14:paraId="79706E89" w14:textId="77777777" w:rsidR="008C356C" w:rsidRPr="008C356C" w:rsidRDefault="008C356C" w:rsidP="008C356C">
      <w:pPr>
        <w:numPr>
          <w:ilvl w:val="0"/>
          <w:numId w:val="1"/>
        </w:numPr>
        <w:rPr>
          <w:rFonts w:ascii="Helvetica" w:hAnsi="Helvetica"/>
        </w:rPr>
      </w:pPr>
      <m:oMath>
        <m:r>
          <w:rPr>
            <w:rFonts w:ascii="Cambria Math" w:hAnsi="Cambria Math"/>
          </w:rPr>
          <m:t>ndvi=(nir-red)/(nir+red)</m:t>
        </m:r>
      </m:oMath>
    </w:p>
    <w:p w14:paraId="694D80F7" w14:textId="77777777" w:rsidR="008C356C" w:rsidRPr="008C356C" w:rsidRDefault="008C356C" w:rsidP="008C356C">
      <w:pPr>
        <w:numPr>
          <w:ilvl w:val="0"/>
          <w:numId w:val="1"/>
        </w:numPr>
        <w:rPr>
          <w:rFonts w:ascii="Helvetica" w:hAnsi="Helvetica"/>
        </w:rPr>
      </w:pPr>
      <m:oMath>
        <m:r>
          <w:rPr>
            <w:rFonts w:ascii="Cambria Math" w:hAnsi="Cambria Math"/>
          </w:rPr>
          <m:t>ndmi=(nir-swir1)/(nir+swir1)</m:t>
        </m:r>
      </m:oMath>
    </w:p>
    <w:p w14:paraId="5D598608" w14:textId="77777777" w:rsidR="008C356C" w:rsidRPr="008C356C" w:rsidRDefault="008C356C" w:rsidP="008C356C">
      <w:pPr>
        <w:numPr>
          <w:ilvl w:val="0"/>
          <w:numId w:val="1"/>
        </w:numPr>
        <w:rPr>
          <w:rFonts w:ascii="Helvetica" w:hAnsi="Helvetica"/>
        </w:rPr>
      </w:pPr>
      <m:oMath>
        <m:r>
          <w:rPr>
            <w:rFonts w:ascii="Cambria Math" w:hAnsi="Cambria Math"/>
          </w:rPr>
          <m:t>nbr=(nir-swir2)/(nir+swir2)</m:t>
        </m:r>
      </m:oMath>
    </w:p>
    <w:p w14:paraId="4E77B5E0" w14:textId="77777777" w:rsidR="008C356C" w:rsidRPr="008C356C" w:rsidRDefault="008C356C" w:rsidP="008C356C">
      <w:pPr>
        <w:numPr>
          <w:ilvl w:val="0"/>
          <w:numId w:val="1"/>
        </w:numPr>
        <w:rPr>
          <w:rFonts w:ascii="Helvetica" w:hAnsi="Helvetica"/>
        </w:rPr>
      </w:pPr>
      <m:oMath>
        <m:r>
          <w:rPr>
            <w:rFonts w:ascii="Cambria Math" w:hAnsi="Cambria Math"/>
          </w:rPr>
          <m:t>nbr2=(swir1-swir2)/(swir1+swir2)</m:t>
        </m:r>
      </m:oMath>
    </w:p>
    <w:p w14:paraId="2DAC1C6F" w14:textId="77777777" w:rsidR="008C356C" w:rsidRPr="008C356C" w:rsidRDefault="008C356C" w:rsidP="008C356C">
      <w:pPr>
        <w:ind w:left="480"/>
        <w:rPr>
          <w:rFonts w:ascii="Helvetica" w:hAnsi="Helvetica"/>
        </w:rPr>
      </w:pPr>
    </w:p>
    <w:p w14:paraId="13909B8D" w14:textId="510AC2FE" w:rsidR="008C356C" w:rsidRPr="008C356C" w:rsidRDefault="008C356C" w:rsidP="008C356C">
      <w:pPr>
        <w:pStyle w:val="FirstParagraph"/>
        <w:rPr>
          <w:rFonts w:ascii="Helvetica" w:hAnsi="Helvetica"/>
        </w:rPr>
      </w:pPr>
      <w:r w:rsidRPr="008C356C">
        <w:rPr>
          <w:rFonts w:ascii="Helvetica" w:hAnsi="Helvetica"/>
        </w:rPr>
        <w:t xml:space="preserve">Where </w:t>
      </w:r>
      <m:oMath>
        <m:r>
          <w:rPr>
            <w:rFonts w:ascii="Cambria Math" w:hAnsi="Cambria Math"/>
          </w:rPr>
          <m:t>nir</m:t>
        </m:r>
      </m:oMath>
      <w:r w:rsidRPr="008C356C">
        <w:rPr>
          <w:rFonts w:ascii="Helvetica" w:hAnsi="Helvetica"/>
        </w:rPr>
        <w:t xml:space="preserve"> is the near infrared band (band 4 on Landsat 4, 5, and 7; band 5 on Landsat 8) and </w:t>
      </w:r>
      <m:oMath>
        <m:r>
          <w:rPr>
            <w:rFonts w:ascii="Cambria Math" w:hAnsi="Cambria Math"/>
          </w:rPr>
          <m:t>red</m:t>
        </m:r>
      </m:oMath>
      <w:r w:rsidRPr="008C356C">
        <w:rPr>
          <w:rFonts w:ascii="Helvetica" w:hAnsi="Helvetica"/>
        </w:rPr>
        <w:t xml:space="preserve"> is the red band (band 3 on Landsat 4, 5, and 7; band 4 on Landsat 8), </w:t>
      </w:r>
      <m:oMath>
        <m:r>
          <w:rPr>
            <w:rFonts w:ascii="Cambria Math" w:hAnsi="Cambria Math"/>
          </w:rPr>
          <m:t>swir1</m:t>
        </m:r>
      </m:oMath>
      <w:r w:rsidRPr="008C356C">
        <w:rPr>
          <w:rFonts w:ascii="Helvetica" w:hAnsi="Helvetica"/>
        </w:rPr>
        <w:t xml:space="preserve"> is the first short wave infrared band (band 5 </w:t>
      </w:r>
      <w:bookmarkStart w:id="0" w:name="_GoBack"/>
      <w:bookmarkEnd w:id="0"/>
      <w:r w:rsidRPr="008C356C">
        <w:rPr>
          <w:rFonts w:ascii="Helvetica" w:hAnsi="Helvetica"/>
        </w:rPr>
        <w:t xml:space="preserve">on Landsat 4, 5, and 7; band 4 on Landsat 8), </w:t>
      </w:r>
      <m:oMath>
        <m:r>
          <w:rPr>
            <w:rFonts w:ascii="Cambria Math" w:hAnsi="Cambria Math"/>
          </w:rPr>
          <m:t>swir2</m:t>
        </m:r>
      </m:oMath>
      <w:r w:rsidRPr="008C356C">
        <w:rPr>
          <w:rFonts w:ascii="Helvetica" w:hAnsi="Helvetica"/>
        </w:rPr>
        <w:t xml:space="preserve"> is the second short wave infrared band (</w:t>
      </w:r>
      <w:proofErr w:type="spellStart"/>
      <w:r w:rsidRPr="008C356C">
        <w:rPr>
          <w:rFonts w:ascii="Helvetica" w:hAnsi="Helvetica"/>
        </w:rPr>
        <w:t>band</w:t>
      </w:r>
      <w:proofErr w:type="spellEnd"/>
      <w:r w:rsidRPr="008C356C">
        <w:rPr>
          <w:rFonts w:ascii="Helvetica" w:hAnsi="Helvetica"/>
        </w:rPr>
        <w:t xml:space="preserve"> 7 on Landsat 4, 5, 7, and 8)</w:t>
      </w:r>
      <w:r w:rsidRPr="008C356C">
        <w:rPr>
          <w:rFonts w:ascii="Helvetica" w:hAnsi="Helvetica"/>
        </w:rPr>
        <w:t>.</w:t>
      </w:r>
    </w:p>
    <w:p w14:paraId="24E75B0C" w14:textId="754BF7AA" w:rsidR="008C356C" w:rsidRPr="008C356C" w:rsidRDefault="008C356C" w:rsidP="008C356C">
      <w:pPr>
        <w:pStyle w:val="BodyText"/>
        <w:spacing w:line="480" w:lineRule="auto"/>
        <w:rPr>
          <w:rFonts w:ascii="Helvetica" w:hAnsi="Helvetica"/>
        </w:rPr>
      </w:pPr>
      <w:r w:rsidRPr="008C356C">
        <w:rPr>
          <w:rFonts w:ascii="Helvetica" w:hAnsi="Helvetica"/>
        </w:rPr>
        <w:t>We calculated the delta severity indices (</w:t>
      </w:r>
      <w:proofErr w:type="spellStart"/>
      <w:r w:rsidRPr="008C356C">
        <w:rPr>
          <w:rFonts w:ascii="Helvetica" w:hAnsi="Helvetica"/>
        </w:rPr>
        <w:t>dNBR</w:t>
      </w:r>
      <w:proofErr w:type="spellEnd"/>
      <w:r w:rsidRPr="008C356C">
        <w:rPr>
          <w:rFonts w:ascii="Helvetica" w:hAnsi="Helvetica"/>
        </w:rPr>
        <w:t xml:space="preserve">, dNBR2, </w:t>
      </w:r>
      <w:proofErr w:type="spellStart"/>
      <w:r w:rsidRPr="008C356C">
        <w:rPr>
          <w:rFonts w:ascii="Helvetica" w:hAnsi="Helvetica"/>
        </w:rPr>
        <w:t>dNDVI</w:t>
      </w:r>
      <w:proofErr w:type="spellEnd"/>
      <w:r w:rsidRPr="008C356C">
        <w:rPr>
          <w:rFonts w:ascii="Helvetica" w:hAnsi="Helvetica"/>
        </w:rPr>
        <w:t xml:space="preserve">) by subtracting the respective </w:t>
      </w:r>
      <w:proofErr w:type="spellStart"/>
      <w:r w:rsidRPr="008C356C">
        <w:rPr>
          <w:rFonts w:ascii="Helvetica" w:hAnsi="Helvetica"/>
        </w:rPr>
        <w:t>postfire</w:t>
      </w:r>
      <w:proofErr w:type="spellEnd"/>
      <w:r w:rsidRPr="008C356C">
        <w:rPr>
          <w:rFonts w:ascii="Helvetica" w:hAnsi="Helvetica"/>
        </w:rPr>
        <w:t xml:space="preserve"> indices from the </w:t>
      </w:r>
      <w:proofErr w:type="spellStart"/>
      <w:r w:rsidRPr="008C356C">
        <w:rPr>
          <w:rFonts w:ascii="Helvetica" w:hAnsi="Helvetica"/>
        </w:rPr>
        <w:t>prefire</w:t>
      </w:r>
      <w:proofErr w:type="spellEnd"/>
      <w:r w:rsidRPr="008C356C">
        <w:rPr>
          <w:rFonts w:ascii="Helvetica" w:hAnsi="Helvetica"/>
        </w:rPr>
        <w:t xml:space="preserve"> indices (NBR, NBR2, and NDVI) without multiplying by a rescaling constant (e.g., we did not multiply the result by 1000 as in </w:t>
      </w:r>
      <w:r w:rsidR="00B359A9">
        <w:rPr>
          <w:rFonts w:ascii="Helvetica" w:hAnsi="Helvetica"/>
        </w:rPr>
        <w:fldChar w:fldCharType="begin" w:fldLock="1"/>
      </w:r>
      <w:r w:rsidR="00B359A9">
        <w:rPr>
          <w:rFonts w:ascii="Helvetica" w:hAnsi="Helvetica"/>
        </w:rPr>
        <w:instrText>ADDIN CSL_CITATION {"citationItems":[{"id":"ITEM-1","itemData":{"DOI":"10.1016/j.rse.2006.12.006","ISBN":"0034-4257","ISSN":"00344257","abstract":"Multi-temporal change detection is commonly used in the detection of changes to ecosystems. Differencing single band indices derived from multispectral pre- and post-fire images is one of the most frequently used change detection algorithms. In this paper we examine a commonly used index used in mapping fire effects due to wildland fire. Subtracting a post-fire from a pre-fire image derived index produces a measure of absolute change which then can be used to estimate total carbon release, biomass loss, smoke production, etc. Measuring absolute change however, may be inappropriate when assessing ecological impacts. In a pixel with a sparse tree canopy for example, differencing a vegetation index will measure a small change due stand-replacing fire. Similarly, differencing will produce a large change value in a pixel experiencing stand-replacing fire that had a dense pre-fire tree canopy. If all stand-replacing fire is defined as severe fire, then thresholding an absolute change image derived through image differencing to produce a categorical classification of burn severity can result in misclassification of low vegetated pixels. Misclassification of low vegetated pixels also happens when classifying severity in different vegetation types within the same fire perimeter with one set of thresholds. Comparisons of classifications derived from thresholds of dNBR and relative dNBR data for individual fires may result in similar classification accuracies. However, classifications of relative dNBR data can produce higher accuracies on average for the high burn severity category than dNBR classifications derived from a universal set of thresholds applied across multiple fires. This is important when mapping historic fires where precise field based severity data may not be available to aid in classification. Implementation of a relative index will also allow a more direct comparison of severity between fires across space and time which is important for landscape level analysis. In this paper we present a relative version of dNBR based upon field data from 14 fires in the Sierra Nevada mountain range of California, USA. The methods presented may have application to other types of disturbance events. © 2007 Elsevier Inc. All rights reserved.","author":[{"dropping-particle":"","family":"Miller","given":"Jay D","non-dropping-particle":"","parse-names":false,"suffix":""},{"dropping-particle":"","family":"Thode","given":"Andrea E","non-dropping-particle":"","parse-names":false,"suffix":""}],"container-title":"Remote Sensing of Environment","id":"ITEM-1","issued":{"date-parts":[["2007"]]},"page":"66-80","title":"Quantifying burn severity in a heterogeneous landscape with a relative version of the delta Normalized Burn Ratio (dNBR)","type":"article-journal","volume":"109"},"uris":["http://www.mendeley.com/documents/?uuid=0226bca8-034f-4358-be4b-a858b2b5ca18"]}],"mendeley":{"formattedCitation":"(Miller and Thode 2007)","manualFormatting":"Miller and Thode (2007","plainTextFormattedCitation":"(Miller and Thode 2007)","previouslyFormattedCitation":"(Miller and Thode 2007)"},"properties":{"noteIndex":0},"schema":"https://github.com/citation-style-language/schema/raw/master/csl-citation.json"}</w:instrText>
      </w:r>
      <w:r w:rsidR="00B359A9">
        <w:rPr>
          <w:rFonts w:ascii="Helvetica" w:hAnsi="Helvetica"/>
        </w:rPr>
        <w:fldChar w:fldCharType="separate"/>
      </w:r>
      <w:r w:rsidR="00B359A9" w:rsidRPr="00B359A9">
        <w:rPr>
          <w:rFonts w:ascii="Helvetica" w:hAnsi="Helvetica"/>
          <w:noProof/>
        </w:rPr>
        <w:t xml:space="preserve">Miller and Thode </w:t>
      </w:r>
      <w:r w:rsidR="00B359A9">
        <w:rPr>
          <w:rFonts w:ascii="Helvetica" w:hAnsi="Helvetica"/>
          <w:noProof/>
        </w:rPr>
        <w:t>(</w:t>
      </w:r>
      <w:r w:rsidR="00B359A9" w:rsidRPr="00B359A9">
        <w:rPr>
          <w:rFonts w:ascii="Helvetica" w:hAnsi="Helvetica"/>
          <w:noProof/>
        </w:rPr>
        <w:t>2007</w:t>
      </w:r>
      <w:r w:rsidR="00B359A9">
        <w:rPr>
          <w:rFonts w:ascii="Helvetica" w:hAnsi="Helvetica"/>
        </w:rPr>
        <w:fldChar w:fldCharType="end"/>
      </w:r>
      <w:r w:rsidR="00B359A9">
        <w:rPr>
          <w:rFonts w:ascii="Helvetica" w:hAnsi="Helvetica"/>
        </w:rPr>
        <w:t>)</w:t>
      </w:r>
      <w:r w:rsidRPr="008C356C">
        <w:rPr>
          <w:rFonts w:ascii="Helvetica" w:hAnsi="Helvetica"/>
        </w:rPr>
        <w:t xml:space="preserve">; Eq. 5). Following </w:t>
      </w:r>
      <w:r w:rsidR="00B359A9">
        <w:rPr>
          <w:rFonts w:ascii="Helvetica" w:hAnsi="Helvetica"/>
        </w:rPr>
        <w:fldChar w:fldCharType="begin" w:fldLock="1"/>
      </w:r>
      <w:r w:rsidR="00B359A9">
        <w:rPr>
          <w:rFonts w:ascii="Helvetica" w:hAnsi="Helvetica"/>
        </w:rPr>
        <w:instrText>ADDIN CSL_CITATION {"citationItems":[{"id":"ITEM-1","itemData":{"DOI":"10.1002/ecs2.1695","ISSN":"21508925","abstract":"Fire is an important disturbance in many forest landscapes, but there is heightened concern\\r\\nregarding recent wildfire activity in western North America. Several regional-scale studies focus on high severity fire, but a comprehensive examination at all levels of burn severity (i.e., low, moderate, and high) is needed to inform our understanding of the ecological effects of contemporary fires and how they vary among vegetation zones at sub-regional scales. We integrate Landsat time series data with field measurements of tree mortality to map burn severity in forests of the Pacific Northwest, USA, from 1985 to 2010. We then examine temporal trends in fire extent and spatial patterns of burn severity in relation to drought and annual fire extent. Finally, we compare results among vegetation zones and with expectations based\\r\\non studies of historical landscape dynamics and fire regimes. Small increases in fire extent over time were associated with drought in all vegetation zones, but fire cumulatively affected &lt;3% of wet vegetation zones, and most dry vegetation zones experienced less fire than expectations from fire history studies.\\r\\nAlthough the proportion of fire at any level of severity did not increase over time, temporal trends toward larger patches of high-severity fire were related to drought and annual fire extent, depending on vegetation zone. In vegetation zones with historically high-severity regimes, high-severity fire accounted for a large\\r\\nproportion of recent fire extent (43–48%) and occurred primarily in patches ≥100 ha. In vegetation zones with historically low- and mixed-severity regimes, low (45–54%)- and moderate-severity (24–36%) fires were prevalent, but proportions of high-severity fire (23–26%), almost half of which occurred in patches ≥100 ha, were much greater than expectations from most fire history studies. Our results support concerns about large patches of high severity fire in some dry forests but also suggest that spatial patterns of burn severity across much of the extent burned are generally consistent with current understanding of historical landscape dynamics in the region. This study highlights the importance of considering the ecological effects of fire at all levels of severity in management and policy initiatives intended to promote forest biodiversity and resilience to future fire activity.","author":[{"dropping-particle":"","family":"Reilly","given":"Matthew J.","non-dropping-particle":"","parse-names":false,"suffix":""},{"dropping-particle":"","family":"Dunn","given":"Christopher J.","non-dropping-particle":"","parse-names":false,"suffix":""},{"dropping-particle":"","family":"Meigs","given":"Garrett W.","non-dropping-particle":"","parse-names":false,"suffix":""},{"dropping-particle":"","family":"Spies","given":"Thomas A.","non-dropping-particle":"","parse-names":false,"suffix":""},{"dropping-particle":"","family":"Kennedy","given":"Robert E.","non-dropping-particle":"","parse-names":false,"suffix":""},{"dropping-particle":"","family":"Bailey","given":"John D.","non-dropping-particle":"","parse-names":false,"suffix":""},{"dropping-particle":"","family":"Briggs","given":"Kevin","non-dropping-particle":"","parse-names":false,"suffix":""}],"container-title":"Ecosphere","id":"ITEM-1","issue":"3","issued":{"date-parts":[["2017"]]},"title":"Contemporary patterns of fire extent and severity in forests of the Pacific Northwest, USA (1985-2010)","type":"article-journal","volume":"8"},"uris":["http://www.mendeley.com/documents/?uuid=7242e49e-f3d6-40bf-80b6-1d90f4788b6b"]}],"mendeley":{"formattedCitation":"(Reilly et al. 2017)","manualFormatting":"Reilly et al. (2017)","plainTextFormattedCitation":"(Reilly et al. 2017)","previouslyFormattedCitation":"(Reilly et al. 2017)"},"properties":{"noteIndex":0},"schema":"https://github.com/citation-style-language/schema/raw/master/csl-citation.json"}</w:instrText>
      </w:r>
      <w:r w:rsidR="00B359A9">
        <w:rPr>
          <w:rFonts w:ascii="Helvetica" w:hAnsi="Helvetica"/>
        </w:rPr>
        <w:fldChar w:fldCharType="separate"/>
      </w:r>
      <w:r w:rsidR="00B359A9" w:rsidRPr="00B359A9">
        <w:rPr>
          <w:rFonts w:ascii="Helvetica" w:hAnsi="Helvetica"/>
          <w:noProof/>
        </w:rPr>
        <w:t xml:space="preserve">Reilly et al. </w:t>
      </w:r>
      <w:r w:rsidR="00B359A9">
        <w:rPr>
          <w:rFonts w:ascii="Helvetica" w:hAnsi="Helvetica"/>
          <w:noProof/>
        </w:rPr>
        <w:t>(</w:t>
      </w:r>
      <w:r w:rsidR="00B359A9" w:rsidRPr="00B359A9">
        <w:rPr>
          <w:rFonts w:ascii="Helvetica" w:hAnsi="Helvetica"/>
          <w:noProof/>
        </w:rPr>
        <w:t>2017)</w:t>
      </w:r>
      <w:r w:rsidR="00B359A9">
        <w:rPr>
          <w:rFonts w:ascii="Helvetica" w:hAnsi="Helvetica"/>
        </w:rPr>
        <w:fldChar w:fldCharType="end"/>
      </w:r>
      <w:r w:rsidRPr="008C356C">
        <w:rPr>
          <w:rFonts w:ascii="Helvetica" w:hAnsi="Helvetica"/>
        </w:rPr>
        <w:t xml:space="preserve">, we chose not to correct the delta indices using a </w:t>
      </w:r>
      <w:proofErr w:type="spellStart"/>
      <w:r w:rsidRPr="008C356C">
        <w:rPr>
          <w:rFonts w:ascii="Helvetica" w:hAnsi="Helvetica"/>
        </w:rPr>
        <w:t>phenological</w:t>
      </w:r>
      <w:proofErr w:type="spellEnd"/>
      <w:r w:rsidRPr="008C356C">
        <w:rPr>
          <w:rFonts w:ascii="Helvetica" w:hAnsi="Helvetica"/>
        </w:rPr>
        <w:t xml:space="preserve"> offset value (typically calculated as the delta </w:t>
      </w:r>
      <w:r w:rsidRPr="008C356C">
        <w:rPr>
          <w:rFonts w:ascii="Helvetica" w:hAnsi="Helvetica"/>
        </w:rPr>
        <w:lastRenderedPageBreak/>
        <w:t>index in homogenous forest patch outside of the fire perimeter), as our approach implicitly accounts for phenology by incorporating multiple cloud-free images across the same time window both before the fire and one year later.</w:t>
      </w:r>
    </w:p>
    <w:p w14:paraId="5A9CADDB" w14:textId="77777777" w:rsidR="008C356C" w:rsidRPr="008C356C" w:rsidRDefault="008C356C" w:rsidP="008C356C">
      <w:pPr>
        <w:pStyle w:val="Compact"/>
        <w:numPr>
          <w:ilvl w:val="0"/>
          <w:numId w:val="2"/>
        </w:numPr>
        <w:rPr>
          <w:rFonts w:ascii="Helvetica" w:hAnsi="Helvetica"/>
        </w:rPr>
      </w:pPr>
      <m:oMath>
        <m:r>
          <w:rPr>
            <w:rFonts w:ascii="Cambria Math" w:hAnsi="Cambria Math"/>
          </w:rPr>
          <m:t>dI=</m:t>
        </m:r>
        <m:sSub>
          <m:sSubPr>
            <m:ctrlPr>
              <w:rPr>
                <w:rFonts w:ascii="Cambria Math" w:hAnsi="Cambria Math"/>
              </w:rPr>
            </m:ctrlPr>
          </m:sSubPr>
          <m:e>
            <m:r>
              <w:rPr>
                <w:rFonts w:ascii="Cambria Math" w:hAnsi="Cambria Math"/>
              </w:rPr>
              <m:t>I</m:t>
            </m:r>
          </m:e>
          <m:sub>
            <m:r>
              <m:rPr>
                <m:sty m:val="p"/>
              </m:rPr>
              <w:rPr>
                <w:rFonts w:ascii="Cambria Math" w:hAnsi="Cambria Math"/>
              </w:rPr>
              <m:t>prefire</m:t>
            </m:r>
          </m:sub>
        </m:sSub>
        <m: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postfire</m:t>
            </m:r>
          </m:sub>
        </m:sSub>
      </m:oMath>
    </w:p>
    <w:p w14:paraId="47C683DF" w14:textId="77777777" w:rsidR="008C356C" w:rsidRPr="008C356C" w:rsidRDefault="008C356C" w:rsidP="008C356C">
      <w:pPr>
        <w:pStyle w:val="FirstParagraph"/>
        <w:rPr>
          <w:rFonts w:ascii="Helvetica" w:hAnsi="Helvetica"/>
        </w:rPr>
      </w:pPr>
      <w:r w:rsidRPr="008C356C">
        <w:rPr>
          <w:rFonts w:ascii="Helvetica" w:hAnsi="Helvetica"/>
        </w:rPr>
        <w:t xml:space="preserve">We calculated the relative delta severity indices, </w:t>
      </w:r>
      <w:proofErr w:type="spellStart"/>
      <w:r w:rsidRPr="008C356C">
        <w:rPr>
          <w:rFonts w:ascii="Helvetica" w:hAnsi="Helvetica"/>
        </w:rPr>
        <w:t>RdNBR</w:t>
      </w:r>
      <w:proofErr w:type="spellEnd"/>
      <w:r w:rsidRPr="008C356C">
        <w:rPr>
          <w:rFonts w:ascii="Helvetica" w:hAnsi="Helvetica"/>
        </w:rPr>
        <w:t xml:space="preserve"> and </w:t>
      </w:r>
      <w:proofErr w:type="spellStart"/>
      <w:r w:rsidRPr="008C356C">
        <w:rPr>
          <w:rFonts w:ascii="Helvetica" w:hAnsi="Helvetica"/>
        </w:rPr>
        <w:t>RdNDVI</w:t>
      </w:r>
      <w:proofErr w:type="spellEnd"/>
      <w:r w:rsidRPr="008C356C">
        <w:rPr>
          <w:rFonts w:ascii="Helvetica" w:hAnsi="Helvetica"/>
        </w:rPr>
        <w:t>, by scaling the respective delta indices (</w:t>
      </w:r>
      <w:proofErr w:type="spellStart"/>
      <w:r w:rsidRPr="008C356C">
        <w:rPr>
          <w:rFonts w:ascii="Helvetica" w:hAnsi="Helvetica"/>
        </w:rPr>
        <w:t>dNBR</w:t>
      </w:r>
      <w:proofErr w:type="spellEnd"/>
      <w:r w:rsidRPr="008C356C">
        <w:rPr>
          <w:rFonts w:ascii="Helvetica" w:hAnsi="Helvetica"/>
        </w:rPr>
        <w:t xml:space="preserve"> and </w:t>
      </w:r>
      <w:proofErr w:type="spellStart"/>
      <w:r w:rsidRPr="008C356C">
        <w:rPr>
          <w:rFonts w:ascii="Helvetica" w:hAnsi="Helvetica"/>
        </w:rPr>
        <w:t>dNDVI</w:t>
      </w:r>
      <w:proofErr w:type="spellEnd"/>
      <w:r w:rsidRPr="008C356C">
        <w:rPr>
          <w:rFonts w:ascii="Helvetica" w:hAnsi="Helvetica"/>
        </w:rPr>
        <w:t xml:space="preserve">) from Eq. 6 by a square root transformation of the absolute value of the </w:t>
      </w:r>
      <w:proofErr w:type="spellStart"/>
      <w:r w:rsidRPr="008C356C">
        <w:rPr>
          <w:rFonts w:ascii="Helvetica" w:hAnsi="Helvetica"/>
        </w:rPr>
        <w:t>prefire</w:t>
      </w:r>
      <w:proofErr w:type="spellEnd"/>
      <w:r w:rsidRPr="008C356C">
        <w:rPr>
          <w:rFonts w:ascii="Helvetica" w:hAnsi="Helvetica"/>
        </w:rPr>
        <w:t xml:space="preserve"> index:</w:t>
      </w:r>
    </w:p>
    <w:p w14:paraId="25BDEFA2" w14:textId="77777777" w:rsidR="008C356C" w:rsidRPr="008C356C" w:rsidRDefault="008C356C" w:rsidP="008C356C">
      <w:pPr>
        <w:pStyle w:val="Compact"/>
        <w:numPr>
          <w:ilvl w:val="0"/>
          <w:numId w:val="3"/>
        </w:numPr>
        <w:rPr>
          <w:rFonts w:ascii="Helvetica" w:hAnsi="Helvetica"/>
        </w:rPr>
      </w:pPr>
      <m:oMath>
        <m:r>
          <w:rPr>
            <w:rFonts w:ascii="Cambria Math" w:hAnsi="Cambria Math"/>
          </w:rPr>
          <m:t>RdI=</m:t>
        </m:r>
        <m:f>
          <m:fPr>
            <m:ctrlPr>
              <w:rPr>
                <w:rFonts w:ascii="Cambria Math" w:hAnsi="Cambria Math"/>
              </w:rPr>
            </m:ctrlPr>
          </m:fPr>
          <m:num>
            <m:r>
              <w:rPr>
                <w:rFonts w:ascii="Cambria Math" w:hAnsi="Cambria Math"/>
              </w:rPr>
              <m:t>dI</m:t>
            </m:r>
          </m:num>
          <m:den>
            <m:rad>
              <m:radPr>
                <m:degHide m:val="1"/>
                <m:ctrlPr>
                  <w:rPr>
                    <w:rFonts w:ascii="Cambria Math" w:hAnsi="Cambria Math"/>
                  </w:rPr>
                </m:ctrlPr>
              </m:radPr>
              <m:deg/>
              <m:e>
                <m: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prefire</m:t>
                    </m:r>
                  </m:sub>
                </m:sSub>
                <m:r>
                  <w:rPr>
                    <w:rFonts w:ascii="Cambria Math" w:hAnsi="Cambria Math"/>
                  </w:rPr>
                  <m:t>|</m:t>
                </m:r>
              </m:e>
            </m:rad>
          </m:den>
        </m:f>
      </m:oMath>
    </w:p>
    <w:p w14:paraId="029EE9BB" w14:textId="7493859B" w:rsidR="008C356C" w:rsidRPr="008C356C" w:rsidRDefault="008C356C" w:rsidP="008C356C">
      <w:pPr>
        <w:pStyle w:val="FirstParagraph"/>
        <w:rPr>
          <w:rFonts w:ascii="Helvetica" w:hAnsi="Helvetica"/>
        </w:rPr>
      </w:pPr>
      <w:r w:rsidRPr="008C356C">
        <w:rPr>
          <w:rFonts w:ascii="Helvetica" w:hAnsi="Helvetica"/>
        </w:rPr>
        <w:t xml:space="preserve">We calculated the relative burn ratio (RBR) following </w:t>
      </w:r>
      <w:r w:rsidR="00B359A9">
        <w:rPr>
          <w:rFonts w:ascii="Helvetica" w:hAnsi="Helvetica"/>
        </w:rPr>
        <w:fldChar w:fldCharType="begin" w:fldLock="1"/>
      </w:r>
      <w:r w:rsidR="00B359A9">
        <w:rPr>
          <w:rFonts w:ascii="Helvetica" w:hAnsi="Helvetica"/>
        </w:rPr>
        <w:instrText>ADDIN CSL_CITATION {"citationItems":[{"id":"ITEM-1","itemData":{"DOI":"10.3390/rs6031827","ISBN":"2072-4292","ISSN":"20724292","abstract":"Satellite-inferred burn severity data have become increasingly popular over the last decade for management and research purposes. These data typically quantify spectral change between pre-and post-fire satellite images (usually Landsat). There is an active debate regarding which of the two main equations, the delta normalized burn ratio (dNBR) and its relativized form (RdNBR), is most suitable for quantifying burn severity; each has its critics. In this study, we propose and evaluate a new Landsat-based burn severity metric, the relativized burn ratio (RBR), that provides an alternative to dNBR and RdNBR. For 18 fires in the western US, we compared the performance of RBR to both dNBR and RdNBR by evaluating the agreement of these metrics with field-based burn severity measurements. Specifically, we evaluated (1) the correspondence between each metric and a continuous measure of burn severity (the composite burn index) and (2) the overall accuracy of each metric when classifying into discrete burn severity classes (i.e., unchanged, low, moderate, and high). Results indicate that RBR corresponds better to field-based measurements (average R2 among 18 fires = 0.786) than both dNBR (R2 = 0.761) and RdNBR (R2 = 0.766). Furthermore, the overall classification accuracy achieved with RBR (average among 18 fires = 70.5%) was higher than both dNBR (68.4%) and RdNBR (69.2%). Consequently, we recommend RBR as a robust alternative to both dNBR and RdNBR for measuring and classifying burn severity.","author":[{"dropping-particle":"","family":"Parks","given":"Sean A.","non-dropping-particle":"","parse-names":false,"suffix":""},{"dropping-particle":"","family":"Dillon","given":"Gregory K.","non-dropping-particle":"","parse-names":false,"suffix":""},{"dropping-particle":"","family":"Miller","given":"Carol","non-dropping-particle":"","parse-names":false,"suffix":""}],"container-title":"Remote Sensing","id":"ITEM-1","issue":"3","issued":{"date-parts":[["2014"]]},"page":"1827-1844","title":"A new metric for quantifying burn severity: The relativized burn ratio","type":"article-journal","volume":"6"},"uris":["http://www.mendeley.com/documents/?uuid=2d5ee7b1-4d86-4c06-8337-5adc12deb922"]}],"mendeley":{"formattedCitation":"(Parks et al. 2014)","manualFormatting":"Parks et al. (2014)","plainTextFormattedCitation":"(Parks et al. 2014)","previouslyFormattedCitation":"(Parks et al. 2014)"},"properties":{"noteIndex":0},"schema":"https://github.com/citation-style-language/schema/raw/master/csl-citation.json"}</w:instrText>
      </w:r>
      <w:r w:rsidR="00B359A9">
        <w:rPr>
          <w:rFonts w:ascii="Helvetica" w:hAnsi="Helvetica"/>
        </w:rPr>
        <w:fldChar w:fldCharType="separate"/>
      </w:r>
      <w:r w:rsidR="00B359A9" w:rsidRPr="00B359A9">
        <w:rPr>
          <w:rFonts w:ascii="Helvetica" w:hAnsi="Helvetica"/>
          <w:noProof/>
        </w:rPr>
        <w:t xml:space="preserve">Parks et al. </w:t>
      </w:r>
      <w:r w:rsidR="00B359A9">
        <w:rPr>
          <w:rFonts w:ascii="Helvetica" w:hAnsi="Helvetica"/>
          <w:noProof/>
        </w:rPr>
        <w:t>(</w:t>
      </w:r>
      <w:r w:rsidR="00B359A9" w:rsidRPr="00B359A9">
        <w:rPr>
          <w:rFonts w:ascii="Helvetica" w:hAnsi="Helvetica"/>
          <w:noProof/>
        </w:rPr>
        <w:t>2014)</w:t>
      </w:r>
      <w:r w:rsidR="00B359A9">
        <w:rPr>
          <w:rFonts w:ascii="Helvetica" w:hAnsi="Helvetica"/>
        </w:rPr>
        <w:fldChar w:fldCharType="end"/>
      </w:r>
      <w:r w:rsidRPr="008C356C">
        <w:rPr>
          <w:rFonts w:ascii="Helvetica" w:hAnsi="Helvetica"/>
        </w:rPr>
        <w:t xml:space="preserve"> using Eq. 7:</w:t>
      </w:r>
    </w:p>
    <w:p w14:paraId="2579502D" w14:textId="77777777" w:rsidR="008C356C" w:rsidRPr="008C356C" w:rsidRDefault="008C356C" w:rsidP="008C356C">
      <w:pPr>
        <w:pStyle w:val="Compact"/>
        <w:numPr>
          <w:ilvl w:val="0"/>
          <w:numId w:val="4"/>
        </w:numPr>
        <w:rPr>
          <w:rFonts w:ascii="Helvetica" w:hAnsi="Helvetica"/>
        </w:rPr>
      </w:pPr>
      <m:oMath>
        <m:r>
          <w:rPr>
            <w:rFonts w:ascii="Cambria Math" w:hAnsi="Cambria Math"/>
          </w:rPr>
          <m:t>RBR=</m:t>
        </m:r>
        <m:f>
          <m:fPr>
            <m:ctrlPr>
              <w:rPr>
                <w:rFonts w:ascii="Cambria Math" w:hAnsi="Cambria Math"/>
              </w:rPr>
            </m:ctrlPr>
          </m:fPr>
          <m:num>
            <m:r>
              <w:rPr>
                <w:rFonts w:ascii="Cambria Math" w:hAnsi="Cambria Math"/>
              </w:rPr>
              <m:t>dNBR</m:t>
            </m:r>
          </m:num>
          <m:den>
            <m:r>
              <w:rPr>
                <w:rFonts w:ascii="Cambria Math" w:hAnsi="Cambria Math"/>
              </w:rPr>
              <m:t>NB</m:t>
            </m:r>
            <m:sSub>
              <m:sSubPr>
                <m:ctrlPr>
                  <w:rPr>
                    <w:rFonts w:ascii="Cambria Math" w:hAnsi="Cambria Math"/>
                  </w:rPr>
                </m:ctrlPr>
              </m:sSubPr>
              <m:e>
                <m:r>
                  <w:rPr>
                    <w:rFonts w:ascii="Cambria Math" w:hAnsi="Cambria Math"/>
                  </w:rPr>
                  <m:t>R</m:t>
                </m:r>
              </m:e>
              <m:sub>
                <m:r>
                  <m:rPr>
                    <m:sty m:val="p"/>
                  </m:rPr>
                  <w:rPr>
                    <w:rFonts w:ascii="Cambria Math" w:hAnsi="Cambria Math"/>
                  </w:rPr>
                  <m:t>prefire</m:t>
                </m:r>
              </m:sub>
            </m:sSub>
            <m:r>
              <w:rPr>
                <w:rFonts w:ascii="Cambria Math" w:hAnsi="Cambria Math"/>
              </w:rPr>
              <m:t>+1.001</m:t>
            </m:r>
          </m:den>
        </m:f>
      </m:oMath>
    </w:p>
    <w:p w14:paraId="4896821F" w14:textId="77777777" w:rsidR="008C356C" w:rsidRPr="008C356C" w:rsidRDefault="008C356C" w:rsidP="008C356C">
      <w:pPr>
        <w:pStyle w:val="BodyText"/>
        <w:rPr>
          <w:rFonts w:ascii="Helvetica" w:hAnsi="Helvetica"/>
        </w:rPr>
      </w:pPr>
    </w:p>
    <w:p w14:paraId="6FDD2F05" w14:textId="228EEEAF" w:rsidR="008C356C" w:rsidRPr="008C356C" w:rsidRDefault="008C356C" w:rsidP="008C356C">
      <w:pPr>
        <w:pStyle w:val="BodyText"/>
        <w:spacing w:line="480" w:lineRule="auto"/>
        <w:rPr>
          <w:rFonts w:ascii="Helvetica" w:hAnsi="Helvetica"/>
        </w:rPr>
      </w:pPr>
      <w:r w:rsidRPr="008C356C">
        <w:rPr>
          <w:rFonts w:ascii="Helvetica" w:hAnsi="Helvetica"/>
        </w:rPr>
        <w:t xml:space="preserve">We used the digital elevation model to calculate the potential annual heat load (Eq. 9 at each pixel, which is an integrated measure of latitude, slope, and a folding transformation of aspect about the northeast-southwest line, such that northeast becomes 0 radians and southwest becomes </w:t>
      </w:r>
      <m:oMath>
        <m:r>
          <w:rPr>
            <w:rFonts w:ascii="Cambria Math" w:hAnsi="Cambria Math"/>
          </w:rPr>
          <m:t>π</m:t>
        </m:r>
      </m:oMath>
      <w:r w:rsidRPr="008C356C">
        <w:rPr>
          <w:rFonts w:ascii="Helvetica" w:hAnsi="Helvetica"/>
        </w:rPr>
        <w:t xml:space="preserve"> radians </w:t>
      </w:r>
      <w:r w:rsidR="00B359A9">
        <w:rPr>
          <w:rFonts w:ascii="Helvetica" w:hAnsi="Helvetica"/>
        </w:rPr>
        <w:fldChar w:fldCharType="begin" w:fldLock="1"/>
      </w:r>
      <w:r w:rsidR="00B359A9">
        <w:rPr>
          <w:rFonts w:ascii="Helvetica" w:hAnsi="Helvetica"/>
        </w:rPr>
        <w:instrText>ADDIN CSL_CITATION {"citationItems":[{"id":"ITEM-1","itemData":{"DOI":"10.1111/j.1654-1103.2002.tb02087.x","ISBN":"1100-9233","ISSN":"11009233","abstract":"Estimation of potential annual direct incident radiation has traditionally required numerical integration with simulation models. As an alternative, we present convenient equations for use in spreadsheet, GIS, and database applications. Input variables are latitude, slope, and aspect. The equations apply to 0–60° north latitude, slopes from 0–90°, and all aspects. By transforming aspect, the equations can also be applied as an index of heat load, symmetrical about a northeast to southwest axis.","author":[{"dropping-particle":"","family":"McCune","given":"B.","non-dropping-particle":"","parse-names":false,"suffix":""},{"dropping-particle":"","family":"Keon","given":"D.","non-dropping-particle":"","parse-names":false,"suffix":""}],"container-title":"Journal of Vegetation Science","id":"ITEM-1","issue":"1966","issued":{"date-parts":[["2002"]]},"page":"603-606","title":"Equations for potential annual direct incident radiation and heat load","type":"article-journal","volume":"13"},"uris":["http://www.mendeley.com/documents/?uuid=d12849e4-cc60-46d1-a1e1-4dedf462128d"]},{"id":"ITEM-2","itemData":{"DOI":"10.1658/1100-9233(2007)18%5B751:IEOIRA%5D2.0.CO;2","ISSN":"1100-9233","abstract":"Question: Can non-parametric multiplicative regression (NPMR) improve estimates of potential direct incident radiation (PDIR) and heat load based on topographic variables, as compared to least-squares multiple regression against trigonometric transforms of the predictors? Methods: We used a multiplicative kernel smoothing technique to interpolate between tabulated values of PDIR, using a locally linear model and a Gaussian kernel, with slope, aspect, and latitude as predictors. Heat load was calculated as a 45 degree rotation of the PDIR response surface. Results: This method yielded a fit to a complex response surface with R2 &gt; 0.99 and eliminated the areas of poor fit given by a previously published method based on least squares multiple regression with trigonometric functions of the predictors. Conclusions: Improved estimates of PDIR and heat load based on topographic variables can be obtained by using non-parametric multiplicative regression (NPMR). The main drawback to the method is that it requires reference to the data tables, since those data are part of the model.","author":[{"dropping-particle":"","family":"McCune","given":"B","non-dropping-particle":"","parse-names":false,"suffix":""}],"container-title":"Journal of Vegetation Science","id":"ITEM-2","issue":"2002","issued":{"date-parts":[["2007"]]},"page":"751-754","title":"Improved estimates of incident radiation and heat load using non-parametric regression against topographic variables.","type":"article-journal","volume":"18"},"uris":["http://www.mendeley.com/documents/?uuid=ae8d8ed0-53bf-4143-bab6-e76cc05af19b"]}],"mendeley":{"formattedCitation":"(McCune and Keon 2002, McCune 2007)","plainTextFormattedCitation":"(McCune and Keon 2002, McCune 2007)"},"properties":{"noteIndex":0},"schema":"https://github.com/citation-style-language/schema/raw/master/csl-citation.json"}</w:instrText>
      </w:r>
      <w:r w:rsidR="00B359A9">
        <w:rPr>
          <w:rFonts w:ascii="Helvetica" w:hAnsi="Helvetica"/>
        </w:rPr>
        <w:fldChar w:fldCharType="separate"/>
      </w:r>
      <w:r w:rsidR="00B359A9" w:rsidRPr="00B359A9">
        <w:rPr>
          <w:rFonts w:ascii="Helvetica" w:hAnsi="Helvetica"/>
          <w:noProof/>
        </w:rPr>
        <w:t>(McCune and Keon 2002</w:t>
      </w:r>
      <w:r w:rsidR="00B359A9">
        <w:rPr>
          <w:rFonts w:ascii="Helvetica" w:hAnsi="Helvetica"/>
          <w:noProof/>
        </w:rPr>
        <w:t xml:space="preserve"> with correction in</w:t>
      </w:r>
      <w:r w:rsidR="00B359A9" w:rsidRPr="00B359A9">
        <w:rPr>
          <w:rFonts w:ascii="Helvetica" w:hAnsi="Helvetica"/>
          <w:noProof/>
        </w:rPr>
        <w:t xml:space="preserve"> McCune 2007)</w:t>
      </w:r>
      <w:r w:rsidR="00B359A9">
        <w:rPr>
          <w:rFonts w:ascii="Helvetica" w:hAnsi="Helvetica"/>
        </w:rPr>
        <w:fldChar w:fldCharType="end"/>
      </w:r>
      <w:r w:rsidRPr="008C356C">
        <w:rPr>
          <w:rFonts w:ascii="Helvetica" w:hAnsi="Helvetica"/>
        </w:rPr>
        <w:t>:</w:t>
      </w:r>
    </w:p>
    <w:p w14:paraId="1361B473" w14:textId="77777777" w:rsidR="008C356C" w:rsidRPr="008C356C" w:rsidRDefault="008C356C" w:rsidP="008C356C">
      <w:pPr>
        <w:pStyle w:val="Compact"/>
        <w:numPr>
          <w:ilvl w:val="0"/>
          <w:numId w:val="5"/>
        </w:numPr>
        <w:rPr>
          <w:rFonts w:ascii="Helvetica" w:hAnsi="Helvetica"/>
        </w:rPr>
      </w:p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aspec</m:t>
              </m:r>
              <m:sSub>
                <m:sSubPr>
                  <m:ctrlPr>
                    <w:rPr>
                      <w:rFonts w:ascii="Cambria Math" w:hAnsi="Cambria Math"/>
                    </w:rPr>
                  </m:ctrlPr>
                </m:sSubPr>
                <m:e>
                  <m:r>
                    <w:rPr>
                      <w:rFonts w:ascii="Cambria Math" w:hAnsi="Cambria Math"/>
                    </w:rPr>
                    <m:t>t</m:t>
                  </m:r>
                </m:e>
                <m:sub>
                  <m:r>
                    <w:rPr>
                      <w:rFonts w:ascii="Cambria Math" w:hAnsi="Cambria Math"/>
                    </w:rPr>
                    <m:t>folded</m:t>
                  </m:r>
                </m:sub>
              </m:sSub>
            </m:e>
            <m:e>
              <m:r>
                <w:rPr>
                  <w:rFonts w:ascii="Cambria Math" w:hAnsi="Cambria Math"/>
                </w:rPr>
                <m:t>=|π-|aspect-</m:t>
              </m:r>
              <m:f>
                <m:fPr>
                  <m:ctrlPr>
                    <w:rPr>
                      <w:rFonts w:ascii="Cambria Math" w:hAnsi="Cambria Math"/>
                    </w:rPr>
                  </m:ctrlPr>
                </m:fPr>
                <m:num>
                  <m:r>
                    <w:rPr>
                      <w:rFonts w:ascii="Cambria Math" w:hAnsi="Cambria Math"/>
                    </w:rPr>
                    <m:t>5π</m:t>
                  </m:r>
                </m:num>
                <m:den>
                  <m:r>
                    <w:rPr>
                      <w:rFonts w:ascii="Cambria Math" w:hAnsi="Cambria Math"/>
                    </w:rPr>
                    <m:t>4</m:t>
                  </m:r>
                </m:den>
              </m:f>
              <m:r>
                <w:rPr>
                  <w:rFonts w:ascii="Cambria Math" w:hAnsi="Cambria Math"/>
                </w:rPr>
                <m:t>||</m:t>
              </m:r>
            </m:e>
          </m:mr>
          <m:mr>
            <m:e>
              <m:r>
                <w:rPr>
                  <w:rFonts w:ascii="Cambria Math" w:hAnsi="Cambria Math"/>
                </w:rPr>
                <m:t>log(pahl)</m:t>
              </m:r>
            </m:e>
            <m:e>
              <m:r>
                <w:rPr>
                  <w:rFonts w:ascii="Cambria Math" w:hAnsi="Cambria Math"/>
                </w:rPr>
                <m:t>=</m:t>
              </m:r>
              <m:m>
                <m:mPr>
                  <m:plcHide m:val="1"/>
                  <m:mcs>
                    <m:mc>
                      <m:mcPr>
                        <m:count m:val="1"/>
                        <m:mcJc m:val="right"/>
                      </m:mcPr>
                    </m:mc>
                    <m:mc>
                      <m:mcPr>
                        <m:count m:val="1"/>
                        <m:mcJc m:val="left"/>
                      </m:mcPr>
                    </m:mc>
                  </m:mcs>
                  <m:ctrlPr>
                    <w:rPr>
                      <w:rFonts w:ascii="Cambria Math" w:hAnsi="Cambria Math"/>
                    </w:rPr>
                  </m:ctrlPr>
                </m:mPr>
                <m:mr>
                  <m:e/>
                  <m:e>
                    <m:r>
                      <w:rPr>
                        <w:rFonts w:ascii="Cambria Math" w:hAnsi="Cambria Math"/>
                      </w:rPr>
                      <m:t>-1.467+</m:t>
                    </m:r>
                  </m:e>
                </m:mr>
                <m:mr>
                  <m:e/>
                  <m:e>
                    <m:r>
                      <w:rPr>
                        <w:rFonts w:ascii="Cambria Math" w:hAnsi="Cambria Math"/>
                      </w:rPr>
                      <m:t>1.582*cos(latitude)cos(slope)-</m:t>
                    </m:r>
                  </m:e>
                </m:mr>
                <m:mr>
                  <m:e/>
                  <m:e>
                    <m:r>
                      <w:rPr>
                        <w:rFonts w:ascii="Cambria Math" w:hAnsi="Cambria Math"/>
                      </w:rPr>
                      <m:t>1.5*cos(aspec</m:t>
                    </m:r>
                    <m:sSub>
                      <m:sSubPr>
                        <m:ctrlPr>
                          <w:rPr>
                            <w:rFonts w:ascii="Cambria Math" w:hAnsi="Cambria Math"/>
                          </w:rPr>
                        </m:ctrlPr>
                      </m:sSubPr>
                      <m:e>
                        <m:r>
                          <w:rPr>
                            <w:rFonts w:ascii="Cambria Math" w:hAnsi="Cambria Math"/>
                          </w:rPr>
                          <m:t>t</m:t>
                        </m:r>
                      </m:e>
                      <m:sub>
                        <m:r>
                          <w:rPr>
                            <w:rFonts w:ascii="Cambria Math" w:hAnsi="Cambria Math"/>
                          </w:rPr>
                          <m:t>fold</m:t>
                        </m:r>
                        <m:r>
                          <w:rPr>
                            <w:rFonts w:ascii="Helvetica" w:hAnsi="Helvetica"/>
                          </w:rPr>
                          <m:t>e</m:t>
                        </m:r>
                        <m:r>
                          <w:rPr>
                            <w:rFonts w:ascii="Cambria Math" w:hAnsi="Cambria Math"/>
                          </w:rPr>
                          <m:t>d</m:t>
                        </m:r>
                      </m:sub>
                    </m:sSub>
                    <m:r>
                      <w:rPr>
                        <w:rFonts w:ascii="Cambria Math" w:hAnsi="Cambria Math"/>
                      </w:rPr>
                      <m:t>)sin(slope)sin(latitude)-</m:t>
                    </m:r>
                  </m:e>
                </m:mr>
                <m:mr>
                  <m:e/>
                  <m:e>
                    <m:r>
                      <w:rPr>
                        <w:rFonts w:ascii="Cambria Math" w:hAnsi="Cambria Math"/>
                      </w:rPr>
                      <m:t>0.262*sin(lat)sin(slope)+</m:t>
                    </m:r>
                  </m:e>
                </m:mr>
                <m:mr>
                  <m:e/>
                  <m:e>
                    <m:r>
                      <w:rPr>
                        <w:rFonts w:ascii="Cambria Math" w:hAnsi="Cambria Math"/>
                      </w:rPr>
                      <m:t>0.607*sin(aspec</m:t>
                    </m:r>
                    <m:sSub>
                      <m:sSubPr>
                        <m:ctrlPr>
                          <w:rPr>
                            <w:rFonts w:ascii="Cambria Math" w:hAnsi="Cambria Math"/>
                          </w:rPr>
                        </m:ctrlPr>
                      </m:sSubPr>
                      <m:e>
                        <m:r>
                          <w:rPr>
                            <w:rFonts w:ascii="Cambria Math" w:hAnsi="Cambria Math"/>
                          </w:rPr>
                          <m:t>t</m:t>
                        </m:r>
                      </m:e>
                      <m:sub>
                        <m:r>
                          <w:rPr>
                            <w:rFonts w:ascii="Cambria Math" w:hAnsi="Cambria Math"/>
                          </w:rPr>
                          <m:t>folded</m:t>
                        </m:r>
                      </m:sub>
                    </m:sSub>
                    <m:r>
                      <w:rPr>
                        <w:rFonts w:ascii="Cambria Math" w:hAnsi="Cambria Math"/>
                      </w:rPr>
                      <m:t>)sin(slope)</m:t>
                    </m:r>
                  </m:e>
                </m:mr>
              </m:m>
            </m:e>
          </m:mr>
        </m:m>
      </m:oMath>
    </w:p>
    <w:p w14:paraId="26546D54" w14:textId="77777777" w:rsidR="008C356C" w:rsidRPr="008C356C" w:rsidRDefault="008C356C" w:rsidP="008C356C">
      <w:pPr>
        <w:pStyle w:val="FirstParagraph"/>
        <w:rPr>
          <w:rFonts w:ascii="Helvetica" w:hAnsi="Helvetica"/>
        </w:rPr>
      </w:pPr>
      <w:r w:rsidRPr="008C356C">
        <w:rPr>
          <w:rFonts w:ascii="Helvetica" w:hAnsi="Helvetica"/>
        </w:rPr>
        <w:t xml:space="preserve">Where </w:t>
      </w:r>
      <m:oMath>
        <m:r>
          <w:rPr>
            <w:rFonts w:ascii="Cambria Math" w:hAnsi="Cambria Math"/>
          </w:rPr>
          <m:t>pahl</m:t>
        </m:r>
      </m:oMath>
      <w:r w:rsidRPr="008C356C">
        <w:rPr>
          <w:rFonts w:ascii="Helvetica" w:hAnsi="Helvetica"/>
        </w:rPr>
        <w:t xml:space="preserve"> is the potential annual heat load, </w:t>
      </w:r>
      <m:oMath>
        <m:r>
          <w:rPr>
            <w:rFonts w:ascii="Cambria Math" w:hAnsi="Cambria Math"/>
          </w:rPr>
          <m:t>aspec</m:t>
        </m:r>
        <m:sSub>
          <m:sSubPr>
            <m:ctrlPr>
              <w:rPr>
                <w:rFonts w:ascii="Cambria Math" w:hAnsi="Cambria Math"/>
              </w:rPr>
            </m:ctrlPr>
          </m:sSubPr>
          <m:e>
            <m:r>
              <w:rPr>
                <w:rFonts w:ascii="Cambria Math" w:hAnsi="Cambria Math"/>
              </w:rPr>
              <m:t>t</m:t>
            </m:r>
          </m:e>
          <m:sub>
            <m:r>
              <w:rPr>
                <w:rFonts w:ascii="Cambria Math" w:hAnsi="Cambria Math"/>
              </w:rPr>
              <m:t>folded</m:t>
            </m:r>
          </m:sub>
        </m:sSub>
      </m:oMath>
      <w:r w:rsidRPr="008C356C">
        <w:rPr>
          <w:rFonts w:ascii="Helvetica" w:hAnsi="Helvetica"/>
        </w:rPr>
        <w:t xml:space="preserve"> is a transformation of aspect in radians, and both </w:t>
      </w:r>
      <m:oMath>
        <m:r>
          <w:rPr>
            <w:rFonts w:ascii="Cambria Math" w:hAnsi="Cambria Math"/>
          </w:rPr>
          <m:t>latitude</m:t>
        </m:r>
      </m:oMath>
      <w:r w:rsidRPr="008C356C">
        <w:rPr>
          <w:rFonts w:ascii="Helvetica" w:hAnsi="Helvetica"/>
        </w:rPr>
        <w:t xml:space="preserve"> and </w:t>
      </w:r>
      <m:oMath>
        <m:r>
          <w:rPr>
            <w:rFonts w:ascii="Cambria Math" w:hAnsi="Cambria Math"/>
          </w:rPr>
          <m:t>slope</m:t>
        </m:r>
      </m:oMath>
      <w:r w:rsidRPr="008C356C">
        <w:rPr>
          <w:rFonts w:ascii="Helvetica" w:hAnsi="Helvetica"/>
        </w:rPr>
        <w:t xml:space="preserve"> are extracted from a digital elevation model with units of radians.</w:t>
      </w:r>
    </w:p>
    <w:p w14:paraId="6F7B5FB6" w14:textId="77777777" w:rsidR="008C356C" w:rsidRPr="008C356C" w:rsidRDefault="008C356C" w:rsidP="008C356C">
      <w:pPr>
        <w:pStyle w:val="BodyText"/>
        <w:rPr>
          <w:rFonts w:ascii="Helvetica" w:hAnsi="Helvetica"/>
        </w:rPr>
      </w:pPr>
    </w:p>
    <w:p w14:paraId="78E9F95C" w14:textId="77777777" w:rsidR="008F444E" w:rsidRPr="008C356C" w:rsidRDefault="00B359A9">
      <w:pPr>
        <w:rPr>
          <w:rFonts w:ascii="Helvetica" w:hAnsi="Helvetica"/>
        </w:rPr>
      </w:pPr>
    </w:p>
    <w:sectPr w:rsidR="008F444E" w:rsidRPr="008C356C" w:rsidSect="009E2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38EB50C"/>
    <w:multiLevelType w:val="multilevel"/>
    <w:tmpl w:val="B4245D00"/>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1">
    <w:nsid w:val="A9DDB003"/>
    <w:multiLevelType w:val="multilevel"/>
    <w:tmpl w:val="DF6CCA5C"/>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2">
    <w:nsid w:val="26DFD27B"/>
    <w:multiLevelType w:val="multilevel"/>
    <w:tmpl w:val="CB60B1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nsid w:val="27DBEE4A"/>
    <w:multiLevelType w:val="multilevel"/>
    <w:tmpl w:val="591ACF52"/>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4">
    <w:nsid w:val="5BD2BDB4"/>
    <w:multiLevelType w:val="multilevel"/>
    <w:tmpl w:val="FE8C09F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3">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4">
    <w:abstractNumId w:val="3"/>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5">
    <w:abstractNumId w:val="1"/>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3E0"/>
    <w:rsid w:val="00151B7E"/>
    <w:rsid w:val="008C356C"/>
    <w:rsid w:val="009E2254"/>
    <w:rsid w:val="00B253E0"/>
    <w:rsid w:val="00B35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B0D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C356C"/>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8C356C"/>
    <w:pPr>
      <w:spacing w:before="180" w:after="180" w:line="480" w:lineRule="auto"/>
    </w:pPr>
  </w:style>
  <w:style w:type="paragraph" w:styleId="BodyText">
    <w:name w:val="Body Text"/>
    <w:basedOn w:val="Normal"/>
    <w:link w:val="BodyTextChar"/>
    <w:uiPriority w:val="99"/>
    <w:semiHidden/>
    <w:unhideWhenUsed/>
    <w:rsid w:val="008C356C"/>
    <w:pPr>
      <w:spacing w:after="120"/>
    </w:pPr>
  </w:style>
  <w:style w:type="character" w:customStyle="1" w:styleId="BodyTextChar">
    <w:name w:val="Body Text Char"/>
    <w:basedOn w:val="DefaultParagraphFont"/>
    <w:link w:val="BodyText"/>
    <w:uiPriority w:val="99"/>
    <w:semiHidden/>
    <w:rsid w:val="008C356C"/>
  </w:style>
  <w:style w:type="paragraph" w:customStyle="1" w:styleId="Compact">
    <w:name w:val="Compact"/>
    <w:basedOn w:val="BodyText"/>
    <w:qFormat/>
    <w:rsid w:val="008C356C"/>
    <w:pPr>
      <w:spacing w:before="36" w:after="36" w:line="480" w:lineRule="auto"/>
    </w:pPr>
  </w:style>
  <w:style w:type="character" w:styleId="CommentReference">
    <w:name w:val="annotation reference"/>
    <w:basedOn w:val="DefaultParagraphFont"/>
    <w:semiHidden/>
    <w:unhideWhenUsed/>
    <w:rsid w:val="008C356C"/>
    <w:rPr>
      <w:sz w:val="16"/>
      <w:szCs w:val="16"/>
    </w:rPr>
  </w:style>
  <w:style w:type="paragraph" w:styleId="CommentText">
    <w:name w:val="annotation text"/>
    <w:basedOn w:val="Normal"/>
    <w:link w:val="CommentTextChar"/>
    <w:semiHidden/>
    <w:unhideWhenUsed/>
    <w:rsid w:val="008C356C"/>
    <w:rPr>
      <w:sz w:val="20"/>
      <w:szCs w:val="20"/>
    </w:rPr>
  </w:style>
  <w:style w:type="character" w:customStyle="1" w:styleId="CommentTextChar">
    <w:name w:val="Comment Text Char"/>
    <w:basedOn w:val="DefaultParagraphFont"/>
    <w:link w:val="CommentText"/>
    <w:semiHidden/>
    <w:rsid w:val="008C356C"/>
    <w:rPr>
      <w:sz w:val="20"/>
      <w:szCs w:val="20"/>
    </w:rPr>
  </w:style>
  <w:style w:type="paragraph" w:styleId="BalloonText">
    <w:name w:val="Balloon Text"/>
    <w:basedOn w:val="Normal"/>
    <w:link w:val="BalloonTextChar"/>
    <w:uiPriority w:val="99"/>
    <w:semiHidden/>
    <w:unhideWhenUsed/>
    <w:rsid w:val="008C356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356C"/>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8C356C"/>
    <w:rPr>
      <w:b/>
      <w:bCs/>
    </w:rPr>
  </w:style>
  <w:style w:type="character" w:customStyle="1" w:styleId="CommentSubjectChar">
    <w:name w:val="Comment Subject Char"/>
    <w:basedOn w:val="CommentTextChar"/>
    <w:link w:val="CommentSubject"/>
    <w:uiPriority w:val="99"/>
    <w:semiHidden/>
    <w:rsid w:val="008C35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12D2088-612C-4741-B335-31E8159AD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5275</Words>
  <Characters>30070</Characters>
  <Application>Microsoft Macintosh Word</Application>
  <DocSecurity>0</DocSecurity>
  <Lines>250</Lines>
  <Paragraphs>70</Paragraphs>
  <ScaleCrop>false</ScaleCrop>
  <LinksUpToDate>false</LinksUpToDate>
  <CharactersWithSpaces>35275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Koontz</dc:creator>
  <cp:keywords/>
  <dc:description/>
  <cp:lastModifiedBy>Michael Koontz</cp:lastModifiedBy>
  <cp:revision>3</cp:revision>
  <dcterms:created xsi:type="dcterms:W3CDTF">2018-12-08T02:39:00Z</dcterms:created>
  <dcterms:modified xsi:type="dcterms:W3CDTF">2018-12-08T02:49:00Z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http://www.zotero.org/styles/ecography</vt:lpwstr>
  </property>
  <property fmtid="{D5CDD505-2E9C-101B-9397-08002B2CF9AE}" pid="9" name="Mendeley Recent Style Name 3_1">
    <vt:lpwstr>Ecography</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http://www.zotero.org/styles/oikos</vt:lpwstr>
  </property>
  <property fmtid="{D5CDD505-2E9C-101B-9397-08002B2CF9AE}" pid="21" name="Mendeley Recent Style Name 9_1">
    <vt:lpwstr>Oikos</vt:lpwstr>
  </property>
  <property fmtid="{D5CDD505-2E9C-101B-9397-08002B2CF9AE}" pid="22" name="Mendeley Document_1">
    <vt:lpwstr>True</vt:lpwstr>
  </property>
  <property fmtid="{D5CDD505-2E9C-101B-9397-08002B2CF9AE}" pid="23" name="Mendeley Unique User Id_1">
    <vt:lpwstr>a3e23e14-d533-3c43-bc47-6274d20b7277</vt:lpwstr>
  </property>
  <property fmtid="{D5CDD505-2E9C-101B-9397-08002B2CF9AE}" pid="24" name="Mendeley Citation Style_1">
    <vt:lpwstr>http://www.zotero.org/styles/ecology</vt:lpwstr>
  </property>
</Properties>
</file>