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df" ContentType="application/pdf"/>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l-methods"/>
      <w:r>
        <w:t xml:space="preserve">Supplemental methods</w:t>
      </w:r>
      <w:bookmarkEnd w:id="21"/>
    </w:p>
    <w:p>
      <w:pPr>
        <w:pStyle w:val="CaptionedFigure"/>
      </w:pPr>
      <w:r>
        <w:drawing>
          <wp:inline>
            <wp:extent cx="3810000" cy="2540000"/>
            <wp:effectExtent b="0" l="0" r="0" t="0"/>
            <wp:docPr descr="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 title="" id="1" name="Picture"/>
            <a:graphic>
              <a:graphicData uri="http://schemas.openxmlformats.org/drawingml/2006/picture">
                <pic:pic>
                  <pic:nvPicPr>
                    <pic:cNvPr descr="../figures/image-acquisition-algorithm.pdf"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Schematic for how Landsat imagery was assembled in order to make comparisons between pre- and post-fire conditions. This schematic depicts a 64-day window of image collation prior to the fire which comprise the pre-fire image collection. A similar, 64-day window collection of imagery is assembled one year after the pre-fire image collection.</w:t>
      </w:r>
    </w:p>
    <w:p>
      <w:pPr>
        <w:pStyle w:val="BodyText"/>
      </w:pPr>
      <w:r>
        <w:t xml:space="preserve">Normalized difference vegetation index (NDVI; Eq. 1) correlates with vegetation density, canopy cover, and leaf area index</w:t>
      </w:r>
      <w:r>
        <w:t xml:space="preserve"> </w:t>
      </w:r>
      <w:r>
        <w:t xml:space="preserve">(1)</w:t>
      </w:r>
      <w:r>
        <w:t xml:space="preserve">. Normalized difference moisture index (NDMI; Eq. 2) correlates with similar vegetation characteristics as NDVI, but doesn’t saturate at high levels of foliar biomass</w:t>
      </w:r>
      <w:r>
        <w:t xml:space="preserve"> </w:t>
      </w:r>
      <w:r>
        <w:t xml:space="preserve">(2)</w:t>
      </w:r>
      <w:r>
        <w:t xml:space="preserve">. Normalized burn ratio (NBR; Eq. 3) and normalized burn ratio version 2 (NBR2; Eq. 4) respond strongly to fire effects on vegetation</w:t>
      </w:r>
      <w:r>
        <w:t xml:space="preserve"> </w:t>
      </w:r>
      <w:r>
        <w:t xml:space="preserve">(4–8)</w:t>
      </w:r>
      <w:r>
        <w:t xml:space="preserve">.</w:t>
      </w:r>
    </w:p>
    <w:p>
      <w:pPr>
        <w:numPr>
          <w:numId w:val="1001"/>
          <w:ilvl w:val="0"/>
        </w:numPr>
      </w:pPr>
      <m:oMath>
        <m:r>
          <m:t>n</m:t>
        </m:r>
        <m:r>
          <m:t>d</m:t>
        </m:r>
        <m:r>
          <m:t>v</m:t>
        </m:r>
        <m:r>
          <m:t>i</m:t>
        </m:r>
        <m:r>
          <m:t>=</m:t>
        </m:r>
        <m:r>
          <m:t>(</m:t>
        </m:r>
        <m:r>
          <m:t>n</m:t>
        </m:r>
        <m:r>
          <m:t>i</m:t>
        </m:r>
        <m:r>
          <m:t>r</m:t>
        </m:r>
        <m:r>
          <m:t>−</m:t>
        </m:r>
        <m:r>
          <m:t>r</m:t>
        </m:r>
        <m:r>
          <m:t>e</m:t>
        </m:r>
        <m:r>
          <m:t>d</m:t>
        </m:r>
        <m:r>
          <m:t>)</m:t>
        </m:r>
        <m:r>
          <m:t>/</m:t>
        </m:r>
        <m:r>
          <m:t>(</m:t>
        </m:r>
        <m:r>
          <m:t>n</m:t>
        </m:r>
        <m:r>
          <m:t>i</m:t>
        </m:r>
        <m:r>
          <m:t>r</m:t>
        </m:r>
        <m:r>
          <m:t>+</m:t>
        </m:r>
        <m:r>
          <m:t>r</m:t>
        </m:r>
        <m:r>
          <m:t>e</m:t>
        </m:r>
        <m:r>
          <m:t>d</m:t>
        </m:r>
        <m:r>
          <m:t>)</m:t>
        </m:r>
      </m:oMath>
    </w:p>
    <w:p>
      <w:pPr>
        <w:numPr>
          <w:numId w:val="1001"/>
          <w:ilvl w:val="0"/>
        </w:numPr>
      </w:pPr>
      <m:oMath>
        <m:r>
          <m:t>n</m:t>
        </m:r>
        <m:r>
          <m:t>d</m:t>
        </m:r>
        <m:r>
          <m:t>m</m:t>
        </m:r>
        <m:r>
          <m:t>i</m:t>
        </m:r>
        <m:r>
          <m:t>=</m:t>
        </m:r>
        <m:r>
          <m:t>(</m:t>
        </m:r>
        <m:r>
          <m:t>n</m:t>
        </m:r>
        <m:r>
          <m:t>i</m:t>
        </m:r>
        <m:r>
          <m:t>r</m:t>
        </m:r>
        <m:r>
          <m:t>−</m:t>
        </m:r>
        <m:r>
          <m:t>s</m:t>
        </m:r>
        <m:r>
          <m:t>w</m:t>
        </m:r>
        <m:r>
          <m:t>i</m:t>
        </m:r>
        <m:r>
          <m:t>r</m:t>
        </m:r>
        <m:r>
          <m:t>1</m:t>
        </m:r>
        <m:r>
          <m:t>)</m:t>
        </m:r>
        <m:r>
          <m:t>/</m:t>
        </m:r>
        <m:r>
          <m:t>(</m:t>
        </m:r>
        <m:r>
          <m:t>n</m:t>
        </m:r>
        <m:r>
          <m:t>i</m:t>
        </m:r>
        <m:r>
          <m:t>r</m:t>
        </m:r>
        <m:r>
          <m:t>+</m:t>
        </m:r>
        <m:r>
          <m:t>s</m:t>
        </m:r>
        <m:r>
          <m:t>w</m:t>
        </m:r>
        <m:r>
          <m:t>i</m:t>
        </m:r>
        <m:r>
          <m:t>r</m:t>
        </m:r>
        <m:r>
          <m:t>1</m:t>
        </m:r>
        <m:r>
          <m:t>)</m:t>
        </m:r>
      </m:oMath>
    </w:p>
    <w:p>
      <w:pPr>
        <w:numPr>
          <w:numId w:val="1001"/>
          <w:ilvl w:val="0"/>
        </w:numPr>
      </w:pPr>
      <m:oMath>
        <m:r>
          <m:t>n</m:t>
        </m:r>
        <m:r>
          <m:t>b</m:t>
        </m:r>
        <m:r>
          <m:t>r</m:t>
        </m:r>
        <m:r>
          <m:t>=</m:t>
        </m:r>
        <m:r>
          <m:t>(</m:t>
        </m:r>
        <m:r>
          <m:t>n</m:t>
        </m:r>
        <m:r>
          <m:t>i</m:t>
        </m:r>
        <m:r>
          <m:t>r</m:t>
        </m:r>
        <m:r>
          <m:t>−</m:t>
        </m:r>
        <m:r>
          <m:t>s</m:t>
        </m:r>
        <m:r>
          <m:t>w</m:t>
        </m:r>
        <m:r>
          <m:t>i</m:t>
        </m:r>
        <m:r>
          <m:t>r</m:t>
        </m:r>
        <m:r>
          <m:t>2</m:t>
        </m:r>
        <m:r>
          <m:t>)</m:t>
        </m:r>
        <m:r>
          <m:t>/</m:t>
        </m:r>
        <m:r>
          <m:t>(</m:t>
        </m:r>
        <m:r>
          <m:t>n</m:t>
        </m:r>
        <m:r>
          <m:t>i</m:t>
        </m:r>
        <m:r>
          <m:t>r</m:t>
        </m:r>
        <m:r>
          <m:t>+</m:t>
        </m:r>
        <m:r>
          <m:t>s</m:t>
        </m:r>
        <m:r>
          <m:t>w</m:t>
        </m:r>
        <m:r>
          <m:t>i</m:t>
        </m:r>
        <m:r>
          <m:t>r</m:t>
        </m:r>
        <m:r>
          <m:t>2</m:t>
        </m:r>
        <m:r>
          <m:t>)</m:t>
        </m:r>
      </m:oMath>
    </w:p>
    <w:p>
      <w:pPr>
        <w:numPr>
          <w:numId w:val="1001"/>
          <w:ilvl w:val="0"/>
        </w:numPr>
      </w:pPr>
      <m:oMath>
        <m:r>
          <m:t>n</m:t>
        </m:r>
        <m:r>
          <m:t>b</m:t>
        </m:r>
        <m:r>
          <m:t>r</m:t>
        </m:r>
        <m:r>
          <m:t>2</m:t>
        </m:r>
        <m:r>
          <m:t>=</m:t>
        </m:r>
        <m:r>
          <m:t>(</m:t>
        </m:r>
        <m:r>
          <m:t>s</m:t>
        </m:r>
        <m:r>
          <m:t>w</m:t>
        </m:r>
        <m:r>
          <m:t>i</m:t>
        </m:r>
        <m:r>
          <m:t>r</m:t>
        </m:r>
        <m:r>
          <m:t>1</m:t>
        </m:r>
        <m:r>
          <m:t>−</m:t>
        </m:r>
        <m:r>
          <m:t>s</m:t>
        </m:r>
        <m:r>
          <m:t>w</m:t>
        </m:r>
        <m:r>
          <m:t>i</m:t>
        </m:r>
        <m:r>
          <m:t>r</m:t>
        </m:r>
        <m:r>
          <m:t>2</m:t>
        </m:r>
        <m:r>
          <m:t>)</m:t>
        </m:r>
        <m:r>
          <m:t>/</m:t>
        </m:r>
        <m:r>
          <m:t>(</m:t>
        </m:r>
        <m:r>
          <m:t>s</m:t>
        </m:r>
        <m:r>
          <m:t>w</m:t>
        </m:r>
        <m:r>
          <m:t>i</m:t>
        </m:r>
        <m:r>
          <m:t>r</m:t>
        </m:r>
        <m:r>
          <m:t>1</m:t>
        </m:r>
        <m:r>
          <m:t>+</m:t>
        </m:r>
        <m:r>
          <m:t>s</m:t>
        </m:r>
        <m:r>
          <m:t>w</m:t>
        </m:r>
        <m:r>
          <m:t>i</m:t>
        </m:r>
        <m:r>
          <m:t>r</m:t>
        </m:r>
        <m:r>
          <m:t>2</m:t>
        </m:r>
        <m:r>
          <m:t>)</m:t>
        </m:r>
      </m:oMath>
    </w:p>
    <w:p>
      <w:pPr>
        <w:pStyle w:val="FirstParagraph"/>
      </w:pPr>
      <w:r>
        <w:t xml:space="preserve">Where</w:t>
      </w:r>
      <w:r>
        <w:t xml:space="preserve"> </w:t>
      </w:r>
      <m:oMath>
        <m:r>
          <m:t>n</m:t>
        </m:r>
        <m:r>
          <m:t>i</m:t>
        </m:r>
        <m:r>
          <m:t>r</m:t>
        </m:r>
      </m:oMath>
      <w:r>
        <w:t xml:space="preserve"> </w:t>
      </w:r>
      <w:r>
        <w:t xml:space="preserve">is the near infrared band (band 4 on Landsat 4, 5, and 7; band 5 on Landsat 8) and</w:t>
      </w:r>
      <w:r>
        <w:t xml:space="preserve"> </w:t>
      </w:r>
      <m:oMath>
        <m:r>
          <m:t>r</m:t>
        </m:r>
        <m:r>
          <m:t>e</m:t>
        </m:r>
        <m:r>
          <m:t>d</m:t>
        </m:r>
      </m:oMath>
      <w:r>
        <w:t xml:space="preserve"> </w:t>
      </w:r>
      <w:r>
        <w:t xml:space="preserve">is the red band (band 3 on Landsat 4, 5, and 7; band 4 on Landsat 8),</w:t>
      </w:r>
      <w:r>
        <w:t xml:space="preserve"> </w:t>
      </w:r>
      <m:oMath>
        <m:r>
          <m:t>s</m:t>
        </m:r>
        <m:r>
          <m:t>w</m:t>
        </m:r>
        <m:r>
          <m:t>i</m:t>
        </m:r>
        <m:r>
          <m:t>r</m:t>
        </m:r>
        <m:r>
          <m:t>1</m:t>
        </m:r>
      </m:oMath>
      <w:r>
        <w:t xml:space="preserve"> </w:t>
      </w:r>
      <w:r>
        <w:t xml:space="preserve">is the first short wave infrared band (band 5 on Landsat 4, 5, and 7; band 4 on Landsat 8),</w:t>
      </w:r>
      <w:r>
        <w:t xml:space="preserve"> </w:t>
      </w:r>
      <m:oMath>
        <m:r>
          <m:t>s</m:t>
        </m:r>
        <m:r>
          <m:t>w</m:t>
        </m:r>
        <m:r>
          <m:t>i</m:t>
        </m:r>
        <m:r>
          <m:t>r</m:t>
        </m:r>
        <m:r>
          <m:t>2</m:t>
        </m:r>
      </m:oMath>
      <w:r>
        <w:t xml:space="preserve"> </w:t>
      </w:r>
      <w:r>
        <w:t xml:space="preserve">is the second short wave infrared band (band 7 on Landsat 4, 5, 7, and 8)</w:t>
      </w:r>
    </w:p>
    <w:p>
      <w:pPr>
        <w:pStyle w:val="BodyText"/>
      </w:pPr>
      <w:r>
        <w:t xml:space="preserve">We calculated the delta severity indices (dNBR, dNBR2, dNDVI) by subtracting the respective postfire indices from the prefire indices (NBR, NBR2, and NDVI) without multiplying by a rescaling constant (e.g., we did not multiply the result by 1000 as in</w:t>
      </w:r>
      <w:r>
        <w:t xml:space="preserve"> </w:t>
      </w:r>
      <w:r>
        <w:t xml:space="preserve">(9)</w:t>
      </w:r>
      <w:r>
        <w:t xml:space="preserve">; Eq. 5). Following</w:t>
      </w:r>
      <w:r>
        <w:t xml:space="preserve"> </w:t>
      </w:r>
      <w:r>
        <w:t xml:space="preserve">(10)</w:t>
      </w:r>
      <w:r>
        <w:t xml:space="preserve">, we chose not to correct the delta indices using a phenological offset value (typically calculated as the delta index in homogeneous forest patch outside of the fire perimeter), as our approach implicitly accounts for phenology by incorporating multiple cloud-free images across the same time window both before the fire and one year later.</w:t>
      </w:r>
    </w:p>
    <w:p>
      <w:pPr>
        <w:pStyle w:val="Compact"/>
        <w:numPr>
          <w:numId w:val="1002"/>
          <w:ilvl w:val="0"/>
        </w:numPr>
      </w:pPr>
      <m:oMath>
        <m:r>
          <m:t>d</m:t>
        </m:r>
        <m:r>
          <m:t>I</m:t>
        </m:r>
        <m:r>
          <m:t>=</m:t>
        </m:r>
        <m:sSub>
          <m:e>
            <m:r>
              <m:t>I</m:t>
            </m:r>
          </m:e>
          <m:sub>
            <m:r>
              <m:rPr>
                <m:sty m:val="p"/>
              </m:rPr>
              <m:t>prefire</m:t>
            </m:r>
          </m:sub>
        </m:sSub>
        <m:r>
          <m:t>−</m:t>
        </m:r>
        <m:sSub>
          <m:e>
            <m:r>
              <m:t>I</m:t>
            </m:r>
          </m:e>
          <m:sub>
            <m:r>
              <m:rPr>
                <m:sty m:val="p"/>
              </m:rPr>
              <m:t>postfire</m:t>
            </m:r>
          </m:sub>
        </m:sSub>
      </m:oMath>
    </w:p>
    <w:p>
      <w:pPr>
        <w:pStyle w:val="FirstParagraph"/>
      </w:pPr>
      <w:r>
        <w:t xml:space="preserve">We calculated the relative delta severity indices, RdNBR and RdNDVI, by scaling the respective delta indices (dNBR and dNDVI) from Eq. 6 by a square root transformation of the absolute value of the prefire index:</w:t>
      </w:r>
    </w:p>
    <w:p>
      <w:pPr>
        <w:pStyle w:val="Compact"/>
        <w:numPr>
          <w:numId w:val="1003"/>
          <w:ilvl w:val="0"/>
        </w:numPr>
      </w:pPr>
      <m:oMath>
        <m:r>
          <m:t>R</m:t>
        </m:r>
        <m:r>
          <m:t>d</m:t>
        </m:r>
        <m:r>
          <m:t>I</m:t>
        </m:r>
        <m:r>
          <m:t>=</m:t>
        </m:r>
        <m:f>
          <m:fPr>
            <m:type m:val="bar"/>
          </m:fPr>
          <m:num>
            <m:r>
              <m:t>d</m:t>
            </m:r>
            <m:r>
              <m:t>I</m:t>
            </m:r>
          </m:num>
          <m:den>
            <m:rad>
              <m:radPr>
                <m:degHide m:val="1"/>
              </m:radPr>
              <m:deg/>
              <m:e>
                <m:r>
                  <m:t>|</m:t>
                </m:r>
                <m:sSub>
                  <m:e>
                    <m:r>
                      <m:t>I</m:t>
                    </m:r>
                  </m:e>
                  <m:sub>
                    <m:r>
                      <m:rPr>
                        <m:sty m:val="p"/>
                      </m:rPr>
                      <m:t>prefire</m:t>
                    </m:r>
                  </m:sub>
                </m:sSub>
                <m:r>
                  <m:t>|</m:t>
                </m:r>
              </m:e>
            </m:rad>
          </m:den>
        </m:f>
      </m:oMath>
    </w:p>
    <w:p>
      <w:pPr>
        <w:pStyle w:val="FirstParagraph"/>
      </w:pPr>
      <w:r>
        <w:t xml:space="preserve">We calculated the relative burn ratio (RBR) following</w:t>
      </w:r>
      <w:r>
        <w:t xml:space="preserve"> </w:t>
      </w:r>
      <w:r>
        <w:t xml:space="preserve">(11)</w:t>
      </w:r>
      <w:r>
        <w:t xml:space="preserve"> </w:t>
      </w:r>
      <w:r>
        <w:t xml:space="preserve">using Eq. 7:</w:t>
      </w:r>
    </w:p>
    <w:p>
      <w:pPr>
        <w:pStyle w:val="Compact"/>
        <w:numPr>
          <w:numId w:val="1004"/>
          <w:ilvl w:val="0"/>
        </w:numPr>
      </w:pPr>
      <m:oMath>
        <m:r>
          <m:t>R</m:t>
        </m:r>
        <m:r>
          <m:t>B</m:t>
        </m:r>
        <m:r>
          <m:t>R</m:t>
        </m:r>
        <m:r>
          <m:t>=</m:t>
        </m:r>
        <m:f>
          <m:fPr>
            <m:type m:val="bar"/>
          </m:fPr>
          <m:num>
            <m:r>
              <m:t>d</m:t>
            </m:r>
            <m:r>
              <m:t>N</m:t>
            </m:r>
            <m:r>
              <m:t>B</m:t>
            </m:r>
            <m:r>
              <m:t>R</m:t>
            </m:r>
          </m:num>
          <m:den>
            <m:r>
              <m:t>N</m:t>
            </m:r>
            <m:r>
              <m:t>B</m:t>
            </m:r>
            <m:sSub>
              <m:e>
                <m:r>
                  <m:t>R</m:t>
                </m:r>
              </m:e>
              <m:sub>
                <m:r>
                  <m:rPr>
                    <m:sty m:val="p"/>
                  </m:rPr>
                  <m:t>prefire</m:t>
                </m:r>
              </m:sub>
            </m:sSub>
            <m:r>
              <m:t>+</m:t>
            </m:r>
            <m:r>
              <m:t>1.001</m:t>
            </m:r>
          </m:den>
        </m:f>
      </m:oMath>
    </w:p>
    <w:p>
      <w:pPr>
        <w:pStyle w:val="FirstParagraph"/>
      </w:pPr>
      <w:r>
        <w:t xml:space="preserve">We used the digital elevation model to calculate the potential annual heat load (Eq. 8 at each pixel, which is an integrated measure of latitude, slope, and a folding transformation of aspect about the northeast-southwest line, such that northeast becomes 0 radians and southwest becomes</w:t>
      </w:r>
      <w:r>
        <w:t xml:space="preserve"> </w:t>
      </w:r>
      <m:oMath>
        <m:r>
          <m:t>π</m:t>
        </m:r>
      </m:oMath>
      <w:r>
        <w:t xml:space="preserve"> </w:t>
      </w:r>
      <w:r>
        <w:t xml:space="preserve">radians</w:t>
      </w:r>
      <w:r>
        <w:t xml:space="preserve"> </w:t>
      </w:r>
      <w:r>
        <w:t xml:space="preserve">(12, 13)</w:t>
      </w:r>
      <w:r>
        <w:t xml:space="preserve">:</w:t>
      </w:r>
    </w:p>
    <w:p>
      <w:pPr>
        <w:pStyle w:val="Compact"/>
        <w:numPr>
          <w:numId w:val="1005"/>
          <w:ilvl w:val="0"/>
        </w:numPr>
      </w:pPr>
      <m:oMath>
        <m:m>
          <m:mPr>
            <m:baseJc m:val="center"/>
            <m:plcHide m:val="1"/>
            <m:mcs>
              <m:mc>
                <m:mcPr>
                  <m:mcJc m:val="right"/>
                  <m:count m:val="1"/>
                </m:mcPr>
              </m:mc>
              <m:mc>
                <m:mcPr>
                  <m:mcJc m:val="left"/>
                  <m:count m:val="1"/>
                </m:mcPr>
              </m:mc>
            </m:mcs>
          </m:mPr>
          <m:mr>
            <m:e>
              <m:r>
                <m:t>a</m:t>
              </m:r>
              <m:r>
                <m:t>s</m:t>
              </m:r>
              <m:r>
                <m:t>p</m:t>
              </m:r>
              <m:r>
                <m:t>e</m:t>
              </m:r>
              <m:r>
                <m:t>c</m:t>
              </m:r>
              <m:sSub>
                <m:e>
                  <m:r>
                    <m:t>t</m:t>
                  </m:r>
                </m:e>
                <m:sub>
                  <m:r>
                    <m:t>f</m:t>
                  </m:r>
                  <m:r>
                    <m:t>o</m:t>
                  </m:r>
                  <m:r>
                    <m:t>l</m:t>
                  </m:r>
                  <m:r>
                    <m:t>d</m:t>
                  </m:r>
                  <m:r>
                    <m:t>e</m:t>
                  </m:r>
                  <m:r>
                    <m:t>d</m:t>
                  </m:r>
                </m:sub>
              </m:sSub>
            </m:e>
            <m:e>
              <m:r>
                <m:t>=</m:t>
              </m:r>
              <m:r>
                <m:t>|</m:t>
              </m:r>
              <m:r>
                <m:t>π</m:t>
              </m:r>
              <m:r>
                <m:t>−</m:t>
              </m:r>
              <m:r>
                <m:t>|</m:t>
              </m:r>
              <m:r>
                <m:t>a</m:t>
              </m:r>
              <m:r>
                <m:t>s</m:t>
              </m:r>
              <m:r>
                <m:t>p</m:t>
              </m:r>
              <m:r>
                <m:t>e</m:t>
              </m:r>
              <m:r>
                <m:t>c</m:t>
              </m:r>
              <m:r>
                <m:t>t</m:t>
              </m:r>
              <m:r>
                <m:t>−</m:t>
              </m:r>
              <m:f>
                <m:fPr>
                  <m:type m:val="bar"/>
                </m:fPr>
                <m:num>
                  <m:r>
                    <m:t>5</m:t>
                  </m:r>
                  <m:r>
                    <m:t>π</m:t>
                  </m:r>
                </m:num>
                <m:den>
                  <m:r>
                    <m:t>4</m:t>
                  </m:r>
                </m:den>
              </m:f>
              <m:r>
                <m:t>|</m:t>
              </m:r>
              <m:r>
                <m:t>|</m:t>
              </m:r>
            </m:e>
          </m:mr>
          <m:mr>
            <m:e>
              <m:r>
                <m:t>l</m:t>
              </m:r>
              <m:r>
                <m:t>o</m:t>
              </m:r>
              <m:r>
                <m:t>g</m:t>
              </m:r>
              <m:r>
                <m:t>(</m:t>
              </m:r>
              <m:r>
                <m:t>p</m:t>
              </m:r>
              <m:r>
                <m:t>a</m:t>
              </m:r>
              <m:r>
                <m:t>h</m:t>
              </m:r>
              <m:r>
                <m:t>l</m:t>
              </m:r>
              <m:r>
                <m:t>)</m:t>
              </m:r>
            </m:e>
            <m:e>
              <m:r>
                <m:t>=</m:t>
              </m:r>
              <m:m>
                <m:mPr>
                  <m:baseJc m:val="center"/>
                  <m:plcHide m:val="1"/>
                  <m:mcs>
                    <m:mc>
                      <m:mcPr>
                        <m:mcJc m:val="right"/>
                        <m:count m:val="1"/>
                      </m:mcPr>
                    </m:mc>
                    <m:mc>
                      <m:mcPr>
                        <m:mcJc m:val="left"/>
                        <m:count m:val="1"/>
                      </m:mcPr>
                    </m:mc>
                  </m:mcs>
                </m:mPr>
                <m:mr>
                  <m:e/>
                  <m:e>
                    <m:r>
                      <m:t>−</m:t>
                    </m:r>
                    <m:r>
                      <m:t>1.467</m:t>
                    </m:r>
                    <m:r>
                      <m:t>+</m:t>
                    </m:r>
                  </m:e>
                </m:mr>
                <m:mr>
                  <m:e/>
                  <m:e>
                    <m:r>
                      <m:t>1.582</m:t>
                    </m:r>
                    <m:r>
                      <m:t>*</m:t>
                    </m:r>
                    <m:r>
                      <m:t>c</m:t>
                    </m:r>
                    <m:r>
                      <m:t>o</m:t>
                    </m:r>
                    <m:r>
                      <m:t>s</m:t>
                    </m:r>
                    <m:r>
                      <m:t>(</m:t>
                    </m:r>
                    <m:r>
                      <m:t>l</m:t>
                    </m:r>
                    <m:r>
                      <m:t>a</m:t>
                    </m:r>
                    <m:r>
                      <m:t>t</m:t>
                    </m:r>
                    <m:r>
                      <m:t>i</m:t>
                    </m:r>
                    <m:r>
                      <m:t>t</m:t>
                    </m:r>
                    <m:r>
                      <m:t>u</m:t>
                    </m:r>
                    <m:r>
                      <m:t>d</m:t>
                    </m:r>
                    <m:r>
                      <m:t>e</m:t>
                    </m:r>
                    <m:r>
                      <m:t>)</m:t>
                    </m:r>
                    <m:r>
                      <m:t>c</m:t>
                    </m:r>
                    <m:r>
                      <m:t>o</m:t>
                    </m:r>
                    <m:r>
                      <m:t>s</m:t>
                    </m:r>
                    <m:r>
                      <m:t>(</m:t>
                    </m:r>
                    <m:r>
                      <m:t>s</m:t>
                    </m:r>
                    <m:r>
                      <m:t>l</m:t>
                    </m:r>
                    <m:r>
                      <m:t>o</m:t>
                    </m:r>
                    <m:r>
                      <m:t>p</m:t>
                    </m:r>
                    <m:r>
                      <m:t>e</m:t>
                    </m:r>
                    <m:r>
                      <m:t>)</m:t>
                    </m:r>
                    <m:r>
                      <m:t>−</m:t>
                    </m:r>
                  </m:e>
                </m:mr>
                <m:mr>
                  <m:e/>
                  <m:e>
                    <m:r>
                      <m:t>1.5</m:t>
                    </m:r>
                    <m:r>
                      <m:t>*</m:t>
                    </m:r>
                    <m:r>
                      <m:t>c</m:t>
                    </m:r>
                    <m:r>
                      <m:t>o</m:t>
                    </m:r>
                    <m:r>
                      <m:t>s</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r>
                      <m:t>s</m:t>
                    </m:r>
                    <m:r>
                      <m:t>i</m:t>
                    </m:r>
                    <m:r>
                      <m:t>n</m:t>
                    </m:r>
                    <m:r>
                      <m:t>(</m:t>
                    </m:r>
                    <m:r>
                      <m:t>l</m:t>
                    </m:r>
                    <m:r>
                      <m:t>a</m:t>
                    </m:r>
                    <m:r>
                      <m:t>t</m:t>
                    </m:r>
                    <m:r>
                      <m:t>i</m:t>
                    </m:r>
                    <m:r>
                      <m:t>t</m:t>
                    </m:r>
                    <m:r>
                      <m:t>u</m:t>
                    </m:r>
                    <m:r>
                      <m:t>d</m:t>
                    </m:r>
                    <m:r>
                      <m:t>e</m:t>
                    </m:r>
                    <m:r>
                      <m:t>)</m:t>
                    </m:r>
                    <m:r>
                      <m:t>−</m:t>
                    </m:r>
                  </m:e>
                </m:mr>
                <m:mr>
                  <m:e/>
                  <m:e>
                    <m:r>
                      <m:t>0.262</m:t>
                    </m:r>
                    <m:r>
                      <m:t>*</m:t>
                    </m:r>
                    <m:r>
                      <m:t>s</m:t>
                    </m:r>
                    <m:r>
                      <m:t>i</m:t>
                    </m:r>
                    <m:r>
                      <m:t>n</m:t>
                    </m:r>
                    <m:r>
                      <m:t>(</m:t>
                    </m:r>
                    <m:r>
                      <m:t>l</m:t>
                    </m:r>
                    <m:r>
                      <m:t>a</m:t>
                    </m:r>
                    <m:r>
                      <m:t>t</m:t>
                    </m:r>
                    <m:r>
                      <m:t>)</m:t>
                    </m:r>
                    <m:r>
                      <m:t>s</m:t>
                    </m:r>
                    <m:r>
                      <m:t>i</m:t>
                    </m:r>
                    <m:r>
                      <m:t>n</m:t>
                    </m:r>
                    <m:r>
                      <m:t>(</m:t>
                    </m:r>
                    <m:r>
                      <m:t>s</m:t>
                    </m:r>
                    <m:r>
                      <m:t>l</m:t>
                    </m:r>
                    <m:r>
                      <m:t>o</m:t>
                    </m:r>
                    <m:r>
                      <m:t>p</m:t>
                    </m:r>
                    <m:r>
                      <m:t>e</m:t>
                    </m:r>
                    <m:r>
                      <m:t>)</m:t>
                    </m:r>
                    <m:r>
                      <m:t>+</m:t>
                    </m:r>
                  </m:e>
                </m:mr>
                <m:mr>
                  <m:e/>
                  <m:e>
                    <m:r>
                      <m:t>0.607</m:t>
                    </m:r>
                    <m:r>
                      <m:t>*</m:t>
                    </m:r>
                    <m:r>
                      <m:t>s</m:t>
                    </m:r>
                    <m:r>
                      <m:t>i</m:t>
                    </m:r>
                    <m:r>
                      <m:t>n</m:t>
                    </m:r>
                    <m:r>
                      <m:t>(</m:t>
                    </m:r>
                    <m:r>
                      <m:t>a</m:t>
                    </m:r>
                    <m:r>
                      <m:t>s</m:t>
                    </m:r>
                    <m:r>
                      <m:t>p</m:t>
                    </m:r>
                    <m:r>
                      <m:t>e</m:t>
                    </m:r>
                    <m:r>
                      <m:t>c</m:t>
                    </m:r>
                    <m:sSub>
                      <m:e>
                        <m:r>
                          <m:t>t</m:t>
                        </m:r>
                      </m:e>
                      <m:sub>
                        <m:r>
                          <m:t>f</m:t>
                        </m:r>
                        <m:r>
                          <m:t>o</m:t>
                        </m:r>
                        <m:r>
                          <m:t>l</m:t>
                        </m:r>
                        <m:r>
                          <m:t>d</m:t>
                        </m:r>
                        <m:r>
                          <m:t>e</m:t>
                        </m:r>
                        <m:r>
                          <m:t>d</m:t>
                        </m:r>
                      </m:sub>
                    </m:sSub>
                    <m:r>
                      <m:t>)</m:t>
                    </m:r>
                    <m:r>
                      <m:t>s</m:t>
                    </m:r>
                    <m:r>
                      <m:t>i</m:t>
                    </m:r>
                    <m:r>
                      <m:t>n</m:t>
                    </m:r>
                    <m:r>
                      <m:t>(</m:t>
                    </m:r>
                    <m:r>
                      <m:t>s</m:t>
                    </m:r>
                    <m:r>
                      <m:t>l</m:t>
                    </m:r>
                    <m:r>
                      <m:t>o</m:t>
                    </m:r>
                    <m:r>
                      <m:t>p</m:t>
                    </m:r>
                    <m:r>
                      <m:t>e</m:t>
                    </m:r>
                    <m:r>
                      <m:t>)</m:t>
                    </m:r>
                  </m:e>
                </m:mr>
              </m:m>
            </m:e>
          </m:mr>
        </m:m>
      </m:oMath>
    </w:p>
    <w:p>
      <w:pPr>
        <w:pStyle w:val="FirstParagraph"/>
      </w:pPr>
      <w:r>
        <w:t xml:space="preserve">Where</w:t>
      </w:r>
      <w:r>
        <w:t xml:space="preserve"> </w:t>
      </w:r>
      <m:oMath>
        <m:r>
          <m:t>p</m:t>
        </m:r>
        <m:r>
          <m:t>a</m:t>
        </m:r>
        <m:r>
          <m:t>h</m:t>
        </m:r>
        <m:r>
          <m:t>l</m:t>
        </m:r>
      </m:oMath>
      <w:r>
        <w:t xml:space="preserve"> </w:t>
      </w:r>
      <w:r>
        <w:t xml:space="preserve">is the potential annual heat load,</w:t>
      </w:r>
      <w:r>
        <w:t xml:space="preserve"> </w:t>
      </w:r>
      <m:oMath>
        <m:r>
          <m:t>a</m:t>
        </m:r>
        <m:r>
          <m:t>s</m:t>
        </m:r>
        <m:r>
          <m:t>p</m:t>
        </m:r>
        <m:r>
          <m:t>e</m:t>
        </m:r>
        <m:r>
          <m:t>c</m:t>
        </m:r>
        <m:sSub>
          <m:e>
            <m:r>
              <m:t>t</m:t>
            </m:r>
          </m:e>
          <m:sub>
            <m:r>
              <m:t>f</m:t>
            </m:r>
            <m:r>
              <m:t>o</m:t>
            </m:r>
            <m:r>
              <m:t>l</m:t>
            </m:r>
            <m:r>
              <m:t>d</m:t>
            </m:r>
            <m:r>
              <m:t>e</m:t>
            </m:r>
            <m:r>
              <m:t>d</m:t>
            </m:r>
          </m:sub>
        </m:sSub>
      </m:oMath>
      <w:r>
        <w:t xml:space="preserve"> </w:t>
      </w:r>
      <w:r>
        <w:t xml:space="preserve">is a transformation of aspect in radians, and both</w:t>
      </w:r>
      <w:r>
        <w:t xml:space="preserve"> </w:t>
      </w:r>
      <m:oMath>
        <m:r>
          <m:t>l</m:t>
        </m:r>
        <m:r>
          <m:t>a</m:t>
        </m:r>
        <m:r>
          <m:t>t</m:t>
        </m:r>
        <m:r>
          <m:t>i</m:t>
        </m:r>
        <m:r>
          <m:t>t</m:t>
        </m:r>
        <m:r>
          <m:t>u</m:t>
        </m:r>
        <m:r>
          <m:t>d</m:t>
        </m:r>
        <m:r>
          <m:t>e</m:t>
        </m:r>
      </m:oMath>
      <w:r>
        <w:t xml:space="preserve"> </w:t>
      </w:r>
      <w:r>
        <w:t xml:space="preserve">and</w:t>
      </w:r>
      <w:r>
        <w:t xml:space="preserve"> </w:t>
      </w:r>
      <m:oMath>
        <m:r>
          <m:t>s</m:t>
        </m:r>
        <m:r>
          <m:t>l</m:t>
        </m:r>
        <m:r>
          <m:t>o</m:t>
        </m:r>
        <m:r>
          <m:t>p</m:t>
        </m:r>
        <m:r>
          <m:t>e</m:t>
        </m:r>
      </m:oMath>
      <w:r>
        <w:t xml:space="preserve"> </w:t>
      </w:r>
      <w:r>
        <w:t xml:space="preserve">are extracted from a digital elevation model with units of radians.</w:t>
      </w:r>
    </w:p>
    <w:p>
      <w:pPr>
        <w:pStyle w:val="CaptionedFigure"/>
      </w:pPr>
      <w:r>
        <w:drawing>
          <wp:inline>
            <wp:extent cx="5943600" cy="2971800"/>
            <wp:effectExtent b="0" l="0" r="0" t="0"/>
            <wp:docPr descr="Conceptual diagram of ‘decoupling’ 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quot;hole in the forest&quot; decoupling, which occurs more frequently, and the right panel depicts the &quot;isolated patch&quot; decoupling." title="" id="1" name="Picture"/>
            <a:graphic>
              <a:graphicData uri="http://schemas.openxmlformats.org/drawingml/2006/picture">
                <pic:pic>
                  <pic:nvPicPr>
                    <pic:cNvPr descr="../figures/decoupling-center-neighborhood-ndvi.png" id="0" name="Picture"/>
                    <pic:cNvPicPr>
                      <a:picLocks noChangeArrowheads="1" noChangeAspect="1"/>
                    </pic:cNvPicPr>
                  </pic:nvPicPr>
                  <pic:blipFill>
                    <a:blip r:embed="rId2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Conceptual diagram of</w:t>
      </w:r>
      <w:r>
        <w:t xml:space="preserve"> </w:t>
      </w:r>
      <w:r>
        <w:t xml:space="preserve">‘</w:t>
      </w:r>
      <w:r>
        <w:t xml:space="preserve">decoupling</w:t>
      </w:r>
      <w:r>
        <w:t xml:space="preserve">’</w:t>
      </w:r>
      <w:r>
        <w:t xml:space="preserve"> </w:t>
      </w:r>
      <w:r>
        <w:t xml:space="preserve">that sometimes occurs between the central pixel NDVI and the neighborhood mean NDVI. In each of these scenarios, our model results suggest that the probability that the central pixel burns at high severity is higher than expected given the additive effect of the covariates. The left panel depicts the "hole in the forest" decoupling, which occurs more frequently, and the right panel depicts the "isolated patch" decoupling.</w:t>
      </w:r>
    </w:p>
    <w:bookmarkStart w:id="38" w:name="refs"/>
    <w:bookmarkStart w:id="24" w:name="ref-Rouse1973"/>
    <w:p>
      <w:pPr>
        <w:pStyle w:val="Bibliography"/>
      </w:pPr>
      <w:r>
        <w:t xml:space="preserve">1. Rouse JW, Hass RH, Schell J, Deering D (1973) Monitoring vegetation systems in the great plains with ERTS.</w:t>
      </w:r>
      <w:r>
        <w:t xml:space="preserve"> </w:t>
      </w:r>
      <w:r>
        <w:rPr>
          <w:i/>
        </w:rPr>
        <w:t xml:space="preserve">Third Earth Resources Technology Satellite (ERTS) symposium</w:t>
      </w:r>
      <w:r>
        <w:t xml:space="preserve"> </w:t>
      </w:r>
      <w:r>
        <w:t xml:space="preserve">1:309–317.</w:t>
      </w:r>
    </w:p>
    <w:bookmarkEnd w:id="24"/>
    <w:bookmarkStart w:id="25" w:name="ref-Gao1996"/>
    <w:p>
      <w:pPr>
        <w:pStyle w:val="Bibliography"/>
      </w:pPr>
      <w:r>
        <w:t xml:space="preserve">2. Gao BC (1996) NDWI - A normalized difference water index for remote sensing of vegetation liquid water from space.</w:t>
      </w:r>
      <w:r>
        <w:t xml:space="preserve"> </w:t>
      </w:r>
      <w:r>
        <w:rPr>
          <w:i/>
        </w:rPr>
        <w:t xml:space="preserve">Remote Sensing of Environment</w:t>
      </w:r>
      <w:r>
        <w:t xml:space="preserve"> </w:t>
      </w:r>
      <w:r>
        <w:t xml:space="preserve">58(3):257–266.</w:t>
      </w:r>
    </w:p>
    <w:bookmarkEnd w:id="25"/>
    <w:bookmarkStart w:id="26" w:name="ref-Huesca2016"/>
    <w:p>
      <w:pPr>
        <w:pStyle w:val="Bibliography"/>
      </w:pPr>
      <w:r>
        <w:t xml:space="preserve">3. Huesca M, García M, Roth KL, Casas A, Ustin SL (2016) Canopy structural attributes derived from AVIRIS imaging spectroscopy data in a mixed broadleaf/conifer forest.</w:t>
      </w:r>
      <w:r>
        <w:t xml:space="preserve"> </w:t>
      </w:r>
      <w:r>
        <w:rPr>
          <w:i/>
        </w:rPr>
        <w:t xml:space="preserve">Remote Sensing of Environment</w:t>
      </w:r>
      <w:r>
        <w:t xml:space="preserve"> </w:t>
      </w:r>
      <w:r>
        <w:t xml:space="preserve">182:208–226.</w:t>
      </w:r>
    </w:p>
    <w:bookmarkEnd w:id="26"/>
    <w:bookmarkStart w:id="27" w:name="ref-Lopez1991"/>
    <w:p>
      <w:pPr>
        <w:pStyle w:val="Bibliography"/>
      </w:pPr>
      <w:r>
        <w:t xml:space="preserve">4. García MJL, Caselles V (1991) Mapping burns and natural reforestation using thematic mapper data.</w:t>
      </w:r>
      <w:r>
        <w:t xml:space="preserve"> </w:t>
      </w:r>
      <w:r>
        <w:rPr>
          <w:i/>
        </w:rPr>
        <w:t xml:space="preserve">Geocarto International</w:t>
      </w:r>
      <w:r>
        <w:t xml:space="preserve"> </w:t>
      </w:r>
      <w:r>
        <w:t xml:space="preserve">6(1):31–37.</w:t>
      </w:r>
    </w:p>
    <w:bookmarkEnd w:id="27"/>
    <w:bookmarkStart w:id="28" w:name="ref-Key2006"/>
    <w:p>
      <w:pPr>
        <w:pStyle w:val="Bibliography"/>
      </w:pPr>
      <w:r>
        <w:t xml:space="preserve">5. Key CH, Benson NC (2006) Landscape assessment: Sampling and analysis methods.</w:t>
      </w:r>
      <w:r>
        <w:t xml:space="preserve"> </w:t>
      </w:r>
      <w:r>
        <w:rPr>
          <w:i/>
        </w:rPr>
        <w:t xml:space="preserve">USDA Forest Service General Technical Report RMRS-GTR-164-CD</w:t>
      </w:r>
      <w:r>
        <w:t xml:space="preserve"> </w:t>
      </w:r>
      <w:r>
        <w:t xml:space="preserve">(June):1–55.</w:t>
      </w:r>
    </w:p>
    <w:bookmarkEnd w:id="28"/>
    <w:bookmarkStart w:id="29" w:name="ref-USGSlasrc2017"/>
    <w:p>
      <w:pPr>
        <w:pStyle w:val="Bibliography"/>
      </w:pPr>
      <w:r>
        <w:t xml:space="preserve">6. USGS (2017) Product Guide: Landat 8 Surface Reflectance Code (LaSRC) Product.</w:t>
      </w:r>
      <w:r>
        <w:t xml:space="preserve"> </w:t>
      </w:r>
      <w:r>
        <w:rPr>
          <w:i/>
        </w:rPr>
        <w:t xml:space="preserve">USGS Professional Paper</w:t>
      </w:r>
      <w:r>
        <w:t xml:space="preserve"> </w:t>
      </w:r>
      <w:r>
        <w:t xml:space="preserve">4.2.</w:t>
      </w:r>
    </w:p>
    <w:bookmarkEnd w:id="29"/>
    <w:bookmarkStart w:id="30" w:name="ref-USGSledaps2017"/>
    <w:p>
      <w:pPr>
        <w:pStyle w:val="Bibliography"/>
      </w:pPr>
      <w:r>
        <w:t xml:space="preserve">7. USGS (2017) Product Guide: Landsat 4-7 Surface Reflectance (LEDAPS) Product.</w:t>
      </w:r>
      <w:r>
        <w:t xml:space="preserve"> </w:t>
      </w:r>
      <w:r>
        <w:rPr>
          <w:i/>
        </w:rPr>
        <w:t xml:space="preserve">USGS Professional Paper</w:t>
      </w:r>
      <w:r>
        <w:t xml:space="preserve"> </w:t>
      </w:r>
      <w:r>
        <w:t xml:space="preserve">8(1):38.</w:t>
      </w:r>
    </w:p>
    <w:bookmarkEnd w:id="30"/>
    <w:bookmarkStart w:id="31" w:name="ref-Hawbaker2017"/>
    <w:p>
      <w:pPr>
        <w:pStyle w:val="Bibliography"/>
      </w:pPr>
      <w:r>
        <w:t xml:space="preserve">8. Hawbaker TJ, et al. (2017) Mapping burned areas using dense time-series of Landsat data.</w:t>
      </w:r>
      <w:r>
        <w:t xml:space="preserve"> </w:t>
      </w:r>
      <w:r>
        <w:rPr>
          <w:i/>
        </w:rPr>
        <w:t xml:space="preserve">Remote Sensing of Environment</w:t>
      </w:r>
      <w:r>
        <w:t xml:space="preserve"> </w:t>
      </w:r>
      <w:r>
        <w:t xml:space="preserve">198:504–522.</w:t>
      </w:r>
    </w:p>
    <w:bookmarkEnd w:id="31"/>
    <w:bookmarkStart w:id="32" w:name="ref-Miller2007"/>
    <w:p>
      <w:pPr>
        <w:pStyle w:val="Bibliography"/>
      </w:pPr>
      <w:r>
        <w:t xml:space="preserve">9.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109:66–80.</w:t>
      </w:r>
    </w:p>
    <w:bookmarkEnd w:id="32"/>
    <w:bookmarkStart w:id="34" w:name="ref-Reilly2017"/>
    <w:p>
      <w:pPr>
        <w:pStyle w:val="Bibliography"/>
      </w:pPr>
      <w:r>
        <w:t xml:space="preserve">10. Reilly MJ, et al. (2017) Contemporary patterns of fire extent and severity in forests of the Pacific Northwest, USA (1985-2010).</w:t>
      </w:r>
      <w:r>
        <w:t xml:space="preserve"> </w:t>
      </w:r>
      <w:r>
        <w:rPr>
          <w:i/>
        </w:rPr>
        <w:t xml:space="preserve">Ecosphere</w:t>
      </w:r>
      <w:r>
        <w:t xml:space="preserve"> </w:t>
      </w:r>
      <w:r>
        <w:t xml:space="preserve">8(3). doi:</w:t>
      </w:r>
      <w:hyperlink r:id="rId33">
        <w:r>
          <w:rPr>
            <w:rStyle w:val="Hyperlink"/>
          </w:rPr>
          <w:t xml:space="preserve">10.1002/ecs2.1695</w:t>
        </w:r>
      </w:hyperlink>
      <w:r>
        <w:t xml:space="preserve">.</w:t>
      </w:r>
    </w:p>
    <w:bookmarkEnd w:id="34"/>
    <w:bookmarkStart w:id="35" w:name="ref-Parks2014"/>
    <w:p>
      <w:pPr>
        <w:pStyle w:val="Bibliography"/>
      </w:pPr>
      <w:r>
        <w:t xml:space="preserve">11. Parks SA, Dillon GK, Miller C (2014) A new metric for quantifying burn severity: The relativized burn ratio.</w:t>
      </w:r>
      <w:r>
        <w:t xml:space="preserve"> </w:t>
      </w:r>
      <w:r>
        <w:rPr>
          <w:i/>
        </w:rPr>
        <w:t xml:space="preserve">Remote Sensing</w:t>
      </w:r>
      <w:r>
        <w:t xml:space="preserve"> </w:t>
      </w:r>
      <w:r>
        <w:t xml:space="preserve">6(3):1827–1844.</w:t>
      </w:r>
    </w:p>
    <w:bookmarkEnd w:id="35"/>
    <w:bookmarkStart w:id="36" w:name="ref-McCune2002"/>
    <w:p>
      <w:pPr>
        <w:pStyle w:val="Bibliography"/>
      </w:pPr>
      <w:r>
        <w:t xml:space="preserve">12. McCune B, Keon D (2002) Equations for potential annual direct incident radiation and heat load.</w:t>
      </w:r>
      <w:r>
        <w:t xml:space="preserve"> </w:t>
      </w:r>
      <w:r>
        <w:rPr>
          <w:i/>
        </w:rPr>
        <w:t xml:space="preserve">Journal of Vegetation Science</w:t>
      </w:r>
      <w:r>
        <w:t xml:space="preserve"> </w:t>
      </w:r>
      <w:r>
        <w:t xml:space="preserve">13(1966):603–606.</w:t>
      </w:r>
    </w:p>
    <w:bookmarkEnd w:id="36"/>
    <w:bookmarkStart w:id="37" w:name="ref-McCune2007"/>
    <w:p>
      <w:pPr>
        <w:pStyle w:val="Bibliography"/>
      </w:pPr>
      <w:r>
        <w:t xml:space="preserve">13. McCune B (2007) Improved estimates of incident radiation and heat load using non-parametric regression against topographic variables.</w:t>
      </w:r>
      <w:r>
        <w:t xml:space="preserve"> </w:t>
      </w:r>
      <w:r>
        <w:rPr>
          <w:i/>
        </w:rPr>
        <w:t xml:space="preserve">Journal of Vegetation Science</w:t>
      </w:r>
      <w:r>
        <w:t xml:space="preserve"> </w:t>
      </w:r>
      <w:r>
        <w:t xml:space="preserve">18(2002):751–754.</w:t>
      </w:r>
    </w:p>
    <w:bookmarkEnd w:id="37"/>
    <w:bookmarkEnd w:id="38"/>
    <w:sectPr w:rsidR="007B26FF" w:rsidSect="00A8361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77FC417"/>
    <w:multiLevelType w:val="multilevel"/>
    <w:tmpl w:val="BD1A06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F20A0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39AF5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E72AB922"/>
    <w:lvl w:ilvl="0">
      <w:start w:val="1"/>
      <w:numFmt w:val="decimal"/>
      <w:lvlText w:val="%1."/>
      <w:lvlJc w:val="left"/>
      <w:pPr>
        <w:tabs>
          <w:tab w:val="num" w:pos="1800"/>
        </w:tabs>
        <w:ind w:left="1800" w:hanging="360"/>
      </w:pPr>
    </w:lvl>
  </w:abstractNum>
  <w:abstractNum w:abstractNumId="4">
    <w:nsid w:val="FFFFFF7D"/>
    <w:multiLevelType w:val="singleLevel"/>
    <w:tmpl w:val="D8AAB508"/>
    <w:lvl w:ilvl="0">
      <w:start w:val="1"/>
      <w:numFmt w:val="decimal"/>
      <w:lvlText w:val="%1."/>
      <w:lvlJc w:val="left"/>
      <w:pPr>
        <w:tabs>
          <w:tab w:val="num" w:pos="1440"/>
        </w:tabs>
        <w:ind w:left="1440" w:hanging="360"/>
      </w:pPr>
    </w:lvl>
  </w:abstractNum>
  <w:abstractNum w:abstractNumId="5">
    <w:nsid w:val="FFFFFF7E"/>
    <w:multiLevelType w:val="singleLevel"/>
    <w:tmpl w:val="77322A14"/>
    <w:lvl w:ilvl="0">
      <w:start w:val="1"/>
      <w:numFmt w:val="decimal"/>
      <w:lvlText w:val="%1."/>
      <w:lvlJc w:val="left"/>
      <w:pPr>
        <w:tabs>
          <w:tab w:val="num" w:pos="1080"/>
        </w:tabs>
        <w:ind w:left="1080" w:hanging="360"/>
      </w:pPr>
    </w:lvl>
  </w:abstractNum>
  <w:abstractNum w:abstractNumId="6">
    <w:nsid w:val="FFFFFF7F"/>
    <w:multiLevelType w:val="singleLevel"/>
    <w:tmpl w:val="C0B67938"/>
    <w:lvl w:ilvl="0">
      <w:start w:val="1"/>
      <w:numFmt w:val="decimal"/>
      <w:lvlText w:val="%1."/>
      <w:lvlJc w:val="left"/>
      <w:pPr>
        <w:tabs>
          <w:tab w:val="num" w:pos="720"/>
        </w:tabs>
        <w:ind w:left="720" w:hanging="360"/>
      </w:pPr>
    </w:lvl>
  </w:abstractNum>
  <w:abstractNum w:abstractNumId="7">
    <w:nsid w:val="FFFFFF80"/>
    <w:multiLevelType w:val="singleLevel"/>
    <w:tmpl w:val="AD681838"/>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8AB6D614"/>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F1AB868"/>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04C8BF64"/>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D062E55C"/>
    <w:lvl w:ilvl="0">
      <w:start w:val="1"/>
      <w:numFmt w:val="decimal"/>
      <w:lvlText w:val="%1."/>
      <w:lvlJc w:val="left"/>
      <w:pPr>
        <w:tabs>
          <w:tab w:val="num" w:pos="360"/>
        </w:tabs>
        <w:ind w:left="360" w:hanging="360"/>
      </w:pPr>
    </w:lvl>
  </w:abstractNum>
  <w:abstractNum w:abstractNumId="12">
    <w:nsid w:val="FFFFFF89"/>
    <w:multiLevelType w:val="singleLevel"/>
    <w:tmpl w:val="0E2AB40C"/>
    <w:lvl w:ilvl="0">
      <w:start w:val="1"/>
      <w:numFmt w:val="bullet"/>
      <w:lvlText w:val=""/>
      <w:lvlJc w:val="left"/>
      <w:pPr>
        <w:tabs>
          <w:tab w:val="num" w:pos="360"/>
        </w:tabs>
        <w:ind w:left="360" w:hanging="360"/>
      </w:pPr>
      <w:rPr>
        <w:rFonts w:ascii="Symbol" w:hAnsi="Symbol" w:hint="default"/>
      </w:rPr>
    </w:lvl>
  </w:abstractNum>
  <w:abstractNum w:abstractNumId="990">
    <w:nsid w:val="e980bda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64de99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5">
    <w:nsid w:val="a9d1a0f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6">
    <w:nsid w:val="f18d984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337">
    <w:nsid w:val="e5dad1e1"/>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93ee0010"/>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3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3224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564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D3224A"/>
    <w:pPr>
      <w:keepNext/>
      <w:keepLines/>
      <w:spacing w:before="200" w:after="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rsid w:val="00D3224A"/>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rsid w:val="00D3224A"/>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rsid w:val="00D3224A"/>
    <w:pPr>
      <w:keepNext/>
      <w:keepLines/>
      <w:spacing w:before="200" w:after="0"/>
      <w:outlineLvl w:val="5"/>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54EAB"/>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1564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E15643"/>
    <w:pPr>
      <w:keepNext/>
      <w:keepLines/>
      <w:spacing w:after="60"/>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3224A"/>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54EAB"/>
  </w:style>
  <w:style w:type="character" w:styleId="LineNumber">
    <w:name w:val="line number"/>
    <w:basedOn w:val="DefaultParagraphFont"/>
    <w:semiHidden/>
    <w:unhideWhenUsed/>
    <w:rsid w:val="00A8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df" /><Relationship Type="http://schemas.openxmlformats.org/officeDocument/2006/relationships/hyperlink" Id="rId33" Target="https://doi.org/10.1002/ecs2.1695"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2/ecs2.16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140</Words>
  <Characters>804</Characters>
  <Application>Microsoft Macintosh Word</Application>
  <DocSecurity>0</DocSecurity>
  <Lines>6</Lines>
  <Paragraphs>1</Paragraphs>
  <ScaleCrop>false</ScaleCrop>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2019-01-07T20:36:26Z</dcterms:created>
  <dcterms:modified xsi:type="dcterms:W3CDTF">2019-01-07T20:36:26Z</dcterms:modified>
</cp:coreProperties>
</file>