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0B981"/>
          <w:spacing w:val="60"/>
          <w:sz w:val="24"/>
          <w:szCs w:val="24"/>
        </w:rPr>
        <w:t xml:space="preserve">AFRIENERGY TRACKER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72A"/>
          <w:sz w:val="52"/>
          <w:szCs w:val="52"/>
        </w:rPr>
        <w:t xml:space="preserve">Use Case &amp; Product Documentation Brief</w:t>
      </w:r>
    </w:p>
    <w:p>
      <w:pPr>
        <w:spacing w:after="800"/>
        <w:jc w:val="center"/>
      </w:pPr>
      <w:r>
        <w:rPr>
          <w:rFonts w:ascii="Calibri" w:cs="Calibri" w:eastAsia="Calibri" w:hAnsi="Calibri"/>
          <w:i/>
          <w:iCs/>
          <w:color w:val="64748B"/>
          <w:sz w:val="26"/>
          <w:szCs w:val="26"/>
        </w:rPr>
        <w:t xml:space="preserve">Foundation document for communications and promotion strategy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Prepared for Daniel Oladoja, Founder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August 2026  ·  afrienergytracker.io</w:t>
      </w:r>
    </w:p>
    <w:p>
      <w:pPr>
        <w:spacing w:after="0"/>
        <w:jc w:val="center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Internal working document — figures verified against the live database on 2 August 2026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Contents</w:t>
      </w:r>
    </w:p>
    <w:p>
      <w:pPr>
        <w:spacing w:after="120"/>
      </w:pPr>
    </w:p>
    <w:p>
      <w:pPr>
        <w:spacing w:after="140"/>
      </w:pPr>
      <w:r>
        <w:rPr>
          <w:rFonts w:ascii="Calibri" w:cs="Calibri" w:eastAsia="Calibri" w:hAnsi="Calibri"/>
          <w:b/>
          <w:bCs/>
          <w:color w:val="10B981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Executive Summary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0B981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The Product at a Glance — headline numbers, platform components, the data engine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0B981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The Problem &amp; Market Context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0B981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Audiences &amp; Use Cases — six audiences, what they do, what to say to them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0B981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Competitive Landscape — and what it means for positioning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0B981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Positioning &amp; Messaging — pillars, boilerplate, voice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0B981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Channel &amp; Promotion Strategy — owned, earned, partnerships, 90-day calendar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0B981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Measurement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0B981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Risks &amp; Watchouts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0B981"/>
          <w:sz w:val="22"/>
          <w:szCs w:val="22"/>
        </w:rPr>
        <w:t xml:space="preserve">10. 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Quick Reference — Fact Sheet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1. Executive Summary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AfriEnergy Tracker is an open intelligence platform that aggregates and visualises publicly disclosed energy investment across all 54 African countries. As of August 2026 it tracks 3,277 projects representing US$141.4 billion in disclosed investment, spanning eleven active sectors and more than 1,370 developers and financing entities, with every dollar traceable to a clickable public source.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platform occupies a gap that no incumbent fills: deal-level, pan-African, methodologically transparent, and free. Global research houses cover Africa as an aggregate line item; the leading Africa-focused deal databases sit behind enterprise paywalls; the free public portals stop at country-level indicators. AfriEnergy Tracker is, to our knowledge, the only open platform that lets anyone drill from a continental headline number down to a single named project and the source that discloses its value.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promotion strategy this brief supports rests on one asset above all others: earned credibility. In July–August 2026 the platform completed a full data-integrity overhaul — disclosed-only accounting, estimate flagging, duplicate elimination, a canonical project lifecycle, and a published methodology. The numbers got smaller and the story got stronger. Every message recommended in this document flows from that discipline: “conservative by design, transparent by default.”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9360"/>
      </w:tblGrid>
      <w:tr>
        <w:tc>
          <w:tcPr>
            <w:tcW w:type="dxa" w:w="9360"/>
            <w:tcBorders>
              <w:left w:val="single" w:color="10B981" w:sz="24"/>
            </w:tcBorders>
            <w:shd w:fill="F0FDF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65F46"/>
                <w:sz w:val="22"/>
                <w:szCs w:val="22"/>
              </w:rPr>
              <w:t xml:space="preserve">Positioning in one sentence: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65F46"/>
                <w:sz w:val="22"/>
                <w:szCs w:val="22"/>
              </w:rPr>
              <w:t xml:space="preserve">AfriEnergy Tracker is the free, open, source-linked record of who is investing what, where, in African energy — built to Bloomberg-grade accounting standards without the Bloomberg-grade paywall.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2. The Product at a Glance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All figures below are live database values as of 2 August 2026 and are conservative by construction: headline totals count only publicly disclosed transaction values; capacity-derived estimates are labelled “est.” and contribute nothing to any total; cancelled and decommissioned projects are excluded from investment figures everywhere on the platform.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2.1 Headline numbers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 (live, 2 Aug 2026)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Disclosed investment tracked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US$141.4 billion</w:t>
            </w:r>
          </w:p>
        </w:tc>
      </w:tr>
      <w:tr>
        <w:tc>
          <w:tcPr>
            <w:tcW w:type="dxa" w:w="46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Projects tracked</w:t>
            </w:r>
          </w:p>
        </w:tc>
        <w:tc>
          <w:tcPr>
            <w:tcW w:type="dxa" w:w="46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3,277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Country coverage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All 54 African countries</w:t>
            </w:r>
          </w:p>
        </w:tc>
      </w:tr>
      <w:tr>
        <w:tc>
          <w:tcPr>
            <w:tcW w:type="dxa" w:w="46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Active sectors</w:t>
            </w:r>
          </w:p>
        </w:tc>
        <w:tc>
          <w:tcPr>
            <w:tcW w:type="dxa" w:w="46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Developers &amp; financing entities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1,383</w:t>
            </w:r>
          </w:p>
        </w:tc>
      </w:tr>
      <w:tr>
        <w:tc>
          <w:tcPr>
            <w:tcW w:type="dxa" w:w="46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Pipeline stages</w:t>
            </w:r>
          </w:p>
        </w:tc>
        <w:tc>
          <w:tcPr>
            <w:tcW w:type="dxa" w:w="46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Announced 608 · Financial Close 10 · Construction 610 · Commissioned 1,957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Climate classification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1,871 mitigation projects tagged; every record carries a climate-finance class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2.2 Where the money is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By sector (disclosed value):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Oil &amp; Gas leads at $65.2B (1,164 projects), followed by Hydro $32.5B (273), Solar $24.7B (1,204), Wind $6.0B (246), Hydrogen $4.6B (25), Geothermal $3.4B (29), Coal $2.6B (234), Battery &amp; Storage $1.1B (6), Grid Expansion $0.9B (8), and Bioenergy $0.5B (78). Solar's profile — the most projects, third-most capital — is itself a story: African solar is many small deals, not a few mega-deals.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By region: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North Africa $33.1B (895 projects) · West Africa $31.4B (703) · Central Africa $27.6B (136) · East Africa $26.4B (339) · Southern Africa $22.9B (1,101). Southern Africa holds the most projects; North Africa the most disclosed capital.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Top countries by disclosed value: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Angola $18.2B, Algeria $13.2B, Nigeria $12.4B, Libya $9.9B, Ethiopia $8.5B, South Africa $7.7B (South Africa leads on project count with 504).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2.3 Platform components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76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Continental overview: disclosed investment, project counts, deals by stage, sector and regional breakdowns, financing-structure panel. The public 'front page' of African energy investment.</w:t>
            </w:r>
          </w:p>
        </w:tc>
      </w:tr>
      <w:tr>
        <w:tc>
          <w:tcPr>
            <w:tcW w:type="dxa" w:w="260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Deal Tracker</w:t>
            </w:r>
          </w:p>
        </w:tc>
        <w:tc>
          <w:tcPr>
            <w:tcW w:type="dxa" w:w="676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Searchable, filterable database of every tracked project: country, sector, stage, capacity, deal size (with 'est.' flags), developers, financiers, and a source link on every record.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AI Analyst (Insights)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Conversational analysis grounded in the same disclosed-only accounting rules as the dashboard — the answer in chat always matches the number on the screen.</w:t>
            </w:r>
          </w:p>
        </w:tc>
      </w:tr>
      <w:tr>
        <w:tc>
          <w:tcPr>
            <w:tcW w:type="dxa" w:w="260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Newsletter</w:t>
            </w:r>
          </w:p>
        </w:tc>
        <w:tc>
          <w:tcPr>
            <w:tcW w:type="dxa" w:w="676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Bi-weekly email franchise: AfriEnergy Insights (deep-dive, first Monday of the month) and AfriEnergy Brief (concise update, alternating Mondays). Automated generation from live data, with hand-written special editions.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Methodology page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Public documentation of source groups, the disclosed-vs-estimated rule, validation pipeline, update cadence, and known limitations. The credibility anchor for all communications.</w:t>
            </w:r>
          </w:p>
        </w:tc>
      </w:tr>
      <w:tr>
        <w:tc>
          <w:tcPr>
            <w:tcW w:type="dxa" w:w="260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Contribute page</w:t>
            </w:r>
          </w:p>
        </w:tc>
        <w:tc>
          <w:tcPr>
            <w:tcW w:type="dxa" w:w="676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Public corrections and submissions channel — two corroborating sources required, every approved submission credited. Turns readers into contributors.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2.4 The data engine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Behind the interface is an automated collection and verification pipeline: government and multilateral sources and curated news are scraped on the 1st and 15th of each month; a global asset inventory is refreshed monthly; source links are swept daily for link-rot; and a monthly enrichment cycle extracts financing structure (financing types, DFI participation, PPA terms) from primary documents — filling in, never guessing. Machine extraction is followed by validation rules and human review. Roughly 540 tracked projects still await publicly disclosed figures; that number is displayed openly in the platform's data-health reporting and shrinks with every cycle.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3. The Problem &amp; Market Context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Africa is home to roughly a fifth of the world's population but attracts only a low single-digit share of global energy investment. The IEA puts clean energy investment on the continent at almost US$40 billion in 2024, while 600 million people still lack electricity access and more than a billion lack clean cooking. Public and development finance — about US$20 billion in 2024 — has fallen by roughly a third over the last decade, and what capital does flow is heavily concentrated: South Africa and North Africa account for under 20% of the continent's population but more than 45% of its energy investment.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Closing that gap requires capital, and capital requires information. Yet the information layer for African energy is broken in a specific way: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Global aggregates without deal detail.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IEA and BloombergNEF publish authoritative continental and country totals, but a fund analyst cannot click from the total to the projects inside it.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Deal detail behind enterprise paywalls.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The specialist Africa deal databases are excellent and expensive — priced for oil majors and DFIs, not for the researcher in Lagos, the journalist in Nairobi, or the ministry officer in Lusaka.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Free portals stop at indicators.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Open resources publish electricity-access rates, tariffs, and policy news — valuable, but not a record of who is investing what, where.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result is an asymmetry: the actors with the most money have the best information, and the actors who most need to attract capital — African governments, local developers, regional researchers — negotiate in the dark. AfriEnergy Tracker's premise is that the disclosure layer of this market can and should be a public good.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9360"/>
      </w:tblGrid>
      <w:tr>
        <w:tc>
          <w:tcPr>
            <w:tcW w:type="dxa" w:w="9360"/>
            <w:tcBorders>
              <w:left w:val="single" w:color="10B981" w:sz="24"/>
            </w:tcBorders>
            <w:shd w:fill="F0FDF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65F46"/>
                <w:sz w:val="22"/>
                <w:szCs w:val="22"/>
              </w:rPr>
              <w:t xml:space="preserve">The gap in one line: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65F46"/>
                <w:sz w:val="22"/>
                <w:szCs w:val="22"/>
              </w:rPr>
              <w:t xml:space="preserve">everyone publishes Africa's energy totals; almost no one shows the receipts. AfriEnergy Tracker shows the receipts.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4. Audiences &amp; Use Cases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Six audiences matter for promotion, listed in priority order. For each: who they are, what they do on the platform, and the message that lands. The first three are the engine of credibility and reach; the last three broaden the base.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4.1 Investment &amp; development-finance professionals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Who: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DFI investment officers, infrastructure-fund analysts, project-finance bankers, IPP business developers.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Use cases: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screen a country's pipeline before a mission; check which competitors or co-investors are active in a market; verify a claimed deal value against its public source; track projects between announcement and financial close; benchmark sector allocations across regions.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Message that lands: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“The fastest source-linked answer to 'what is actually happening in [country/sector]' — conservative numbers you can put in a memo.”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4.2 Researchers &amp; analysts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Who: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think tanks, universities, energy-policy institutes, consultancies, climate-finance NGOs.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Use cases: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cite disclosed investment figures with a public methodology behind them; analyse pipeline composition by stage and climate classification; identify the financing entities behind a sector; export evidence for reports and grant applications.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Message that lands: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“Citable, auditable, free. Every figure traces to a source; the methodology is public; the limitations are documented.”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4.3 Journalists &amp; media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Who: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energy and business desks at pan-African and international outlets; newsletter authors; podcast hosts covering African markets.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Use cases: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fact-check a ministry's announcement in minutes; pull a country fact-base before an interview; find the story in the data (e.g. Solar has the most projects but Oil &amp; Gas has 2.7× its capital); quote a neutral, non-partisan tracker rather than an interested party.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Message that lands: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“A neutral reference desk for African energy — open to every newsroom, with a human who answers email.”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4.4 Policymakers &amp; public institutions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Who: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energy ministries, regulators, national utilities, regional power pools, AU/RECs staff.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Use cases: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see their country as investors see it; benchmark against neighbours; monitor whether announced projects progress to construction; ground investment-promotion claims in verifiable data.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Message that lands: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“Your country's investment record, in the same open ledger the investors read.”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4.5 Developers &amp; entrepreneurs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Who: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project developers, EPC firms, local energy companies, market-entry teams.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Use cases: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map competitors and potential partners in a target market; identify which DFIs and lenders are active in their sector; reference market size in pitch decks; submit their own projects for visibility via the Contribute page.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Message that lands: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“Get your project on the map the analysts are already reading.”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4.6 Students &amp; the energy-curious public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Who: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graduate students, early-career analysts, diaspora professionals, energy-transition advocates.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Use cases: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learn the market through exploration and the AI analyst; use the newsletter as a structured education; build career literacy in African energy finance.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Message that lands: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“The open classroom for African energy investment.”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5. Competitive Landscape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No platform is a direct competitor across all four dimensions that define AfriEnergy Tracker — deal-level, pan-African, open-access, methodology-transparent — but six shape the environment and the messaging.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2150"/>
        <w:gridCol w:w="2100"/>
        <w:gridCol w:w="1800"/>
        <w:gridCol w:w="1650"/>
        <w:gridCol w:w="1660"/>
      </w:tblGrid>
      <w:tr>
        <w:trPr>
          <w:tblHeader/>
        </w:trPr>
        <w:tc>
          <w:tcPr>
            <w:tcW w:type="dxa" w:w="215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210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offers</w:t>
            </w:r>
          </w:p>
        </w:tc>
        <w:tc>
          <w:tcPr>
            <w:tcW w:type="dxa" w:w="180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Deal-level?</w:t>
            </w:r>
          </w:p>
        </w:tc>
        <w:tc>
          <w:tcPr>
            <w:tcW w:type="dxa" w:w="165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Africa focus?</w:t>
            </w:r>
          </w:p>
        </w:tc>
        <w:tc>
          <w:tcPr>
            <w:tcW w:type="dxa" w:w="166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Free?</w:t>
            </w:r>
          </w:p>
        </w:tc>
      </w:tr>
      <w:tr>
        <w:tc>
          <w:tcPr>
            <w:tcW w:type="dxa" w:w="21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BloombergNEF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Premium global energy-transition research &amp; datasets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Partially (global)</w:t>
            </w:r>
          </w:p>
        </w:tc>
        <w:tc>
          <w:tcPr>
            <w:tcW w:type="dxa" w:w="1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Aggregate coverage</w:t>
            </w:r>
          </w:p>
        </w:tc>
        <w:tc>
          <w:tcPr>
            <w:tcW w:type="dxa" w:w="1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No — enterprise subscription</w:t>
            </w:r>
          </w:p>
        </w:tc>
      </w:tr>
      <w:tr>
        <w:tc>
          <w:tcPr>
            <w:tcW w:type="dxa" w:w="215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IEA</w:t>
            </w:r>
          </w:p>
        </w:tc>
        <w:tc>
          <w:tcPr>
            <w:tcW w:type="dxa" w:w="210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Authoritative annual investment flows &amp; analysis</w:t>
            </w:r>
          </w:p>
        </w:tc>
        <w:tc>
          <w:tcPr>
            <w:tcW w:type="dxa" w:w="180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No — country/region totals</w:t>
            </w:r>
          </w:p>
        </w:tc>
        <w:tc>
          <w:tcPr>
            <w:tcW w:type="dxa" w:w="165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Dedicated Africa reports</w:t>
            </w:r>
          </w:p>
        </w:tc>
        <w:tc>
          <w:tcPr>
            <w:tcW w:type="dxa" w:w="166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Reports free; data services mixed</w:t>
            </w:r>
          </w:p>
        </w:tc>
      </w:tr>
      <w:tr>
        <w:tc>
          <w:tcPr>
            <w:tcW w:type="dxa" w:w="21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African Energy (Cross-border Information)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Respected newsletter + live projects database since 1990s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Yes</w:t>
            </w:r>
          </w:p>
        </w:tc>
        <w:tc>
          <w:tcPr>
            <w:tcW w:type="dxa" w:w="1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Yes</w:t>
            </w:r>
          </w:p>
        </w:tc>
        <w:tc>
          <w:tcPr>
            <w:tcW w:type="dxa" w:w="1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No — paid subscription</w:t>
            </w:r>
          </w:p>
        </w:tc>
      </w:tr>
      <w:tr>
        <w:tc>
          <w:tcPr>
            <w:tcW w:type="dxa" w:w="215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Africa Energy Portal (AfDB)</w:t>
            </w:r>
          </w:p>
        </w:tc>
        <w:tc>
          <w:tcPr>
            <w:tcW w:type="dxa" w:w="210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Country indicators, news, developer &amp; utility directories</w:t>
            </w:r>
          </w:p>
        </w:tc>
        <w:tc>
          <w:tcPr>
            <w:tcW w:type="dxa" w:w="180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No — indicators &amp; directories</w:t>
            </w:r>
          </w:p>
        </w:tc>
        <w:tc>
          <w:tcPr>
            <w:tcW w:type="dxa" w:w="165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Yes</w:t>
            </w:r>
          </w:p>
        </w:tc>
        <w:tc>
          <w:tcPr>
            <w:tcW w:type="dxa" w:w="166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1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Global Energy Monitor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Open global asset inventories (plants, pipelines)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Asset-level, capacity-focused</w:t>
            </w:r>
          </w:p>
        </w:tc>
        <w:tc>
          <w:tcPr>
            <w:tcW w:type="dxa" w:w="1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Global scope</w:t>
            </w:r>
          </w:p>
        </w:tc>
        <w:tc>
          <w:tcPr>
            <w:tcW w:type="dxa" w:w="1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15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Ember</w:t>
            </w:r>
          </w:p>
        </w:tc>
        <w:tc>
          <w:tcPr>
            <w:tcW w:type="dxa" w:w="210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Open electricity generation &amp; emissions data</w:t>
            </w:r>
          </w:p>
        </w:tc>
        <w:tc>
          <w:tcPr>
            <w:tcW w:type="dxa" w:w="180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No — generation data</w:t>
            </w:r>
          </w:p>
        </w:tc>
        <w:tc>
          <w:tcPr>
            <w:tcW w:type="dxa" w:w="165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Global incl. Africa</w:t>
            </w:r>
          </w:p>
        </w:tc>
        <w:tc>
          <w:tcPr>
            <w:tcW w:type="dxa" w:w="166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5.1 What this means for positioning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Don't attack the incumbents — complete them.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IEA tells you the total; AfriEnergy Tracker shows the deals inside it. BNEF serves the terminal class; the tracker serves everyone else. This framing invites citation alongside the majors rather than dismissal as a challenger.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The honest comparison is African Energy.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It is the closest analogue in substance (deal-level, Africa-wide, editorially serious) and the sharpest contrast in access (paid vs free). The positioning line writes itself: what the paywalled services do for their subscribers, the tracker does for the public record.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Transparency is the moat the free portals lack.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Open portals exist, but none publish a disclosed-vs-estimated accounting rule, per-record source links, and a limitations section. Methodology is the differentiator to lead with against 'isn't this already free somewhere?'</w:t>
      </w:r>
    </w:p>
    <w:p>
      <w:pPr>
        <w:spacing w:after="160"/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6. Positioning &amp; Messaging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6.1 Positioning statement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9360"/>
      </w:tblGrid>
      <w:tr>
        <w:tc>
          <w:tcPr>
            <w:tcW w:type="dxa" w:w="9360"/>
            <w:tcBorders>
              <w:left w:val="single" w:color="10B981" w:sz="24"/>
            </w:tcBorders>
            <w:shd w:fill="F0FDF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65F46"/>
                <w:sz w:val="22"/>
                <w:szCs w:val="22"/>
              </w:rPr>
              <w:t xml:space="preserve">For anyone who needs to understand energy investment in Africa, AfriEnergy Tracker is the open intelligence platform that tracks every publicly disclosed deal across all 54 countries — unlike aggregate reports or enterprise databases, it is deal-level, source-linked, methodologically transparent, and free.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6.2 Messaging pillars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Radical disclosure.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Headline totals count only publicly disclosed values. Estimates are labelled and excluded. Cancelled projects don't count as investment. Proof points: the methodology page; 'est.' flags in the product; the public data-health reporting.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Deal-level, continent-wide.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3,277 projects, 54 countries, 11 sectors, 1,383 entities — from a continental headline to a single named project in three clicks. Proof points: live dashboard; Deal Tracker filters; per-record source links.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Open by principle.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The disclosure layer of Africa's energy market should be a public good, not a terminal subscription. Proof points: no paywall, no registration wall for core data, a public corrections channel that credits contributors.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Alive, not archival.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Automated collection on a published cadence, a bi-weekly editorial rhythm, and an AI analyst that answers from the same books as the dashboard. Proof points: newsletter franchise; update timestamps; scheduled scrape calendar.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6.3 Boilerplate (for press pages, bios, and partner blurbs)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25 words: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AfriEnergy Tracker is a free, open platform tracking publicly disclosed energy investment — US$141 billion across 3,277 projects in all 54 African countries.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50 words: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AfriEnergy Tracker is an open intelligence platform for African energy investment. It tracks 3,277 projects and US$141 billion in publicly disclosed deals across all 54 countries and eleven sectors, with every figure linked to its source and a published methodology. Built for analysts, investors, journalists, and policymakers.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334155"/>
          <w:sz w:val="22"/>
          <w:szCs w:val="22"/>
        </w:rPr>
        <w:t xml:space="preserve">100 words: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AfriEnergy Tracker is an open intelligence platform that aggregates and visualises publicly disclosed energy investment across Africa. It currently tracks 3,277 projects representing US$141 billion in disclosed value across all 54 countries, eleven sectors, and more than 1,370 developers and financing entities. Every headline figure counts only publicly disclosed transaction values — estimates are flagged and excluded, and every record links to its public source under a published methodology. The platform includes a live dashboard, a searchable deal tracker, an AI analyst grounded in the same accounting rules, and a bi-weekly newsletter. Access is free at afrienergytracker.io.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6.4 Voice &amp; tone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brand voice is the voice of the data work: precise, calm, source-first, and willing to publish smaller numbers than everyone else. Never breathless; never promotional adjectives without a figure attached. When the tracker is wrong, it says so publicly and credits the person who caught it — corrections are content, not embarrassments. House phrases worth repeating: “conservative by design”, “every dollar traces to a source”, “disclosure over hype”, “a cancelled plant is history, not capital.”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7. Channel &amp; Promotion Strategy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strategy is sequenced for a solo founder with limited budget: build on owned channels and data-led content first, convert credibility into earned media second, and pursue partnerships third. Everything ships on the rhythm the platform already has — the bi-weekly Monday newsletter is the metronome.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7.1 Owned channels (weeks 1–4 and ongoing)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Newsletter as flagship.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Insights (first Monday) and Brief (alternate Mondays) are the primary product of the communications program, not a supplement to it. Every edition should contain at least one chart or ranking that is screenshot-worthy — shareable units are how a 34-subscriber list becomes a 3,400-subscriber list.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LinkedIn as the founder's stage.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African energy finance professionals live on LinkedIn. Cadence: two posts per week — one data insight (a single striking figure with the chart), one build-in-public note (the credibility overhaul story, corrections policy, methodology decisions). Founder account first; company page as the archive.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X/Twitter for the news cycle.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Reactive fact-checks and rapid context when African energy deals make headlines: quote the announcement, add the tracker's source-linked record, link the country page. This is the cheapest earned-attention play available.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SEO as slow compounding.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Country and sector pages already answer high-intent queries ('solar investment Nigeria', 'Angola energy projects'). Ensure each has a crawlable summary sentence with the live figures; the bi-weekly editions create fresh crawlable content automatically.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7.2 Earned media (weeks 4–12)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The launch story is the credibility overhaul.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“This tracker deleted $43 trillion of phantom value from its own headline” is a better pitch than “new database launches.” Offer it as an exclusive angle to one tier-1 outlet before general release.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Target list by tier.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Tier 1: Semafor Africa, Rest of World, Bloomberg Green, African Business, The Africa Report. Tier 2: ESI Africa, Energy Capital &amp; Power, TechCabal, Business Day (NG/SA). Tier 3: energy newsletters and podcasts (e.g. The Flip, African Tech Roundup) where a founder interview carries the story.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Journalist product, not press release.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Build a standing 'For journalists' page: boilerplate, embeddable charts, a data request contact, and a promise of same-day fact-check help. Being useful to ten reporters beats being covered once.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7.3 Partnerships &amp; institutions (months 3–6)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Research citations.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Offer the dataset to three or four think tanks and university energy programs working on African energy finance; one citation in a widely-read report is worth months of posting.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Conference presence without conference budgets.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Time special editions to the industry calendar (Africa Energy Forum, African Energy Week, Mining Indaba's energy track) and publish the definitive pre-event data brief for each — organisers and attendees share what makes them look informed.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The Contribute flywheel.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Every approved public submission is credited; credited contributors become evangelists. Promote the corrections policy itself as proof of standards.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65F46"/>
          <w:sz w:val="26"/>
          <w:szCs w:val="26"/>
        </w:rPr>
        <w:t xml:space="preserve">7.4 Ninety-day action calendar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2300"/>
        <w:gridCol w:w="4200"/>
        <w:gridCol w:w="2860"/>
      </w:tblGrid>
      <w:tr>
        <w:trPr>
          <w:tblHeader/>
        </w:trPr>
        <w:tc>
          <w:tcPr>
            <w:tcW w:type="dxa" w:w="230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420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Actions</w:t>
            </w:r>
          </w:p>
        </w:tc>
        <w:tc>
          <w:tcPr>
            <w:tcW w:type="dxa" w:w="286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Success marker</w:t>
            </w:r>
          </w:p>
        </w:tc>
      </w:tr>
      <w:t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Days 1–30
Foundation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Publish 'For journalists' page; establish LinkedIn cadence; ship two newsletter editions on schedule; instrument analytics (subscriber growth, top pages, referrers).</w:t>
            </w:r>
          </w:p>
        </w:tc>
        <w:tc>
          <w:tcPr>
            <w:tcW w:type="dxa" w:w="2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Cadence held 4 consecutive weeks; baseline metrics recorded</w:t>
            </w:r>
          </w:p>
        </w:tc>
      </w:tr>
      <w:tr>
        <w:tc>
          <w:tcPr>
            <w:tcW w:type="dxa" w:w="230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Days 31–60
Launch story</w:t>
            </w:r>
          </w:p>
        </w:tc>
        <w:tc>
          <w:tcPr>
            <w:tcW w:type="dxa" w:w="420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Pitch the credibility-overhaul exclusive; general press outreach on publication; first reactive fact-check threads; submit tracker to data-resource directories and newsletters.</w:t>
            </w:r>
          </w:p>
        </w:tc>
        <w:tc>
          <w:tcPr>
            <w:tcW w:type="dxa" w:w="286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First tier-1/tier-2 coverage; first inbound journalist query</w:t>
            </w:r>
          </w:p>
        </w:tc>
      </w:tr>
      <w:t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0"/>
                <w:szCs w:val="20"/>
              </w:rPr>
              <w:t xml:space="preserve">Days 61–90
Compounding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First conference-timed special edition; two research-partnership conversations opened; guest appearance on one podcast/newsletter; review metrics and double down on the best channel.</w:t>
            </w:r>
          </w:p>
        </w:tc>
        <w:tc>
          <w:tcPr>
            <w:tcW w:type="dxa" w:w="28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500+ subscribers; first external citation of tracker data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8. Measurement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Track a small set of numbers with the same discipline the platform applies to deals. Vanity metrics (impressions, likes) inform tactics but never appear in the scorecard.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208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Baseline (Aug 2026)</w:t>
            </w:r>
          </w:p>
        </w:tc>
        <w:tc>
          <w:tcPr>
            <w:tcW w:type="dxa" w:w="208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90-day target</w:t>
            </w:r>
          </w:p>
        </w:tc>
        <w:tc>
          <w:tcPr>
            <w:tcW w:type="dxa" w:w="2080"/>
            <w:shd w:fill="0F172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12-month ambition</w:t>
            </w:r>
          </w:p>
        </w:tc>
      </w:tr>
      <w:tr>
        <w:tc>
          <w:tcPr>
            <w:tcW w:type="dxa" w:w="31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Newsletter subscribers</w:t>
            </w:r>
          </w:p>
        </w:tc>
        <w:tc>
          <w:tcPr>
            <w:tcW w:type="dxa" w:w="20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34</w:t>
            </w:r>
          </w:p>
        </w:tc>
        <w:tc>
          <w:tcPr>
            <w:tcW w:type="dxa" w:w="20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500</w:t>
            </w:r>
          </w:p>
        </w:tc>
        <w:tc>
          <w:tcPr>
            <w:tcW w:type="dxa" w:w="20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5,000</w:t>
            </w:r>
          </w:p>
        </w:tc>
      </w:tr>
      <w:tr>
        <w:tc>
          <w:tcPr>
            <w:tcW w:type="dxa" w:w="312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External citations (press, reports, academic)</w:t>
            </w:r>
          </w:p>
        </w:tc>
        <w:tc>
          <w:tcPr>
            <w:tcW w:type="dxa" w:w="20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0 recorded</w:t>
            </w:r>
          </w:p>
        </w:tc>
        <w:tc>
          <w:tcPr>
            <w:tcW w:type="dxa" w:w="20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3</w:t>
            </w:r>
          </w:p>
        </w:tc>
        <w:tc>
          <w:tcPr>
            <w:tcW w:type="dxa" w:w="20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1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Inbound journalist/data requests</w:t>
            </w:r>
          </w:p>
        </w:tc>
        <w:tc>
          <w:tcPr>
            <w:tcW w:type="dxa" w:w="20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0 recorded</w:t>
            </w:r>
          </w:p>
        </w:tc>
        <w:tc>
          <w:tcPr>
            <w:tcW w:type="dxa" w:w="20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5</w:t>
            </w:r>
          </w:p>
        </w:tc>
        <w:tc>
          <w:tcPr>
            <w:tcW w:type="dxa" w:w="20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Monthly occurrence</w:t>
            </w:r>
          </w:p>
        </w:tc>
      </w:tr>
      <w:tr>
        <w:tc>
          <w:tcPr>
            <w:tcW w:type="dxa" w:w="312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Approved public contributions</w:t>
            </w:r>
          </w:p>
        </w:tc>
        <w:tc>
          <w:tcPr>
            <w:tcW w:type="dxa" w:w="20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0</w:t>
            </w:r>
          </w:p>
        </w:tc>
        <w:tc>
          <w:tcPr>
            <w:tcW w:type="dxa" w:w="20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5</w:t>
            </w:r>
          </w:p>
        </w:tc>
        <w:tc>
          <w:tcPr>
            <w:tcW w:type="dxa" w:w="2080"/>
            <w:shd w:fill="F8FAF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1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Newsletter open rate</w:t>
            </w:r>
          </w:p>
        </w:tc>
        <w:tc>
          <w:tcPr>
            <w:tcW w:type="dxa" w:w="20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Establish baseline</w:t>
            </w:r>
          </w:p>
        </w:tc>
        <w:tc>
          <w:tcPr>
            <w:tcW w:type="dxa" w:w="20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&gt; 45%</w:t>
            </w:r>
          </w:p>
        </w:tc>
        <w:tc>
          <w:tcPr>
            <w:tcW w:type="dxa" w:w="20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&gt; 45% sustained at scale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9. Risks &amp; Watchouts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The numbers will be challenged — welcome it.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A public tracker invites 'your figure for X is wrong.' The corrections policy converts every challenge into either a public fix (credibility) or a defended figure (credibility). Respond fast, in public, without defensiveness.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Never let promotion outrun the data.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One inflated claim in a press quote can undo the disclosed-only discipline. All external figures come from the live dashboard on the day of quoting, with the 'disclosed' qualifier attached.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Oil &amp; Gas optics.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Fossil projects lead disclosed value; climate-focused audiences may read tracking as endorsement. The answer is the platform's own framing: it tracks disclosure, not preference, and every record carries a climate classification precisely so the transition can be measured honestly.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Solo-founder cadence risk. </w:t>
      </w: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The strategy's credibility rests on the bi-weekly rhythm holding. Automation carries the baseline; scope manual commitments (posts, pitches) to what one person sustains. A held small promise beats a missed big one.</w:t>
      </w:r>
    </w:p>
    <w:p>
      <w:pPr>
        <w:spacing w:after="160"/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10. Quick Reference — Fact Sheet</w:t>
      </w:r>
    </w:p>
    <w:p>
      <w:pPr>
        <w:spacing w:after="16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4155"/>
          <w:sz w:val="22"/>
          <w:szCs w:val="22"/>
        </w:rPr>
        <w:t xml:space="preserve">Copy-paste fact base for posts, pitches, and interviews. Refresh figures from the live dashboard before each use; these were verified 2 August 2026.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US$141.4 billion in publicly disclosed energy investment tracked across 3,277 projects in all 54 African countries.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11 sectors: Oil &amp; Gas $65.2B · Hydro $32.5B · Solar $24.7B · Wind $6.0B · Hydrogen $4.6B · Geothermal $3.4B · Coal $2.6B · Storage $1.1B · Grid $0.9B · Bioenergy $0.5B (Nuclear tracked, no disclosed value).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Pipeline: 608 announced · 10 at financial close · 610 in construction · 1,957 commissioned.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Regions by disclosed value: North $33.1B · West $31.4B · Central $27.6B · East $26.4B · Southern $22.9B.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Top countries: Angola $18.2B · Algeria $13.2B · Nigeria $12.4B · Libya $9.9B · Ethiopia $8.5B · South Africa $7.7B.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1,383 developers and financing entities; 1,871 projects classified as climate mitigation.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Accounting rule: headline totals count only publicly disclosed values; estimates flagged 'est.' and excluded; cancelled projects excluded.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Updates: government/multilateral and news sources on the 1st and 15th monthly; asset inventory monthly; financing enrichment monthly; newsletter every other Monday.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Access: free, no paywall — afrienergytracker.io. Corrections: via the Contribute page, two corroborating sources, contributors credited.</w:t>
      </w:r>
    </w:p>
    <w:sectPr>
      <w:footerReference w:type="default" r:id="rId7"/>
      <w:pgSz w:w="11906" w:h="16838" w:orient="portrait"/>
      <w:pgMar w:top="1300" w:right="1246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AfriEnergy Tracker — Communications &amp; Promotion Brief  ·  Page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2026-08-02T19:50:27.810Z</dcterms:created>
  <dcterms:modified xsi:type="dcterms:W3CDTF">2026-08-02T19:50:27.811Z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