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Reporting the Energy Transition</w:t>
      </w:r>
    </w:p>
    <w:p>
      <w:pPr>
        <w:pStyle w:val="Heading1"/>
      </w:pPr>
      <w:r>
        <w:t>Who owns the grid?</w:t>
      </w:r>
    </w:p>
    <w:p>
      <w:r>
        <w:t>Transmission in most African markets sits with a state utility. The question a reporter must ask is who carries the debt when a new line is financed.</w:t>
      </w:r>
    </w:p>
    <w:p>
      <w:pPr>
        <w:pStyle w:val="Heading1"/>
      </w:pPr>
      <w:r>
        <w:t>Three numbers</w:t>
      </w:r>
    </w:p>
    <w:p>
      <w:r>
        <w:t>Installed capacity, peak demand, and unserved energy. A minister quoting only the first is telling you a third of the story.</w:t>
      </w:r>
    </w:p>
    <w:p>
      <w:pPr>
        <w:pStyle w:val="Heading1"/>
      </w:pPr>
      <w:r>
        <w:t>Who to call first</w:t>
      </w:r>
    </w:p>
    <w:p>
      <w:r>
        <w:t>The regulator publishes licence conditions, and they are public. Read them before the interview rather than after it, because the useful question is never whether a promise was made but whether it was a condition of the licence.</w:t>
      </w:r>
    </w:p>
    <w:p>
      <w:r>
        <w:t xml:space="preserve">A sentence split </w:t>
      </w:r>
      <w:r>
        <w:rPr>
          <w:b/>
        </w:rPr>
        <w:t>across</w:t>
      </w:r>
      <w:r>
        <w:t xml:space="preserve"> three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