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primer trimestre de 2023.</w:t>
      </w:r>
    </w:p>
    <w:p>
      <w:pPr>
        <w:pStyle w:val="ListBullet"/>
        <w:jc w:val="both"/>
      </w:pPr>
      <w:r>
        <w:t>***Este texto esta dentro de Principales_sucesos, pueden añadir los sucesos que quieran de ser necesario en ese archivo***</w:t>
      </w:r>
    </w:p>
    <w:p>
      <w:pPr>
        <w:pStyle w:val="ListBullet"/>
        <w:jc w:val="both"/>
      </w:pPr>
      <w:r>
        <w:t>En el STN a partir de marzo del 2023, se inició la anualidad número 10 utilizada para calcular la remuneración del proyecto Variante Guatapé (Variante Guatapé) conforme a lo establecido en la Res. CREG 147/01</w:t>
      </w:r>
    </w:p>
    <w:p>
      <w:pPr>
        <w:pStyle w:val="ListBullet"/>
        <w:jc w:val="both"/>
      </w:pPr>
      <w:r>
        <w:t>En el STN a partir de marzo del 2023, se inició la anualidad número 6 utilizada para calcular la remuneración del proyecto UPME 05-2012 (Segunda línea Bolívar - Cartagena 220 kV) conforme a lo establecido en la Resolución CREG-115/14 (UPME05/12)</w:t>
      </w:r>
    </w:p>
    <w:p>
      <w:pPr>
        <w:pStyle w:val="ListBullet"/>
        <w:jc w:val="both"/>
      </w:pPr>
      <w:r>
        <w:t>En el STN a partir de marzo del 2023, se inició la anualidad número 4 utilizada para calcular la remuneración del proyecto UPME 03-2017 (Subestación Valledupar 220 kV) conforme a lo establecido en la Resolución CREG 137/2017 (UPME 03/17)</w:t>
      </w:r>
    </w:p>
    <w:p>
      <w:pPr>
        <w:pStyle w:val="ListBullet"/>
        <w:jc w:val="both"/>
      </w:pPr>
      <w:r>
        <w:t>En el STR a partir de marzo del 2023, se inició la anualidad número 4 utilizada para calcular la remuneración del proyecto UPME STR 04 - 2017 (Diseño, construcción, operación y mantenimiento del tercer transformador 220/34,5 kV, 60 MVA, en la subestación Valledupar.) conforme a lo establecido en la Resolución CREG 150-2017</w:t>
      </w:r>
    </w:p>
    <w:p>
      <w:pPr>
        <w:pStyle w:val="ListBullet"/>
        <w:jc w:val="both"/>
      </w:pPr>
      <w:r>
        <w:t>En el STR a partir de marzo del 2023, se inició la anualidad número 4 utilizada para calcular la remuneración del proyecto UPME STR 11 - 2015 (Nueva subestación Norte 110 kV y obras asociadas (Atlántico 4)) conforme a lo establecido en la Resolución CREG 003-2016</w:t>
      </w:r>
    </w:p>
    <w:p>
      <w:pPr>
        <w:pStyle w:val="ListBullet"/>
        <w:jc w:val="both"/>
      </w:pPr>
      <w:r>
        <w:t>En el STN a partir de marzo del 2023, se inició la anualidad número 6 utilizada para calcular la remuneración del proyecto UPME 06-2015 (Diseño, Suministro, construcción, Operación y mantenimiento de un Transformador 220/110kV de 100 MVA en la S/E Valledupar) conforme a lo establecido en la Resolucion CREG-201/2015</w:t>
      </w:r>
    </w:p>
    <w:p>
      <w:pPr>
        <w:pStyle w:val="ListBullet"/>
        <w:jc w:val="both"/>
      </w:pPr>
      <w:r>
        <w:t>En el STR a partir de febrero del 2023, se inició la anualidad número 4 utilizada para calcular la remuneración del proyecto UPME STR 16 - 2015 (Subestacion Caracoli 110 kV y obras asociadas Proyecto Caracolí 110 kV - Obras del Sistema de Transmisión Regional de Atlántico (Atlántico 3)) conforme a lo establecido en la Resolución CREG 019-2016</w:t>
      </w:r>
    </w:p>
    <w:p>
      <w:pPr>
        <w:pStyle w:val="ListBullet"/>
        <w:jc w:val="both"/>
      </w:pPr>
      <w:r>
        <w:t>En el STR a partir de enero del 2023, se inició la anualidad número 4 utilizada para calcular la remuneración del proyecto UPME STR 17 - 2015 (Subestación Cereté 110 kV y Líneas de Transmisión asociadas) conforme a lo establecido en la Resolución CREG 005-2016</w:t>
      </w:r>
    </w:p>
    <w:p>
      <w:pPr>
        <w:pStyle w:val="ListBullet"/>
        <w:jc w:val="both"/>
      </w:pPr>
      <w:r>
        <w:t>En el STN a partir de enero del 2023, se inició la anualidad número 6 utilizada para calcular la remuneración del proyecto UPME 01-2015 (Ampliación Subestación Cuestecitas 220/110kV, Rioacha 110kV y Maicao 110kV) conforme a lo establecido en la Resolución CREG-136/2015</w:t>
      </w:r>
    </w:p>
    <w:p>
      <w:pPr>
        <w:pStyle w:val="ListBullet"/>
        <w:jc w:val="both"/>
      </w:pPr>
      <w:r>
        <w:t>En el STR a partir de enero del 2023, se inició la anualidad número 5 utilizada para calcular la remuneración del proyecto UPME STR 07 - 2014 (Dos transformadores 220/110 kV, de 100 MVA en la subestación Río Córdoba) conforme a lo establecido en la Resolución CREG 083-2015</w:t>
      </w:r>
    </w:p>
    <w:p>
      <w:r>
        <w:rPr>
          <w:b/>
          <w:sz w:val="24"/>
        </w:rPr>
        <w:t>Indicadores económicos</w:t>
      </w:r>
    </w:p>
    <w:p>
      <w:r>
        <w:drawing>
          <wp:inline xmlns:a="http://schemas.openxmlformats.org/drawingml/2006/main" xmlns:pic="http://schemas.openxmlformats.org/drawingml/2006/picture">
            <wp:extent cx="5943600" cy="2228850"/>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228850"/>
                    </a:xfrm>
                    <a:prstGeom prst="rect"/>
                  </pic:spPr>
                </pic:pic>
              </a:graphicData>
            </a:graphic>
          </wp:inline>
        </w:drawing>
      </w:r>
    </w:p>
    <w:p>
      <w:pPr>
        <w:jc w:val="center"/>
      </w:pPr>
      <w:r>
        <w:rPr>
          <w:i/>
        </w:rPr>
        <w:t>Grafica 1, Indicadores económicos para el primer trimestre de 2023.</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852160" cy="4389120"/>
                    </a:xfrm>
                    <a:prstGeom prst="rect"/>
                  </pic:spPr>
                </pic:pic>
              </a:graphicData>
            </a:graphic>
          </wp:inline>
        </w:drawing>
      </w:r>
    </w:p>
    <w:p>
      <w:pPr>
        <w:jc w:val="center"/>
      </w:pPr>
      <w:r>
        <w:rPr>
          <w:i/>
        </w:rPr>
        <w:t>Grafica 2, Evolución de cargo T para el primer trimestre de 2023.</w:t>
      </w:r>
    </w:p>
    <w:p>
      <w:pPr>
        <w:jc w:val="both"/>
      </w:pPr>
      <w:r>
        <w:t>Variaciones en los cargos por uso del STN:</w:t>
      </w:r>
    </w:p>
    <w:p>
      <w:pPr>
        <w:pStyle w:val="ListBullet"/>
        <w:jc w:val="both"/>
      </w:pPr>
      <w:r>
        <w:t>En enero los cargos en el STN aumentaron principalemtne debido a XXXXXXX</w:t>
      </w:r>
    </w:p>
    <w:p>
      <w:pPr>
        <w:pStyle w:val="ListBullet"/>
        <w:jc w:val="both"/>
      </w:pPr>
      <w:r>
        <w:t>En febrero los cargos en el STN aumentaron principalemtne debido a XXXXXXX</w:t>
      </w:r>
    </w:p>
    <w:p>
      <w:pPr>
        <w:pStyle w:val="ListBullet"/>
        <w:jc w:val="both"/>
      </w:pPr>
      <w:r>
        <w:t>En marzo los cargos en el STN disminuyeron principalemtne debido a XXXXXXX</w:t>
      </w:r>
    </w:p>
    <w:p>
      <w:pPr>
        <w:jc w:val="both"/>
      </w:pPr>
      <w:r>
        <w:t>El valor de las contribuciones FAER, PRONE y FOES se presentan en la Gráfica 3</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4572000" cy="4572000"/>
                    </a:xfrm>
                    <a:prstGeom prst="rect"/>
                  </pic:spPr>
                </pic:pic>
              </a:graphicData>
            </a:graphic>
          </wp:inline>
        </w:drawing>
      </w:r>
    </w:p>
    <w:p>
      <w:pPr>
        <w:jc w:val="center"/>
      </w:pPr>
      <w:r>
        <w:rPr>
          <w:i/>
        </w:rPr>
        <w:t>Grafica 3, Evolución de Ingresos por Contribuciones para el primer trimestre de 2023.</w:t>
      </w:r>
    </w:p>
    <w:p>
      <w:pPr>
        <w:pStyle w:val="ListBullet"/>
        <w:jc w:val="both"/>
      </w:pPr>
      <w:r>
        <w:t>En enero las contribuciones en el STN aumentaron principalemtne debido a XXXXXXX</w:t>
      </w:r>
    </w:p>
    <w:p>
      <w:pPr>
        <w:pStyle w:val="ListBullet"/>
        <w:jc w:val="both"/>
      </w:pPr>
      <w:r>
        <w:t>En febrero las contribuciones en el STN disminuyeron principalemtne debido a XXXXXXX</w:t>
      </w:r>
    </w:p>
    <w:p>
      <w:pPr>
        <w:pStyle w:val="ListBullet"/>
        <w:jc w:val="both"/>
      </w:pPr>
      <w:r>
        <w:t>En marzo las contribuciones en el STN aumentaron principalemtne debido a XXXXXXX</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4572000" cy="4572000"/>
                    </a:xfrm>
                    <a:prstGeom prst="rect"/>
                  </pic:spPr>
                </pic:pic>
              </a:graphicData>
            </a:graphic>
          </wp:inline>
        </w:drawing>
      </w:r>
    </w:p>
    <w:p>
      <w:pPr>
        <w:jc w:val="center"/>
      </w:pPr>
      <w:r>
        <w:rPr>
          <w:i/>
        </w:rPr>
        <w:t>Grafica 4, Evolución de Ingreso NETO Transmisores Nacionales.</w:t>
      </w:r>
    </w:p>
    <w:p>
      <w:pPr>
        <w:pStyle w:val="ListBullet"/>
        <w:jc w:val="both"/>
      </w:pPr>
      <w:r>
        <w:t>En enero los ingresos en el STN disminuyeron principalemtne debido a XXXXXXX</w:t>
      </w:r>
    </w:p>
    <w:p>
      <w:pPr>
        <w:pStyle w:val="ListBullet"/>
        <w:jc w:val="both"/>
      </w:pPr>
      <w:r>
        <w:t>En febrero los ingresos en el STN aumentaron principalemtne debido a XXXXXXX</w:t>
      </w:r>
    </w:p>
    <w:p>
      <w:pPr>
        <w:pStyle w:val="ListBullet"/>
        <w:jc w:val="both"/>
      </w:pPr>
      <w:r>
        <w:t>En marzo los ingresos en el STN disminuyeron principalemtne debido a XXXXXXX</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4572000" cy="45720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deenero, febrero y marzo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marzo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852160" cy="438912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852160" cy="4389120"/>
                    </a:xfrm>
                    <a:prstGeom prst="rect"/>
                  </pic:spPr>
                </pic:pic>
              </a:graphicData>
            </a:graphic>
          </wp:inline>
        </w:drawing>
      </w:r>
    </w:p>
    <w:p>
      <w:pPr>
        <w:jc w:val="center"/>
      </w:pPr>
      <w:r>
        <w:rPr>
          <w:i/>
        </w:rPr>
        <w:t>Fig 6, Evolución de cargos en el STR para el primer trimestre de 2023.</w:t>
      </w:r>
    </w:p>
    <w:p>
      <w:pPr>
        <w:jc w:val="both"/>
      </w:pPr>
      <w:r>
        <w:t>Según lo observado en la Gráfica 7, los mayores ingresos a recibir por los Operadores de Red para el STR Norte y Centro Sur se presentan en el mes demarzo.</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4572000" cy="45720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4572000" cy="4572000"/>
                    </a:xfrm>
                    <a:prstGeom prst="rect"/>
                  </pic:spPr>
                </pic:pic>
              </a:graphicData>
            </a:graphic>
          </wp:inline>
        </w:drawing>
      </w:r>
    </w:p>
    <w:p>
      <w:pPr>
        <w:jc w:val="center"/>
      </w:pPr>
      <w:r>
        <w:rPr>
          <w:i/>
        </w:rPr>
        <w:t>Fig 7, Evolución de Ingresos a recibir por los OR para el primer trimestre de 2023.</w:t>
      </w:r>
    </w:p>
    <w:p>
      <w:r>
        <w:drawing>
          <wp:inline xmlns:a="http://schemas.openxmlformats.org/drawingml/2006/main" xmlns:pic="http://schemas.openxmlformats.org/drawingml/2006/picture">
            <wp:extent cx="4572000" cy="45720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4572000" cy="45720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enero, febrero y marzo de 2023, se publicaron las liquidaciones ADD correspondientes a los meses de diciembre de 2022, enero de 2023 y febrero de 2023 respectivamente.</w:t>
      </w:r>
    </w:p>
    <w:p>
      <w:pPr>
        <w:jc w:val="both"/>
      </w:pPr>
      <w:r>
        <w:t>En la gráfica 8, la gráfica 9, la gráfica 10 y la gráfica 11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943600" cy="5486400"/>
            <wp:docPr id="9" name="Picture 9"/>
            <wp:cNvGraphicFramePr>
              <a:graphicFrameLocks noChangeAspect="1"/>
            </wp:cNvGraphicFramePr>
            <a:graphic>
              <a:graphicData uri="http://schemas.openxmlformats.org/drawingml/2006/picture">
                <pic:pic>
                  <pic:nvPicPr>
                    <pic:cNvPr id="0" name="ADD_Oriente.png"/>
                    <pic:cNvPicPr/>
                  </pic:nvPicPr>
                  <pic:blipFill>
                    <a:blip r:embed="rId17"/>
                    <a:stretch>
                      <a:fillRect/>
                    </a:stretch>
                  </pic:blipFill>
                  <pic:spPr>
                    <a:xfrm>
                      <a:off x="0" y="0"/>
                      <a:ext cx="5943600" cy="5486400"/>
                    </a:xfrm>
                    <a:prstGeom prst="rect"/>
                  </pic:spPr>
                </pic:pic>
              </a:graphicData>
            </a:graphic>
          </wp:inline>
        </w:drawing>
      </w:r>
    </w:p>
    <w:p>
      <w:pPr>
        <w:jc w:val="center"/>
      </w:pPr>
      <w:r>
        <w:rPr>
          <w:i/>
        </w:rPr>
        <w:t>Fig 8, Ingreos ADD Oriente</w:t>
      </w:r>
    </w:p>
    <w:p>
      <w:r>
        <w:drawing>
          <wp:inline xmlns:a="http://schemas.openxmlformats.org/drawingml/2006/main" xmlns:pic="http://schemas.openxmlformats.org/drawingml/2006/picture">
            <wp:extent cx="5943600" cy="5486400"/>
            <wp:docPr id="10" name="Picture 10"/>
            <wp:cNvGraphicFramePr>
              <a:graphicFrameLocks noChangeAspect="1"/>
            </wp:cNvGraphicFramePr>
            <a:graphic>
              <a:graphicData uri="http://schemas.openxmlformats.org/drawingml/2006/picture">
                <pic:pic>
                  <pic:nvPicPr>
                    <pic:cNvPr id="0" name="ADD_Occidente.png"/>
                    <pic:cNvPicPr/>
                  </pic:nvPicPr>
                  <pic:blipFill>
                    <a:blip r:embed="rId18"/>
                    <a:stretch>
                      <a:fillRect/>
                    </a:stretch>
                  </pic:blipFill>
                  <pic:spPr>
                    <a:xfrm>
                      <a:off x="0" y="0"/>
                      <a:ext cx="5943600" cy="5486400"/>
                    </a:xfrm>
                    <a:prstGeom prst="rect"/>
                  </pic:spPr>
                </pic:pic>
              </a:graphicData>
            </a:graphic>
          </wp:inline>
        </w:drawing>
      </w:r>
    </w:p>
    <w:p>
      <w:pPr>
        <w:jc w:val="center"/>
      </w:pPr>
      <w:r>
        <w:rPr>
          <w:i/>
        </w:rPr>
        <w:t>Fig 9, Ingreos ADD Occidente</w:t>
      </w:r>
    </w:p>
    <w:p>
      <w:r>
        <w:drawing>
          <wp:inline xmlns:a="http://schemas.openxmlformats.org/drawingml/2006/main" xmlns:pic="http://schemas.openxmlformats.org/drawingml/2006/picture">
            <wp:extent cx="5943600" cy="5486400"/>
            <wp:docPr id="11" name="Picture 11"/>
            <wp:cNvGraphicFramePr>
              <a:graphicFrameLocks noChangeAspect="1"/>
            </wp:cNvGraphicFramePr>
            <a:graphic>
              <a:graphicData uri="http://schemas.openxmlformats.org/drawingml/2006/picture">
                <pic:pic>
                  <pic:nvPicPr>
                    <pic:cNvPr id="0" name="ADD_Centro.png"/>
                    <pic:cNvPicPr/>
                  </pic:nvPicPr>
                  <pic:blipFill>
                    <a:blip r:embed="rId19"/>
                    <a:stretch>
                      <a:fillRect/>
                    </a:stretch>
                  </pic:blipFill>
                  <pic:spPr>
                    <a:xfrm>
                      <a:off x="0" y="0"/>
                      <a:ext cx="5943600" cy="5486400"/>
                    </a:xfrm>
                    <a:prstGeom prst="rect"/>
                  </pic:spPr>
                </pic:pic>
              </a:graphicData>
            </a:graphic>
          </wp:inline>
        </w:drawing>
      </w:r>
    </w:p>
    <w:p>
      <w:pPr>
        <w:jc w:val="center"/>
      </w:pPr>
      <w:r>
        <w:rPr>
          <w:i/>
        </w:rPr>
        <w:t>Fig 10, Ingreos ADD Centro</w:t>
      </w:r>
    </w:p>
    <w:p>
      <w:r>
        <w:drawing>
          <wp:inline xmlns:a="http://schemas.openxmlformats.org/drawingml/2006/main" xmlns:pic="http://schemas.openxmlformats.org/drawingml/2006/picture">
            <wp:extent cx="5943600" cy="5486400"/>
            <wp:docPr id="12" name="Picture 12"/>
            <wp:cNvGraphicFramePr>
              <a:graphicFrameLocks noChangeAspect="1"/>
            </wp:cNvGraphicFramePr>
            <a:graphic>
              <a:graphicData uri="http://schemas.openxmlformats.org/drawingml/2006/picture">
                <pic:pic>
                  <pic:nvPicPr>
                    <pic:cNvPr id="0" name="ADD_Sur.png"/>
                    <pic:cNvPicPr/>
                  </pic:nvPicPr>
                  <pic:blipFill>
                    <a:blip r:embed="rId20"/>
                    <a:stretch>
                      <a:fillRect/>
                    </a:stretch>
                  </pic:blipFill>
                  <pic:spPr>
                    <a:xfrm>
                      <a:off x="0" y="0"/>
                      <a:ext cx="5943600" cy="5486400"/>
                    </a:xfrm>
                    <a:prstGeom prst="rect"/>
                  </pic:spPr>
                </pic:pic>
              </a:graphicData>
            </a:graphic>
          </wp:inline>
        </w:drawing>
      </w:r>
    </w:p>
    <w:p>
      <w:pPr>
        <w:jc w:val="center"/>
      </w:pPr>
      <w:r>
        <w:rPr>
          <w:i/>
        </w:rPr>
        <w:t>Fig 11, Ingreos ADD Sur</w:t>
      </w:r>
    </w:p>
    <w:p>
      <w:r>
        <w:rPr>
          <w:b/>
          <w:sz w:val="24"/>
        </w:rPr>
        <w:t>Cargo y Liquidación CPROG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