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cuarto trimestre de 2022.</w:t>
      </w:r>
    </w:p>
    <w:p>
      <w:pPr>
        <w:pStyle w:val="ListBullet"/>
        <w:jc w:val="both"/>
      </w:pPr>
      <w:r>
        <w:t>***Este texto esta dentro de Principales_sucesos, pueden añadir los sucesos que quieran de ser necesario en ese archivo***</w:t>
      </w:r>
    </w:p>
    <w:p>
      <w:pPr>
        <w:pStyle w:val="ListBullet"/>
        <w:jc w:val="both"/>
      </w:pPr>
      <w:r>
        <w:t>En el STN a partir de diciembre del 2022, se inició la anualidad número 5 utilizada para calcular la remuneración del proyecto UPME 08-2016 (Bahia de transformación Subestación La Sierra 230 kV) conforme a lo establecido en la Resolución CREG 234-2016</w:t>
      </w:r>
    </w:p>
    <w:p>
      <w:pPr>
        <w:pStyle w:val="ListBullet"/>
        <w:jc w:val="both"/>
      </w:pPr>
      <w:r>
        <w:t>En el STN a partir de diciembre del 2022, se inició la anualidad número 6 utilizada para calcular la remuneración del proyecto UPME 04-2015 (Compensación de las Subestaciones El carmen 66kV, El banco 110kV y Monteria 110kV) conforme a lo establecido en la Resolución CREG-215/2015</w:t>
      </w:r>
    </w:p>
    <w:p>
      <w:pPr>
        <w:pStyle w:val="ListBullet"/>
        <w:jc w:val="both"/>
      </w:pPr>
      <w:r>
        <w:t>En el STN a partir de diciembre del 2022, se inició la anualidad número 4 utilizada para calcular la remuneración del proyecto UPME 01-2017 (Bahia Subestación El Bosque 220 kV) conforme a lo establecido en la Resolución CREG-116/17 (UPME 01/17)</w:t>
      </w:r>
    </w:p>
    <w:p>
      <w:pPr>
        <w:pStyle w:val="ListBullet"/>
        <w:jc w:val="both"/>
      </w:pPr>
      <w:r>
        <w:t>En el STR a partir de diciembre del 2022, se inició la anualidad número 3 utilizada para calcular la remuneración del proyecto UPME STR 02 - 2017 (Diseño, suministro, construcción, operación y mantenimiento del tercer transformador 220/66 kV, 150 MVA en la subestación El Bosque) conforme a lo establecido en la Resolución CREG 139-2017</w:t>
      </w:r>
    </w:p>
    <w:p>
      <w:pPr>
        <w:pStyle w:val="ListBullet"/>
        <w:jc w:val="both"/>
      </w:pPr>
      <w:r>
        <w:t>En el STN a partir de diciembre del 2022, se inició la anualidad número 1 utilizada para calcular la remuneración del proyecto UPME 04-2018 (Subestación San Juan 220 kV y Líneas asociadas) conforme a lo establecido en la Resolución CREG 013 de 2019</w:t>
      </w:r>
    </w:p>
    <w:p>
      <w:pPr>
        <w:pStyle w:val="ListBullet"/>
        <w:jc w:val="both"/>
      </w:pPr>
      <w:r>
        <w:t>En el STN a partir de diciembre del 2022, se inició la anualidad número 16 utilizada para calcular la remuneración del proyecto UPME 01-2003 (Primavera - Bacatá 500 kV) conforme a lo establecido en la Resolución CREG-04/07 (UPME01/03)</w:t>
      </w:r>
    </w:p>
    <w:p>
      <w:pPr>
        <w:pStyle w:val="ListBullet"/>
        <w:jc w:val="both"/>
      </w:pPr>
      <w:r>
        <w:t>En el STN a partir de noviembre del 2022, se inició la anualidad número 6 utilizada para calcular la remuneración del proyecto UPME 04-2013 (Subestación Guayabal 230 kV y las líneas de transmisión asociadas) conforme a lo establecido en la Resolución CREG-099/14 (UPME04/13)</w:t>
      </w:r>
    </w:p>
    <w:p>
      <w:pPr>
        <w:pStyle w:val="ListBullet"/>
        <w:jc w:val="both"/>
      </w:pPr>
      <w:r>
        <w:t>En el STN a partir de noviembre del 2022, se inició la anualidad número 6 utilizada para calcular la remuneración del proyecto UPME 07-2013 (Subestación Montería 230 kV y las líneas asociadas) conforme a lo establecido en la Resolución CREG-137/14 (UPME07/13)</w:t>
      </w:r>
    </w:p>
    <w:p>
      <w:pPr>
        <w:pStyle w:val="ListBullet"/>
        <w:jc w:val="both"/>
      </w:pPr>
      <w:r>
        <w:t>En el STN a partir de noviembre del 2022, se inició la anualidad número 7 utilizada para calcular la remuneración del proyecto UPME 02-2014 (Subestación La Reforma al circuito Guavio - Tunal 230 kV) conforme a lo establecido en la Resolución CREG-116/14 (UPME02/14)</w:t>
      </w:r>
    </w:p>
    <w:p>
      <w:pPr>
        <w:pStyle w:val="ListBullet"/>
        <w:jc w:val="both"/>
      </w:pPr>
      <w:r>
        <w:t>En el STN a partir de noviembre del 2022, se inició la anualidad número 6 utilizada para calcular la remuneración del proyecto UPME 06-2014 (Subestación Río Córdoba 220kV y líneas asociadas) conforme a lo establecido en la Resolución CREG 181-2014 (UPME 06/14)</w:t>
      </w:r>
    </w:p>
    <w:p>
      <w:pPr>
        <w:pStyle w:val="ListBullet"/>
        <w:jc w:val="both"/>
      </w:pPr>
      <w:r>
        <w:t>En el STN a partir de noviembre del 2022, se inició la anualidad número 6 utilizada para calcular la remuneración del proyecto UPME 06-2013 (Subestación Caracolí 230 kV y las líneas asociadas) conforme a lo establecido en la Resolución CREG 146-2014 (UPME 06/13)</w:t>
      </w:r>
    </w:p>
    <w:p>
      <w:pPr>
        <w:pStyle w:val="ListBullet"/>
        <w:jc w:val="both"/>
      </w:pPr>
      <w:r>
        <w:t>En el STN a partir de noviembre del 2022, se inició la anualidad número 7 utilizada para calcular la remuneración del proyecto UPME 02-2013 (Transformador de 500/220 kV en la subestación Copey) conforme a lo establecido en la Resolución CREG 005/14  (UPME 02/13)</w:t>
      </w:r>
    </w:p>
    <w:p>
      <w:pPr>
        <w:pStyle w:val="ListBullet"/>
        <w:jc w:val="both"/>
      </w:pPr>
      <w:r>
        <w:t>En el STN a partir de noviembre del 2022, se inició la anualidad número 9 utilizada para calcular la remuneración del proyecto UPME 02-2009 (Subestación Armenia 230 kV y las líneas de transmisión asociadas) conforme a lo establecido en la Resolución CREG-032/12  (UPME02/09)</w:t>
      </w:r>
    </w:p>
    <w:p>
      <w:pPr>
        <w:pStyle w:val="ListBullet"/>
        <w:jc w:val="both"/>
      </w:pPr>
      <w:r>
        <w:t>En el STN a partir de noviembre del 2022, se inició la anualidad número 9 utilizada para calcular la remuneración del proyecto UPME 01-2010 (Subestación Alférez 230 kV y las líneas de transmisión asociadas) conforme a lo establecido en la Resolución CREG 033/12 - CREG 180/13 (UPME 01/10)</w:t>
      </w:r>
    </w:p>
    <w:p>
      <w:pPr>
        <w:pStyle w:val="ListBullet"/>
        <w:jc w:val="both"/>
      </w:pPr>
      <w:r>
        <w:t>En el STN a partir de noviembre del 2022, se inició la anualidad número 2 utilizada para calcular la remuneración del proyecto UPME 09-2016 (Segundo refuerzo de las líneas de transmisión Copey - Cuestecitas 500 kV y Copey - Fundación 220 kV) conforme a lo establecido en la 138/2017</w:t>
      </w:r>
    </w:p>
    <w:p>
      <w:pPr>
        <w:pStyle w:val="ListBullet"/>
        <w:jc w:val="both"/>
      </w:pPr>
      <w:r>
        <w:t>En el STN a partir de noviembre del 2022, se inició la anualidad número 1 utilizada para calcular la remuneración del proyecto UPME 07-2016 (Línea La Virginia - Nueva Esperanza 500 kV) conforme a lo establecido en la Resolución CREG 262 de 2016 - Resolución CREG 015 de 2017</w:t>
      </w:r>
    </w:p>
    <w:p>
      <w:pPr>
        <w:pStyle w:val="ListBullet"/>
        <w:jc w:val="both"/>
      </w:pPr>
      <w:r>
        <w:t>En el STR a partir de noviembre del 2022, se inició la anualidad número 5 utilizada para calcular la remuneración del proyecto UPME STR 07 - 2015 (Segundo transformador 220/66 kV, convertible a 220/110 kV, de 150 MVA en la subestación El Bosque) conforme a lo establecido en la Resolución CREG 202/2015</w:t>
      </w:r>
    </w:p>
    <w:p>
      <w:pPr>
        <w:pStyle w:val="ListBullet"/>
        <w:jc w:val="both"/>
      </w:pPr>
      <w:r>
        <w:t>En el STN a partir de noviembre del 2022, se inició la anualidad número 5 utilizada para calcular la remuneración del proyecto UPME 05-2015  (Subestación Palenque 230 kV) conforme a lo establecido en la Resolución CREG 224-2015</w:t>
      </w:r>
    </w:p>
    <w:p>
      <w:pPr>
        <w:pStyle w:val="ListBullet"/>
        <w:jc w:val="both"/>
      </w:pPr>
      <w:r>
        <w:t xml:space="preserve">En el STN a partir de noviembre del 2022, se inició la anualidad número 5 utilizada para calcular la remuneración del proyecto UPME 05-2016 (Conexión de la Subestación Enea 230 kV al circuito San Felipe - La Esmeralda 230 kV) conforme a lo establecido en la Resolución CREG 132-2016 </w:t>
      </w:r>
    </w:p>
    <w:p>
      <w:pPr>
        <w:pStyle w:val="ListBullet"/>
        <w:jc w:val="both"/>
      </w:pPr>
      <w:r>
        <w:t>En el STN a partir de noviembre del 2022, se inició la anualidad número 6 utilizada para calcular la remuneración del proyecto UPME 05-2013 (Subestación Suria 230 kV) conforme a lo establecido en la Resolución CREG 025 de 2015</w:t>
      </w:r>
    </w:p>
    <w:p>
      <w:pPr>
        <w:pStyle w:val="ListBullet"/>
        <w:jc w:val="both"/>
      </w:pPr>
      <w:r>
        <w:t>En el STN a partir de noviembre del 2022, se inició la anualidad número 6 utilizada para calcular la remuneración del proyecto UPME 09-2015 (Subestación Cartago 230kV) conforme a lo establecido en la Resolución CREG 235-2015 (UPME 09/2015)</w:t>
      </w:r>
    </w:p>
    <w:p>
      <w:pPr>
        <w:pStyle w:val="ListBullet"/>
        <w:jc w:val="both"/>
      </w:pPr>
      <w:r>
        <w:t>En el STN a partir de noviembre del 2022, se inició la anualidad número 6 utilizada para calcular la remuneración del proyecto UPME 01-2014 (Subestación La Loma y las líneas asociadas) conforme a lo establecido en la Resolución CREG 084/15 (UPME 01/14)</w:t>
      </w:r>
    </w:p>
    <w:p>
      <w:pPr>
        <w:pStyle w:val="ListBullet"/>
        <w:jc w:val="both"/>
      </w:pPr>
      <w:r>
        <w:t>En el STN a partir de noviembre del 2022, se inició la anualidad número 6 utilizada para calcular la remuneración del proyecto UPME 08-2014 (Subestación Valledupar 220 kV) conforme a lo establecido en la Resolución CREG 063/15 (UPME 08/14)</w:t>
      </w:r>
    </w:p>
    <w:p>
      <w:pPr>
        <w:pStyle w:val="ListBullet"/>
        <w:jc w:val="both"/>
      </w:pPr>
      <w:r>
        <w:t>En el STR a partir de octubre del 2022, se inició la anualidad número 2 utilizada para calcular la remuneración del proyecto UPME STR 06 - 2016 (Diseño, adquisición de suministros, construcción, operación y mantenimiento del refuerzo eléctrico de la Guajira: Lineas Rioacha-Maicao y Rioacha-Cuestecitas, 110kV) conforme a lo establecido en la Resolución CREG 260-2016</w:t>
      </w:r>
    </w:p>
    <w:p>
      <w:pPr>
        <w:pStyle w:val="ListBullet"/>
        <w:jc w:val="both"/>
      </w:pPr>
      <w:r>
        <w:t>En el STR a partir de octubre del 2022, se inició la anualidad número 3 utilizada para calcular la remuneración del proyecto UPME STR 05 - 2017 (Diseño, construcción, operación y mantenimiento del segundo transformador 230/115 kV, 150 MVA, en la subestación Altamira) conforme a lo establecido en la Resolución CREG 272-2017</w:t>
      </w:r>
    </w:p>
    <w:p>
      <w:pPr>
        <w:pStyle w:val="ListBullet"/>
        <w:jc w:val="both"/>
      </w:pPr>
      <w:r>
        <w:t>En el STN a partir de octubre del 2022, se inició la anualidad número 3 utilizada para calcular la remuneración del proyecto UPME 08-2017 (Tercer transformador 500/230 kV Subestación Sogamoso) conforme a lo establecido en la Resolución CREG 082/18 (UPME 08/17)</w:t>
      </w:r>
    </w:p>
    <w:p>
      <w:pPr>
        <w:pStyle w:val="ListBullet"/>
        <w:jc w:val="both"/>
      </w:pPr>
      <w:r>
        <w:t>En el STN a partir de octubre del 2022, se inició la anualidad número 7 utilizada para calcular la remuneración del proyecto UPME 03-2010 (Subestaciones Chivor II 230 kV y Norte 230 kV y lineas de transmisión asociadas) conforme a lo establecido en la Resolución CREG 055/13  (UPME 03/10)</w:t>
      </w:r>
    </w:p>
    <w:p>
      <w:r>
        <w:rPr>
          <w:b/>
          <w:sz w:val="24"/>
        </w:rPr>
        <w:t>Indicadores económicos</w:t>
      </w:r>
    </w:p>
    <w:p>
      <w:r>
        <w:drawing>
          <wp:inline xmlns:a="http://schemas.openxmlformats.org/drawingml/2006/main" xmlns:pic="http://schemas.openxmlformats.org/drawingml/2006/picture">
            <wp:extent cx="5943600" cy="274320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743200"/>
                    </a:xfrm>
                    <a:prstGeom prst="rect"/>
                  </pic:spPr>
                </pic:pic>
              </a:graphicData>
            </a:graphic>
          </wp:inline>
        </w:drawing>
      </w:r>
    </w:p>
    <w:p>
      <w:pPr>
        <w:jc w:val="center"/>
      </w:pPr>
      <w:r>
        <w:rPr>
          <w:i/>
        </w:rPr>
        <w:t>Grafica 1, Indicadores económicos para el cuarto trimestre de 2022.</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486400" cy="457200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486400" cy="4572000"/>
                    </a:xfrm>
                    <a:prstGeom prst="rect"/>
                  </pic:spPr>
                </pic:pic>
              </a:graphicData>
            </a:graphic>
          </wp:inline>
        </w:drawing>
      </w:r>
    </w:p>
    <w:p>
      <w:pPr>
        <w:jc w:val="center"/>
      </w:pPr>
      <w:r>
        <w:rPr>
          <w:i/>
        </w:rPr>
        <w:t>Grafica 2, Evolución de cargo T para el cuarto trimestre de 2022.</w:t>
      </w:r>
    </w:p>
    <w:p>
      <w:pPr>
        <w:jc w:val="both"/>
      </w:pPr>
      <w:r>
        <w:t>Variaciones en los cargos por uso del STN:</w:t>
      </w:r>
    </w:p>
    <w:p>
      <w:pPr>
        <w:pStyle w:val="ListBullet"/>
        <w:jc w:val="both"/>
      </w:pPr>
      <w:r>
        <w:t xml:space="preserve">En octubre los cargos en el STN disminuyeron principalemtne debido a </w:t>
      </w:r>
    </w:p>
    <w:p>
      <w:pPr>
        <w:pStyle w:val="ListBullet"/>
        <w:jc w:val="both"/>
      </w:pPr>
      <w:r>
        <w:t xml:space="preserve">En noviembre los cargos en el STN aumentaron principalemtne debido a </w:t>
      </w:r>
    </w:p>
    <w:p>
      <w:pPr>
        <w:pStyle w:val="ListBullet"/>
        <w:jc w:val="both"/>
      </w:pPr>
      <w:r>
        <w:t xml:space="preserve">En diciembre los cargos en el STN aumentaron principalemtne debido a </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cuarto trimestre de 2022.</w:t>
      </w:r>
    </w:p>
    <w:p>
      <w:pPr>
        <w:pStyle w:val="ListBullet"/>
        <w:jc w:val="both"/>
      </w:pPr>
      <w:r>
        <w:t xml:space="preserve">En octubre las contribuciones en el STN aumentaron principalemtne debido a </w:t>
      </w:r>
    </w:p>
    <w:p>
      <w:pPr>
        <w:pStyle w:val="ListBullet"/>
        <w:jc w:val="both"/>
      </w:pPr>
      <w:r>
        <w:t xml:space="preserve">En noviembre las contribuciones en el STN disminuyeron principalemtne debido a </w:t>
      </w:r>
    </w:p>
    <w:p>
      <w:pPr>
        <w:pStyle w:val="ListBullet"/>
        <w:jc w:val="both"/>
      </w:pPr>
      <w:r>
        <w:t xml:space="preserve">En diciembre las contribuciones en el STN aumentaron principalemtne debido a </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 xml:space="preserve">En octubre los ingresos en el STN disminuyeron principalemtne debido a </w:t>
      </w:r>
    </w:p>
    <w:p>
      <w:pPr>
        <w:pStyle w:val="ListBullet"/>
        <w:jc w:val="both"/>
      </w:pPr>
      <w:r>
        <w:t xml:space="preserve">En noviembre los ingresos en el STN aumentaron principalemtne debido a </w:t>
      </w:r>
    </w:p>
    <w:p>
      <w:pPr>
        <w:pStyle w:val="ListBullet"/>
        <w:jc w:val="both"/>
      </w:pPr>
      <w:r>
        <w:t xml:space="preserve">En diciembre los ingresos en el STN aumentaron principalemtne debido a </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deoctubre, noviembre y diciembre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diciembre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486400" cy="457200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486400" cy="4572000"/>
                    </a:xfrm>
                    <a:prstGeom prst="rect"/>
                  </pic:spPr>
                </pic:pic>
              </a:graphicData>
            </a:graphic>
          </wp:inline>
        </w:drawing>
      </w:r>
    </w:p>
    <w:p>
      <w:pPr>
        <w:jc w:val="center"/>
      </w:pPr>
      <w:r>
        <w:rPr>
          <w:i/>
        </w:rPr>
        <w:t>Fig 6, Evolución de cargos en el STR para el cuarto trimestre de 2022.</w:t>
      </w:r>
    </w:p>
    <w:p>
      <w:pPr>
        <w:jc w:val="both"/>
      </w:pPr>
      <w:r>
        <w:t>Según lo observado en la Gráfica 7, los mayores ingresos a recibir por los Operadores de Red para el STR Norte y Centro Sur se presentan en el mes deoctubre.</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cuarto trimestre de 2022.</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octubre, noviembre y diciembre de 2022, se publicaron las liquidaciones ADD correspondientes a los meses de agosto de 2022, septiembre de 2022 y octubre de 2022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486400" cy="36576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486400" cy="36576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486400" cy="36576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486400" cy="36576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486400" cy="36576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486400" cy="3657600"/>
                    </a:xfrm>
                    <a:prstGeom prst="rect"/>
                  </pic:spPr>
                </pic:pic>
              </a:graphicData>
            </a:graphic>
          </wp:inline>
        </w:drawing>
      </w:r>
    </w:p>
    <w:p>
      <w:pPr>
        <w:jc w:val="center"/>
      </w:pPr>
      <w:r>
        <w:rPr>
          <w:i/>
        </w:rPr>
        <w:t>Fig 11, Ingreos ADD Sur</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pPr>
        <w:jc w:val="both"/>
      </w:pPr>
      <w:r>
        <w:t>Desde la grafica 12 hasta la grafica 16, se puede ver la evolución de los cargos asociados al nivel de tensión 1 para los 29 operadores de red que conforman el SDL durante el cuarto trimestre del año 2022.</w:t>
      </w:r>
    </w:p>
    <w:p>
      <w:r>
        <w:drawing>
          <wp:inline xmlns:a="http://schemas.openxmlformats.org/drawingml/2006/main" xmlns:pic="http://schemas.openxmlformats.org/drawingml/2006/picture">
            <wp:extent cx="4690872" cy="4809744"/>
            <wp:docPr id="13" name="Picture 13"/>
            <wp:cNvGraphicFramePr>
              <a:graphicFrameLocks noChangeAspect="1"/>
            </wp:cNvGraphicFramePr>
            <a:graphic>
              <a:graphicData uri="http://schemas.openxmlformats.org/drawingml/2006/picture">
                <pic:pic>
                  <pic:nvPicPr>
                    <pic:cNvPr id="0" name="SDL_Cargos_Oriente.png"/>
                    <pic:cNvPicPr/>
                  </pic:nvPicPr>
                  <pic:blipFill>
                    <a:blip r:embed="rId21"/>
                    <a:stretch>
                      <a:fillRect/>
                    </a:stretch>
                  </pic:blipFill>
                  <pic:spPr>
                    <a:xfrm>
                      <a:off x="0" y="0"/>
                      <a:ext cx="4690872" cy="4809744"/>
                    </a:xfrm>
                    <a:prstGeom prst="rect"/>
                  </pic:spPr>
                </pic:pic>
              </a:graphicData>
            </a:graphic>
          </wp:inline>
        </w:drawing>
      </w:r>
    </w:p>
    <w:p>
      <w:pPr>
        <w:jc w:val="center"/>
      </w:pPr>
      <w:r>
        <w:rPr>
          <w:i/>
        </w:rPr>
        <w:t>Fig 12, Evolución de cargo para nivel de tenión 1 para ORs asociados a ADD Oriente</w:t>
      </w:r>
    </w:p>
    <w:p>
      <w:r>
        <w:drawing>
          <wp:inline xmlns:a="http://schemas.openxmlformats.org/drawingml/2006/main" xmlns:pic="http://schemas.openxmlformats.org/drawingml/2006/picture">
            <wp:extent cx="4855464" cy="4809744"/>
            <wp:docPr id="14" name="Picture 14"/>
            <wp:cNvGraphicFramePr>
              <a:graphicFrameLocks noChangeAspect="1"/>
            </wp:cNvGraphicFramePr>
            <a:graphic>
              <a:graphicData uri="http://schemas.openxmlformats.org/drawingml/2006/picture">
                <pic:pic>
                  <pic:nvPicPr>
                    <pic:cNvPr id="0" name="SDL_Cargos_Occidente.png"/>
                    <pic:cNvPicPr/>
                  </pic:nvPicPr>
                  <pic:blipFill>
                    <a:blip r:embed="rId22"/>
                    <a:stretch>
                      <a:fillRect/>
                    </a:stretch>
                  </pic:blipFill>
                  <pic:spPr>
                    <a:xfrm>
                      <a:off x="0" y="0"/>
                      <a:ext cx="4855464" cy="4809744"/>
                    </a:xfrm>
                    <a:prstGeom prst="rect"/>
                  </pic:spPr>
                </pic:pic>
              </a:graphicData>
            </a:graphic>
          </wp:inline>
        </w:drawing>
      </w:r>
    </w:p>
    <w:p>
      <w:pPr>
        <w:jc w:val="center"/>
      </w:pPr>
      <w:r>
        <w:rPr>
          <w:i/>
        </w:rPr>
        <w:t>Fig 13, Evolución de cargo para nivel de tenión 1 para ORs asociados a ADD Occidente</w:t>
      </w:r>
    </w:p>
    <w:p>
      <w:r>
        <w:drawing>
          <wp:inline xmlns:a="http://schemas.openxmlformats.org/drawingml/2006/main" xmlns:pic="http://schemas.openxmlformats.org/drawingml/2006/picture">
            <wp:extent cx="4782312" cy="4809744"/>
            <wp:docPr id="15" name="Picture 15"/>
            <wp:cNvGraphicFramePr>
              <a:graphicFrameLocks noChangeAspect="1"/>
            </wp:cNvGraphicFramePr>
            <a:graphic>
              <a:graphicData uri="http://schemas.openxmlformats.org/drawingml/2006/picture">
                <pic:pic>
                  <pic:nvPicPr>
                    <pic:cNvPr id="0" name="SDL_Cargos_Centro.png"/>
                    <pic:cNvPicPr/>
                  </pic:nvPicPr>
                  <pic:blipFill>
                    <a:blip r:embed="rId23"/>
                    <a:stretch>
                      <a:fillRect/>
                    </a:stretch>
                  </pic:blipFill>
                  <pic:spPr>
                    <a:xfrm>
                      <a:off x="0" y="0"/>
                      <a:ext cx="4782312" cy="4809744"/>
                    </a:xfrm>
                    <a:prstGeom prst="rect"/>
                  </pic:spPr>
                </pic:pic>
              </a:graphicData>
            </a:graphic>
          </wp:inline>
        </w:drawing>
      </w:r>
    </w:p>
    <w:p>
      <w:pPr>
        <w:jc w:val="center"/>
      </w:pPr>
      <w:r>
        <w:rPr>
          <w:i/>
        </w:rPr>
        <w:t>Fig 14, Evolución de cargo para nivel de tenión 1 para ORs asociados a ADD Centro</w:t>
      </w:r>
    </w:p>
    <w:p>
      <w:r>
        <w:drawing>
          <wp:inline xmlns:a="http://schemas.openxmlformats.org/drawingml/2006/main" xmlns:pic="http://schemas.openxmlformats.org/drawingml/2006/picture">
            <wp:extent cx="4782312" cy="4809744"/>
            <wp:docPr id="16" name="Picture 16"/>
            <wp:cNvGraphicFramePr>
              <a:graphicFrameLocks noChangeAspect="1"/>
            </wp:cNvGraphicFramePr>
            <a:graphic>
              <a:graphicData uri="http://schemas.openxmlformats.org/drawingml/2006/picture">
                <pic:pic>
                  <pic:nvPicPr>
                    <pic:cNvPr id="0" name="SDL_Cargos_Sur.png"/>
                    <pic:cNvPicPr/>
                  </pic:nvPicPr>
                  <pic:blipFill>
                    <a:blip r:embed="rId24"/>
                    <a:stretch>
                      <a:fillRect/>
                    </a:stretch>
                  </pic:blipFill>
                  <pic:spPr>
                    <a:xfrm>
                      <a:off x="0" y="0"/>
                      <a:ext cx="4782312" cy="4809744"/>
                    </a:xfrm>
                    <a:prstGeom prst="rect"/>
                  </pic:spPr>
                </pic:pic>
              </a:graphicData>
            </a:graphic>
          </wp:inline>
        </w:drawing>
      </w:r>
    </w:p>
    <w:p>
      <w:pPr>
        <w:jc w:val="center"/>
      </w:pPr>
      <w:r>
        <w:rPr>
          <w:i/>
        </w:rPr>
        <w:t>Fig 15, Evolución de cargo para nivel de tenión 1 para ORs asociados a ADD Sur</w:t>
      </w:r>
    </w:p>
    <w:p>
      <w:r>
        <w:drawing>
          <wp:inline xmlns:a="http://schemas.openxmlformats.org/drawingml/2006/main" xmlns:pic="http://schemas.openxmlformats.org/drawingml/2006/picture">
            <wp:extent cx="4782312" cy="4809744"/>
            <wp:docPr id="17" name="Picture 17"/>
            <wp:cNvGraphicFramePr>
              <a:graphicFrameLocks noChangeAspect="1"/>
            </wp:cNvGraphicFramePr>
            <a:graphic>
              <a:graphicData uri="http://schemas.openxmlformats.org/drawingml/2006/picture">
                <pic:pic>
                  <pic:nvPicPr>
                    <pic:cNvPr id="0" name="SDL_Cargos_sinADD.png"/>
                    <pic:cNvPicPr/>
                  </pic:nvPicPr>
                  <pic:blipFill>
                    <a:blip r:embed="rId25"/>
                    <a:stretch>
                      <a:fillRect/>
                    </a:stretch>
                  </pic:blipFill>
                  <pic:spPr>
                    <a:xfrm>
                      <a:off x="0" y="0"/>
                      <a:ext cx="4782312" cy="4809744"/>
                    </a:xfrm>
                    <a:prstGeom prst="rect"/>
                  </pic:spPr>
                </pic:pic>
              </a:graphicData>
            </a:graphic>
          </wp:inline>
        </w:drawing>
      </w:r>
    </w:p>
    <w:p>
      <w:pPr>
        <w:jc w:val="center"/>
      </w:pPr>
      <w:r>
        <w:rPr>
          <w:i/>
        </w:rPr>
        <w:t>Fig 16, Evolución de cargo para nivel de tenión 1 para ORs sin ADD asociada</w:t>
      </w:r>
    </w:p>
    <w:p>
      <w:r>
        <w:rPr>
          <w:b/>
          <w:sz w:val="24"/>
        </w:rPr>
        <w:t>Calidad del SDL</w:t>
      </w:r>
    </w:p>
    <w:p>
      <w:pPr>
        <w:jc w:val="both"/>
      </w:pPr>
      <w:r>
        <w:t>Para el proceso de Calidad en el SDL se calculan los índices basados en la cantidad de incidentes presentados en el sistema dentro de un mercado de comercializacion especifico y la duracion de los mismos</w:t>
      </w:r>
    </w:p>
    <w:p>
      <w:r>
        <w:drawing>
          <wp:inline xmlns:a="http://schemas.openxmlformats.org/drawingml/2006/main" xmlns:pic="http://schemas.openxmlformats.org/drawingml/2006/picture">
            <wp:extent cx="4572000" cy="4572000"/>
            <wp:docPr id="18" name="Picture 18"/>
            <wp:cNvGraphicFramePr>
              <a:graphicFrameLocks noChangeAspect="1"/>
            </wp:cNvGraphicFramePr>
            <a:graphic>
              <a:graphicData uri="http://schemas.openxmlformats.org/drawingml/2006/picture">
                <pic:pic>
                  <pic:nvPicPr>
                    <pic:cNvPr id="0" name="Calidad_SDL.png"/>
                    <pic:cNvPicPr/>
                  </pic:nvPicPr>
                  <pic:blipFill>
                    <a:blip r:embed="rId26"/>
                    <a:stretch>
                      <a:fillRect/>
                    </a:stretch>
                  </pic:blipFill>
                  <pic:spPr>
                    <a:xfrm>
                      <a:off x="0" y="0"/>
                      <a:ext cx="4572000" cy="4572000"/>
                    </a:xfrm>
                    <a:prstGeom prst="rect"/>
                  </pic:spPr>
                </pic:pic>
              </a:graphicData>
            </a:graphic>
          </wp:inline>
        </w:drawing>
      </w:r>
    </w:p>
    <w:p>
      <w:pPr>
        <w:jc w:val="center"/>
      </w:pPr>
      <w:r>
        <w:rPr>
          <w:i/>
        </w:rPr>
        <w:t>Fig 17, Evolución de SAIDI y SAIFI a nivel pais.</w:t>
      </w:r>
    </w:p>
    <w:p>
      <w:r>
        <w:rPr>
          <w:b/>
          <w:sz w:val="24"/>
        </w:rPr>
        <w:t>Cargo y Liquidación CPROG</w:t>
      </w:r>
    </w:p>
    <w:p>
      <w:pPr>
        <w:jc w:val="both"/>
      </w:pPr>
      <w:r>
        <w:t>Cargo por concepto del plan de reducción de pérdidas no técnicas que se traslada a los usuarios regulados y no regulados del mercado de comercialización.</w:t>
      </w:r>
    </w:p>
    <w:p>
      <w:r>
        <w:drawing>
          <wp:inline xmlns:a="http://schemas.openxmlformats.org/drawingml/2006/main" xmlns:pic="http://schemas.openxmlformats.org/drawingml/2006/picture">
            <wp:extent cx="4974336" cy="4809744"/>
            <wp:docPr id="19" name="Picture 19"/>
            <wp:cNvGraphicFramePr>
              <a:graphicFrameLocks noChangeAspect="1"/>
            </wp:cNvGraphicFramePr>
            <a:graphic>
              <a:graphicData uri="http://schemas.openxmlformats.org/drawingml/2006/picture">
                <pic:pic>
                  <pic:nvPicPr>
                    <pic:cNvPr id="0" name="CPROG_Oriente.png"/>
                    <pic:cNvPicPr/>
                  </pic:nvPicPr>
                  <pic:blipFill>
                    <a:blip r:embed="rId27"/>
                    <a:stretch>
                      <a:fillRect/>
                    </a:stretch>
                  </pic:blipFill>
                  <pic:spPr>
                    <a:xfrm>
                      <a:off x="0" y="0"/>
                      <a:ext cx="4974336" cy="4809744"/>
                    </a:xfrm>
                    <a:prstGeom prst="rect"/>
                  </pic:spPr>
                </pic:pic>
              </a:graphicData>
            </a:graphic>
          </wp:inline>
        </w:drawing>
      </w:r>
    </w:p>
    <w:p>
      <w:pPr>
        <w:jc w:val="center"/>
      </w:pPr>
      <w:r>
        <w:rPr>
          <w:i/>
        </w:rPr>
        <w:t>Fig 18, Evolución de cargo CPROG para ORs asociados a la ADD Oriente</w:t>
      </w:r>
    </w:p>
    <w:p>
      <w:r>
        <w:drawing>
          <wp:inline xmlns:a="http://schemas.openxmlformats.org/drawingml/2006/main" xmlns:pic="http://schemas.openxmlformats.org/drawingml/2006/picture">
            <wp:extent cx="4974336" cy="4809744"/>
            <wp:docPr id="20" name="Picture 20"/>
            <wp:cNvGraphicFramePr>
              <a:graphicFrameLocks noChangeAspect="1"/>
            </wp:cNvGraphicFramePr>
            <a:graphic>
              <a:graphicData uri="http://schemas.openxmlformats.org/drawingml/2006/picture">
                <pic:pic>
                  <pic:nvPicPr>
                    <pic:cNvPr id="0" name="CPROG_Occidente.png"/>
                    <pic:cNvPicPr/>
                  </pic:nvPicPr>
                  <pic:blipFill>
                    <a:blip r:embed="rId28"/>
                    <a:stretch>
                      <a:fillRect/>
                    </a:stretch>
                  </pic:blipFill>
                  <pic:spPr>
                    <a:xfrm>
                      <a:off x="0" y="0"/>
                      <a:ext cx="4974336" cy="4809744"/>
                    </a:xfrm>
                    <a:prstGeom prst="rect"/>
                  </pic:spPr>
                </pic:pic>
              </a:graphicData>
            </a:graphic>
          </wp:inline>
        </w:drawing>
      </w:r>
    </w:p>
    <w:p>
      <w:pPr>
        <w:jc w:val="center"/>
      </w:pPr>
      <w:r>
        <w:rPr>
          <w:i/>
        </w:rPr>
        <w:t>Fig 19, Evolución de cargo CPROG para ORs asociados a la ADD Occidente</w:t>
      </w:r>
    </w:p>
    <w:p>
      <w:r>
        <w:drawing>
          <wp:inline xmlns:a="http://schemas.openxmlformats.org/drawingml/2006/main" xmlns:pic="http://schemas.openxmlformats.org/drawingml/2006/picture">
            <wp:extent cx="4974336" cy="4809744"/>
            <wp:docPr id="21" name="Picture 21"/>
            <wp:cNvGraphicFramePr>
              <a:graphicFrameLocks noChangeAspect="1"/>
            </wp:cNvGraphicFramePr>
            <a:graphic>
              <a:graphicData uri="http://schemas.openxmlformats.org/drawingml/2006/picture">
                <pic:pic>
                  <pic:nvPicPr>
                    <pic:cNvPr id="0" name="CPROG_Centro.png"/>
                    <pic:cNvPicPr/>
                  </pic:nvPicPr>
                  <pic:blipFill>
                    <a:blip r:embed="rId29"/>
                    <a:stretch>
                      <a:fillRect/>
                    </a:stretch>
                  </pic:blipFill>
                  <pic:spPr>
                    <a:xfrm>
                      <a:off x="0" y="0"/>
                      <a:ext cx="4974336" cy="4809744"/>
                    </a:xfrm>
                    <a:prstGeom prst="rect"/>
                  </pic:spPr>
                </pic:pic>
              </a:graphicData>
            </a:graphic>
          </wp:inline>
        </w:drawing>
      </w:r>
    </w:p>
    <w:p>
      <w:pPr>
        <w:jc w:val="center"/>
      </w:pPr>
      <w:r>
        <w:rPr>
          <w:i/>
        </w:rPr>
        <w:t>Fig 20, Evolución de cargo CPROG para ORs asociados a la ADD Centro</w:t>
      </w:r>
    </w:p>
    <w:p>
      <w:r>
        <w:drawing>
          <wp:inline xmlns:a="http://schemas.openxmlformats.org/drawingml/2006/main" xmlns:pic="http://schemas.openxmlformats.org/drawingml/2006/picture">
            <wp:extent cx="5047488" cy="4809744"/>
            <wp:docPr id="22" name="Picture 22"/>
            <wp:cNvGraphicFramePr>
              <a:graphicFrameLocks noChangeAspect="1"/>
            </wp:cNvGraphicFramePr>
            <a:graphic>
              <a:graphicData uri="http://schemas.openxmlformats.org/drawingml/2006/picture">
                <pic:pic>
                  <pic:nvPicPr>
                    <pic:cNvPr id="0" name="CPROG_Sur.png"/>
                    <pic:cNvPicPr/>
                  </pic:nvPicPr>
                  <pic:blipFill>
                    <a:blip r:embed="rId30"/>
                    <a:stretch>
                      <a:fillRect/>
                    </a:stretch>
                  </pic:blipFill>
                  <pic:spPr>
                    <a:xfrm>
                      <a:off x="0" y="0"/>
                      <a:ext cx="5047488" cy="4809744"/>
                    </a:xfrm>
                    <a:prstGeom prst="rect"/>
                  </pic:spPr>
                </pic:pic>
              </a:graphicData>
            </a:graphic>
          </wp:inline>
        </w:drawing>
      </w:r>
    </w:p>
    <w:p>
      <w:pPr>
        <w:jc w:val="center"/>
      </w:pPr>
      <w:r>
        <w:rPr>
          <w:i/>
        </w:rPr>
        <w:t>Fig 21, Evolución de cargo CPROG para ORs asociados a la ADD Sur</w:t>
      </w:r>
    </w:p>
    <w:p>
      <w:r>
        <w:drawing>
          <wp:inline xmlns:a="http://schemas.openxmlformats.org/drawingml/2006/main" xmlns:pic="http://schemas.openxmlformats.org/drawingml/2006/picture">
            <wp:extent cx="5047488" cy="4809744"/>
            <wp:docPr id="23" name="Picture 23"/>
            <wp:cNvGraphicFramePr>
              <a:graphicFrameLocks noChangeAspect="1"/>
            </wp:cNvGraphicFramePr>
            <a:graphic>
              <a:graphicData uri="http://schemas.openxmlformats.org/drawingml/2006/picture">
                <pic:pic>
                  <pic:nvPicPr>
                    <pic:cNvPr id="0" name="CPROG_sinADD.png"/>
                    <pic:cNvPicPr/>
                  </pic:nvPicPr>
                  <pic:blipFill>
                    <a:blip r:embed="rId31"/>
                    <a:stretch>
                      <a:fillRect/>
                    </a:stretch>
                  </pic:blipFill>
                  <pic:spPr>
                    <a:xfrm>
                      <a:off x="0" y="0"/>
                      <a:ext cx="5047488" cy="4809744"/>
                    </a:xfrm>
                    <a:prstGeom prst="rect"/>
                  </pic:spPr>
                </pic:pic>
              </a:graphicData>
            </a:graphic>
          </wp:inline>
        </w:drawing>
      </w:r>
    </w:p>
    <w:p>
      <w:pPr>
        <w:jc w:val="center"/>
      </w:pPr>
      <w:r>
        <w:rPr>
          <w:i/>
        </w:rPr>
        <w:t>Fig 22, Evolución de cargo CPROG para ORs sin ADD asociada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