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d126ad0509056ad72119379d6c16f70f9230c55"/>
    <w:p>
      <w:pPr>
        <w:pStyle w:val="Heading1"/>
      </w:pPr>
      <w:r>
        <w:t xml:space="preserve">Glucocorticoid signalling tracks circadian output across human metabolic tissues</w:t>
      </w:r>
    </w:p>
    <w:p>
      <w:pPr>
        <w:pStyle w:val="FirstParagraph"/>
      </w:pPr>
      <w:r>
        <w:t xml:space="preserve">Yalith Estefania Mejía-Arratia</w:t>
      </w:r>
      <w:r>
        <w:rPr>
          <w:vertAlign w:val="superscript"/>
        </w:rPr>
        <w:t xml:space="preserve">a</w:t>
      </w:r>
      <w:r>
        <w:t xml:space="preserve">, Lidia Escutia-Guadarrama</w:t>
      </w:r>
      <w:r>
        <w:rPr>
          <w:vertAlign w:val="superscript"/>
        </w:rPr>
        <w:t xml:space="preserve">b,c</w:t>
      </w:r>
      <w:r>
        <w:t xml:space="preserve">, Mitzi Pérez-Calixto</w:t>
      </w:r>
      <w:r>
        <w:rPr>
          <w:vertAlign w:val="superscript"/>
        </w:rPr>
        <w:t xml:space="preserve">b</w:t>
      </w:r>
      <w:r>
        <w:t xml:space="preserve">, Alejandra Cervera</w:t>
      </w:r>
      <w:r>
        <w:rPr>
          <w:vertAlign w:val="superscript"/>
        </w:rPr>
        <w:t xml:space="preserve">a</w:t>
      </w:r>
      <w:r>
        <w:t xml:space="preserve">, Genaro Vázquez-Victorio</w:t>
      </w:r>
      <w:r>
        <w:rPr>
          <w:vertAlign w:val="superscript"/>
        </w:rPr>
        <w:t xml:space="preserve">b</w:t>
      </w:r>
      <w:r>
        <w:t xml:space="preserve">, Hugo Tovar</w:t>
      </w:r>
      <w:r>
        <w:rPr>
          <w:vertAlign w:val="superscript"/>
        </w:rPr>
        <w:t xml:space="preserve">a</w:t>
      </w:r>
      <w:r>
        <w:t xml:space="preserve">, Daniel Pérez-Calixto</w:t>
      </w:r>
      <w:r>
        <w:rPr>
          <w:vertAlign w:val="superscript"/>
        </w:rPr>
        <w:t xml:space="preserve">a,*</w:t>
      </w:r>
    </w:p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Instituto Nacional de Medicina Genómica (INMEGEN), Periférico Sur 4809, 14610 Mexico City, Mexico</w:t>
      </w:r>
      <w:r>
        <w:t xml:space="preserve"> </w:t>
      </w:r>
      <w:r>
        <w:rPr>
          <w:vertAlign w:val="superscript"/>
        </w:rPr>
        <w:t xml:space="preserve">b</w:t>
      </w:r>
      <w:r>
        <w:t xml:space="preserve"> </w:t>
      </w:r>
      <w:r>
        <w:t xml:space="preserve">Facultad de Ciencias, Universidad Nacional Autónoma de México (UNAM), Ciudad Universitaria, 04510 Mexico City, Mexico</w:t>
      </w:r>
      <w:r>
        <w:t xml:space="preserve"> </w:t>
      </w:r>
      <w:r>
        <w:rPr>
          <w:vertAlign w:val="superscript"/>
        </w:rPr>
        <w:t xml:space="preserve">c</w:t>
      </w:r>
      <w:r>
        <w:t xml:space="preserve"> </w:t>
      </w:r>
      <w:r>
        <w:t xml:space="preserve">Facultad de Química, Universidad Nacional Autónoma de México (UNAM), Ciudad Universitaria, 04510 Mexico City, Mexico</w:t>
      </w:r>
    </w:p>
    <w:p>
      <w:pPr>
        <w:pStyle w:val="BodyText"/>
      </w:pPr>
      <w:r>
        <w:t xml:space="preserve">* Corresponding author. Daniel Pérez-Calixto, Instituto Nacional de Medicina Genómica, Periférico Sur 4809, 14610 Mexico City, Mexico. E-mail: dperez@inmegen.gob.mx</w:t>
      </w:r>
    </w:p>
    <w:p>
      <w:pPr>
        <w:pStyle w:val="BodyText"/>
      </w:pPr>
      <w:r>
        <w:rPr>
          <w:bCs/>
          <w:b/>
        </w:rPr>
        <w:t xml:space="preserve">Running title:</w:t>
      </w:r>
      <w:r>
        <w:t xml:space="preserve"> </w:t>
      </w:r>
      <w:r>
        <w:t xml:space="preserve">Glucocorticoid signalling and the human peripheral clock</w:t>
      </w:r>
    </w:p>
    <w:p>
      <w:r>
        <w:pict>
          <v:rect style="width:0;height:1.5pt" o:hralign="center" o:hrstd="t" o:hr="t"/>
        </w:pict>
      </w:r>
    </w:p>
    <w:bookmarkStart w:id="20" w:name="highlights"/>
    <w:p>
      <w:pPr>
        <w:pStyle w:val="Heading2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Per-sample clock amplitude validated out of sample against cosinor in two human cohorts</w:t>
      </w:r>
    </w:p>
    <w:p>
      <w:pPr>
        <w:numPr>
          <w:ilvl w:val="0"/>
          <w:numId w:val="1001"/>
        </w:numPr>
        <w:pStyle w:val="Compact"/>
      </w:pPr>
      <w:r>
        <w:t xml:space="preserve">Receptor level predicts clock output in 13 estimates from four metabolic tissues</w:t>
      </w:r>
    </w:p>
    <w:p>
      <w:pPr>
        <w:numPr>
          <w:ilvl w:val="0"/>
          <w:numId w:val="1001"/>
        </w:numPr>
        <w:pStyle w:val="Compact"/>
      </w:pPr>
      <w:r>
        <w:t xml:space="preserve">Three hours of hyperinsulinaemic clamp reproduce three hours of morning</w:t>
      </w:r>
    </w:p>
    <w:p>
      <w:pPr>
        <w:numPr>
          <w:ilvl w:val="0"/>
          <w:numId w:val="1001"/>
        </w:numPr>
        <w:pStyle w:val="Compact"/>
      </w:pPr>
      <w:r>
        <w:t xml:space="preserve">Hydrocortisone and insulin move PER1 in opposite directions in every participant</w:t>
      </w:r>
    </w:p>
    <w:p>
      <w:pPr>
        <w:numPr>
          <w:ilvl w:val="0"/>
          <w:numId w:val="1001"/>
        </w:numPr>
        <w:pStyle w:val="Compact"/>
      </w:pPr>
      <w:r>
        <w:t xml:space="preserve">A forced-oscillator model reproduces the signature with no fitted parameter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Background.</w:t>
      </w:r>
      <w:r>
        <w:t xml:space="preserve"> </w:t>
      </w:r>
      <w:r>
        <w:t xml:space="preserve">The circadian clock of peripheral tissues is disrupted in obesity and type 2</w:t>
      </w:r>
      <w:r>
        <w:t xml:space="preserve"> </w:t>
      </w:r>
      <w:r>
        <w:t xml:space="preserve">diabetes, yet the signal that sets it in humans is unknown. Insulin and glucocorticoids are both</w:t>
      </w:r>
      <w:r>
        <w:t xml:space="preserve"> </w:t>
      </w:r>
      <w:r>
        <w:t xml:space="preserve">candidates.</w:t>
      </w:r>
    </w:p>
    <w:p>
      <w:pPr>
        <w:pStyle w:val="BodyText"/>
      </w:pPr>
      <w:r>
        <w:rPr>
          <w:bCs/>
          <w:b/>
        </w:rPr>
        <w:t xml:space="preserve">Methods.</w:t>
      </w:r>
      <w:r>
        <w:t xml:space="preserve"> </w:t>
      </w:r>
      <w:r>
        <w:t xml:space="preserve">We measured circadian phase and amplitude in single biopsies from 19 public</w:t>
      </w:r>
      <w:r>
        <w:t xml:space="preserve"> </w:t>
      </w:r>
      <w:r>
        <w:t xml:space="preserve">transcriptomic series and GTEx v11, covering skeletal muscle, adipose tissue and pancreatic islets,</w:t>
      </w:r>
      <w:r>
        <w:t xml:space="preserve"> </w:t>
      </w:r>
      <w:r>
        <w:t xml:space="preserve">and related them to glucocorticoid signalling across individuals and under time-controlled</w:t>
      </w:r>
      <w:r>
        <w:t xml:space="preserve"> </w:t>
      </w:r>
      <w:r>
        <w:t xml:space="preserve">perturbations.</w:t>
      </w:r>
    </w:p>
    <w:p>
      <w:pPr>
        <w:pStyle w:val="BodyText"/>
      </w:pPr>
      <w:r>
        <w:rPr>
          <w:bCs/>
          <w:b/>
        </w:rPr>
        <w:t xml:space="preserve">Results.</w:t>
      </w:r>
      <w:r>
        <w:t xml:space="preserve"> </w:t>
      </w:r>
      <w:r>
        <w:t xml:space="preserve">The peripheral clock follows glucocorticoid signalling. Across 13 cohort–tissue</w:t>
      </w:r>
      <w:r>
        <w:t xml:space="preserve"> </w:t>
      </w:r>
      <w:r>
        <w:t xml:space="preserve">estimates from four tissues, NR3C1 expression predicts the output arm of the clock (pooled ρ = 0.45,</w:t>
      </w:r>
      <w:r>
        <w:t xml:space="preserve"> </w:t>
      </w:r>
      <w:r>
        <w:t xml:space="preserve">95% CI 0.31–0.58), and the receptor of one tissue predicts the clock of another as well as its own.</w:t>
      </w:r>
      <w:r>
        <w:t xml:space="preserve"> </w:t>
      </w:r>
      <w:r>
        <w:t xml:space="preserve">The acute insulin response is not separable from the passage of time: three hours of</w:t>
      </w:r>
      <w:r>
        <w:t xml:space="preserve"> </w:t>
      </w:r>
      <w:r>
        <w:t xml:space="preserve">hyperinsulinaemic clamp reproduce the change of three hours of morning, whereas hydrocortisone</w:t>
      </w:r>
      <w:r>
        <w:t xml:space="preserve"> </w:t>
      </w:r>
      <w:r>
        <w:t xml:space="preserve">against placebo at the same hour moves PER1 in every participant, opposite in direction to</w:t>
      </w:r>
      <w:r>
        <w:t xml:space="preserve"> </w:t>
      </w:r>
      <w:r>
        <w:t xml:space="preserve">insulin. Insulin-resistant adipose tissue carries the signature of cortisol exposure, which</w:t>
      </w:r>
      <w:r>
        <w:t xml:space="preserve"> </w:t>
      </w:r>
      <w:r>
        <w:t xml:space="preserve">thiazolidinedione does not reverse. What unifies obesity, Cushing syndrome and exogenous</w:t>
      </w:r>
      <w:r>
        <w:t xml:space="preserve"> </w:t>
      </w:r>
      <w:r>
        <w:t xml:space="preserve">hydrocortisone is not the amount of hormone but the strength of its rhythmic signal. A model in</w:t>
      </w:r>
      <w:r>
        <w:t xml:space="preserve"> </w:t>
      </w:r>
      <w:r>
        <w:t xml:space="preserve">which that strength is the product of the cortisol rhythm and receptor availability reproduces all</w:t>
      </w:r>
      <w:r>
        <w:t xml:space="preserve"> </w:t>
      </w:r>
      <w:r>
        <w:t xml:space="preserve">nine signature genes in direction, and their mean magnitude to within 4%, with no fitted parameter.</w:t>
      </w:r>
    </w:p>
    <w:p>
      <w:pPr>
        <w:pStyle w:val="BodyText"/>
      </w:pPr>
      <w:r>
        <w:rPr>
          <w:bCs/>
          <w:b/>
        </w:rPr>
        <w:t xml:space="preserve">Conclusions.</w:t>
      </w:r>
      <w:r>
        <w:t xml:space="preserve"> </w:t>
      </w:r>
      <w:r>
        <w:t xml:space="preserve">Glucocorticoid signalling tracks circadian output in human metabolic tissues, and</w:t>
      </w:r>
      <w:r>
        <w:t xml:space="preserve"> </w:t>
      </w:r>
      <w:r>
        <w:t xml:space="preserve">estimates the glucocorticoid signal a tissue receives, which no circulating measure provides.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circadian clock; glucocorticoid receptor; cortisol; insulin resistance; entrainment;</w:t>
      </w:r>
      <w:r>
        <w:t xml:space="preserve"> </w:t>
      </w:r>
      <w:r>
        <w:t xml:space="preserve">adipose tissue; skeletal muscle</w: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circadian clock of peripheral tissues is disrupted in obesity, insulin resistance and type 2</w:t>
      </w:r>
      <w:r>
        <w:t xml:space="preserve"> </w:t>
      </w:r>
      <w:r>
        <w:t xml:space="preserve">diabetes. Clock gene expression is altered in skeletal muscle and adipose tissue of affected</w:t>
      </w:r>
      <w:r>
        <w:t xml:space="preserve"> </w:t>
      </w:r>
      <w:r>
        <w:t xml:space="preserve">individuals, shift work and sleep</w:t>
      </w:r>
      <w:r>
        <w:t xml:space="preserve"> </w:t>
      </w:r>
      <w:r>
        <w:t xml:space="preserve">restriction raise metabolic risk, and clock gene mutations in rodents produce insulin resistance[1–5]. What remains unknown is the signal that sets the peripheral clock in humans, and therefore</w:t>
      </w:r>
      <w:r>
        <w:t xml:space="preserve"> </w:t>
      </w:r>
      <w:r>
        <w:t xml:space="preserve">what is broken when the clock is disrupted.</w:t>
      </w:r>
    </w:p>
    <w:p>
      <w:pPr>
        <w:pStyle w:val="BodyText"/>
      </w:pPr>
      <w:r>
        <w:t xml:space="preserve">Two candidates dominate. Insulin entrains peripheral oscillators in cultured cells and in rodent</w:t>
      </w:r>
      <w:r>
        <w:t xml:space="preserve"> </w:t>
      </w:r>
      <w:r>
        <w:t xml:space="preserve">tissue, and the proposal that feeding entrains the periphery through insulin is widely cited[6–8]. Glucocorticoids entrain peripheral clocks through glucocorticoid response elements in the</w:t>
      </w:r>
      <w:r>
        <w:t xml:space="preserve"> </w:t>
      </w:r>
      <w:r>
        <w:t xml:space="preserve">promoters of PER1 and PER2, and the cortisol rhythm is the canonical systemic timing signal[9–12].</w:t>
      </w:r>
      <w:r>
        <w:t xml:space="preserve"> </w:t>
      </w:r>
      <w:r>
        <w:t xml:space="preserve">The two hypotheses make opposite predictions about what happens to the clock in insulin resistance,</w:t>
      </w:r>
      <w:r>
        <w:t xml:space="preserve"> </w:t>
      </w:r>
      <w:r>
        <w:t xml:space="preserve">and they have not been separated in human tissue.</w:t>
      </w:r>
    </w:p>
    <w:p>
      <w:pPr>
        <w:pStyle w:val="BodyText"/>
      </w:pPr>
      <w:r>
        <w:t xml:space="preserve">The obstacle is design[24,25]. Separating hormone from time of day requires a perturbation with a</w:t>
      </w:r>
      <w:r>
        <w:t xml:space="preserve"> </w:t>
      </w:r>
      <w:r>
        <w:t xml:space="preserve">time-matched control, because any intervention that takes hours also moves the clock by those hours. Relating the clock to metabolic state requires a phenotype measured in the</w:t>
      </w:r>
      <w:r>
        <w:t xml:space="preserve"> </w:t>
      </w:r>
      <w:r>
        <w:t xml:space="preserve">same people. Distinguishing a systemic signal from a local programme requires two tissues from</w:t>
      </w:r>
      <w:r>
        <w:t xml:space="preserve"> </w:t>
      </w:r>
      <w:r>
        <w:t xml:space="preserve">the same person. No single human cohort has all three, and the cohorts that have one lack the</w:t>
      </w:r>
      <w:r>
        <w:t xml:space="preserve"> </w:t>
      </w:r>
      <w:r>
        <w:t xml:space="preserve">others. We therefore assembled twenty public datasets in which each design contributes one</w:t>
      </w:r>
      <w:r>
        <w:t xml:space="preserve"> </w:t>
      </w:r>
      <w:r>
        <w:t xml:space="preserve">element and the argument rests on their intersection. Cohorts with recorded sampling times calibrate what the passage of</w:t>
      </w:r>
      <w:r>
        <w:t xml:space="preserve"> </w:t>
      </w:r>
      <w:r>
        <w:t xml:space="preserve">time alone does to each gene; cohorts with repeated biopsies per person provide measured amplitude</w:t>
      </w:r>
      <w:r>
        <w:t xml:space="preserve"> </w:t>
      </w:r>
      <w:r>
        <w:t xml:space="preserve">against which to validate the inference; cohorts with paired tissues and large sample size provide</w:t>
      </w:r>
      <w:r>
        <w:t xml:space="preserve"> </w:t>
      </w:r>
      <w:r>
        <w:t xml:space="preserve">power; and perturbations with a time-matched control separate hormone from hour.</w:t>
      </w:r>
    </w:p>
    <w:p>
      <w:pPr>
        <w:pStyle w:val="BodyText"/>
      </w:pPr>
      <w:r>
        <w:t xml:space="preserve">Here we show that the peripheral clock of human metabolic tissues tracks glucocorticoid</w:t>
      </w:r>
      <w:r>
        <w:t xml:space="preserve"> </w:t>
      </w:r>
      <w:r>
        <w:t xml:space="preserve">signalling. We develop and validate a single-sample estimator of circadian phase and amplitude, use</w:t>
      </w:r>
      <w:r>
        <w:t xml:space="preserve"> </w:t>
      </w:r>
      <w:r>
        <w:t xml:space="preserve">it across four tissues and 2,900 individuals, and show that acute insulin is indistinguishable from</w:t>
      </w:r>
      <w:r>
        <w:t xml:space="preserve"> </w:t>
      </w:r>
      <w:r>
        <w:t xml:space="preserve">the passage of time while a physiological dose of hydrocortisone is not.</w:t>
      </w:r>
      <w:r>
        <w:t xml:space="preserve"> </w:t>
      </w:r>
      <w:r>
        <w:t xml:space="preserve">We then show that insulin-resistant adipose tissue carries the transcriptional signature of</w:t>
      </w:r>
      <w:r>
        <w:t xml:space="preserve"> </w:t>
      </w:r>
      <w:r>
        <w:t xml:space="preserve">cortisol exposure, and that a forced-oscillator model in which the effective forcing is the product</w:t>
      </w:r>
      <w:r>
        <w:t xml:space="preserve"> </w:t>
      </w:r>
      <w:r>
        <w:t xml:space="preserve">of the cortisol rhythm and receptor availability reproduces that signature without fitted</w:t>
      </w:r>
      <w:r>
        <w:t xml:space="preserve"> </w:t>
      </w:r>
      <w:r>
        <w:t xml:space="preserve">parameters. The picture that emerges is that what the peripheral clock reads is not the amount of</w:t>
      </w:r>
      <w:r>
        <w:t xml:space="preserve"> </w:t>
      </w:r>
      <w:r>
        <w:t xml:space="preserve">circulating hormone but the strength of the rhythmic signal a tissue actually receives, and that</w:t>
      </w:r>
      <w:r>
        <w:t xml:space="preserve"> </w:t>
      </w:r>
      <w:r>
        <w:t xml:space="preserve">this is what is reduced in insulin-resistant adipose tissue.</w:t>
      </w:r>
    </w:p>
    <w:p>
      <w:r>
        <w:pict>
          <v:rect style="width:0;height:1.5pt" o:hralign="center" o:hrstd="t" o:hr="t"/>
        </w:pict>
      </w:r>
    </w:p>
    <w:bookmarkEnd w:id="22"/>
    <w:bookmarkStart w:id="31" w:name="methods"/>
    <w:p>
      <w:pPr>
        <w:pStyle w:val="Heading2"/>
      </w:pPr>
      <w:r>
        <w:t xml:space="preserve">2. Methods</w:t>
      </w:r>
    </w:p>
    <w:p>
      <w:pPr>
        <w:pStyle w:val="FirstParagraph"/>
      </w:pPr>
      <w:r>
        <w:t xml:space="preserve">A full account of every procedure, with the parameter values, the sensitivity analyses and the</w:t>
      </w:r>
      <w:r>
        <w:t xml:space="preserve"> </w:t>
      </w:r>
      <w:r>
        <w:t xml:space="preserve">preprocessing decisions, is given in Supplementary Methods.</w:t>
      </w:r>
    </w:p>
    <w:bookmarkStart w:id="23" w:name="cohorts-and-preprocessing"/>
    <w:p>
      <w:pPr>
        <w:pStyle w:val="Heading3"/>
      </w:pPr>
      <w:r>
        <w:t xml:space="preserve">2.1 Cohorts and preprocessing</w:t>
      </w:r>
    </w:p>
    <w:p>
      <w:pPr>
        <w:pStyle w:val="FirstParagraph"/>
      </w:pPr>
      <w:r>
        <w:t xml:space="preserve">Nineteen public transcriptomic series and GTEx v11 were used, covering skeletal muscle,</w:t>
      </w:r>
      <w:r>
        <w:t xml:space="preserve"> </w:t>
      </w:r>
      <w:r>
        <w:t xml:space="preserve">subcutaneous and visceral adipose tissue, pancreatic islets and cultured myotubes from 2,900</w:t>
      </w:r>
      <w:r>
        <w:t xml:space="preserve"> </w:t>
      </w:r>
      <w:r>
        <w:t xml:space="preserve">individuals. Supplementary Table S1 lists for each series the accession, tissue, platform, sample</w:t>
      </w:r>
      <w:r>
        <w:t xml:space="preserve"> </w:t>
      </w:r>
      <w:r>
        <w:t xml:space="preserve">number and the role it plays in the analysis; two accessions are the two tissues of a single study</w:t>
      </w:r>
      <w:r>
        <w:t xml:space="preserve"> </w:t>
      </w:r>
      <w:r>
        <w:t xml:space="preserve">(GSE95674 and GSE95675, AAGMEx), while GSE182117 and GSE182120 are separate studies despite</w:t>
      </w:r>
      <w:r>
        <w:t xml:space="preserve"> </w:t>
      </w:r>
      <w:r>
        <w:t xml:space="preserve">adjacent accessions. Microarray series were annotated by Entrez identifier rather than by the</w:t>
      </w:r>
      <w:r>
        <w:t xml:space="preserve"> </w:t>
      </w:r>
      <w:r>
        <w:t xml:space="preserve">symbol supplied with the platform, because platform annotations age and 8.3% of GPL570 probes with a</w:t>
      </w:r>
      <w:r>
        <w:t xml:space="preserve"> </w:t>
      </w:r>
      <w:r>
        <w:t xml:space="preserve">single Entrez identifier carry a retired symbol[13] (Supplementary Fig. S3b,c and Supplementary Tables S14 and S15). RNA-seq series</w:t>
      </w:r>
      <w:r>
        <w:t xml:space="preserve"> </w:t>
      </w:r>
      <w:r>
        <w:t xml:space="preserve">were used as raw counts. Expression was centred per sample before any score was computed, because</w:t>
      </w:r>
      <w:r>
        <w:t xml:space="preserve"> </w:t>
      </w:r>
      <w:r>
        <w:t xml:space="preserve">without centring the median correlation of a randomly chosen gene with the clock-output score is</w:t>
      </w:r>
      <w:r>
        <w:t xml:space="preserve"> </w:t>
      </w:r>
      <w:r>
        <w:t xml:space="preserve">0.44 rather than zero in RNA-seq (Supplementary Fig. S3a and Supplementary Table S13).</w:t>
      </w:r>
    </w:p>
    <w:bookmarkEnd w:id="23"/>
    <w:bookmarkStart w:id="24" w:name="gene-sets"/>
    <w:p>
      <w:pPr>
        <w:pStyle w:val="Heading3"/>
      </w:pPr>
      <w:r>
        <w:t xml:space="preserve">2.2 Gene sets</w:t>
      </w:r>
    </w:p>
    <w:p>
      <w:pPr>
        <w:pStyle w:val="FirstParagraph"/>
      </w:pPr>
      <w:r>
        <w:t xml:space="preserve">The mammalian clock has two parts: a core transcriptional feedback loop that generates the</w:t>
      </w:r>
      <w:r>
        <w:t xml:space="preserve"> </w:t>
      </w:r>
      <w:r>
        <w:t xml:space="preserve">oscillation, and an output arm whose rhythm the loop drives and through which the clock reaches</w:t>
      </w:r>
      <w:r>
        <w:t xml:space="preserve"> </w:t>
      </w:r>
      <w:r>
        <w:t xml:space="preserve">metabolism. Clock output was quantified as the mean z-score of PER1, PER2, PER3, NR1D1, NR1D2, DBP,</w:t>
      </w:r>
      <w:r>
        <w:t xml:space="preserve"> </w:t>
      </w:r>
      <w:r>
        <w:t xml:space="preserve">TEF, HLF and CIART, the output arm of the mammalian oscillator as defined in the circadian</w:t>
      </w:r>
      <w:r>
        <w:t xml:space="preserve"> </w:t>
      </w:r>
      <w:r>
        <w:t xml:space="preserve">literature[9,11], excluding the core negative-feedback components, which were scored</w:t>
      </w:r>
      <w:r>
        <w:t xml:space="preserve"> </w:t>
      </w:r>
      <w:r>
        <w:t xml:space="preserve">separately. Receptor level was taken as the expression of NR3C1, the gene encoding the glucocorticoid</w:t>
      </w:r>
      <w:r>
        <w:t xml:space="preserve"> </w:t>
      </w:r>
      <w:r>
        <w:t xml:space="preserve">receptor. Glucocorticoid signalling was quantified as the mean z-score of FKBP5, TSC22D3, ZBTB16,</w:t>
      </w:r>
      <w:r>
        <w:t xml:space="preserve"> </w:t>
      </w:r>
      <w:r>
        <w:t xml:space="preserve">KLF15, DDIT4, SESN1, GLUL, SGK1 and CEBPD, canonical direct targets of the receptor curated from</w:t>
      </w:r>
      <w:r>
        <w:t xml:space="preserve"> </w:t>
      </w:r>
      <w:r>
        <w:t xml:space="preserve">the glucocorticoid signalling literature[9,10,12]. Both sets were fixed before any analysis</w:t>
      </w:r>
      <w:r>
        <w:t xml:space="preserve"> </w:t>
      </w:r>
      <w:r>
        <w:t xml:space="preserve">of these cohorts (Supplementary Table S2). No usable glucocorticoid-response set exists in MSigDB</w:t>
      </w:r>
      <w:r>
        <w:t xml:space="preserve"> </w:t>
      </w:r>
      <w:r>
        <w:t xml:space="preserve">for metabolic tissue[22]; a set derived empirically from the hydrocortisone perturbation</w:t>
      </w:r>
      <w:r>
        <w:t xml:space="preserve"> </w:t>
      </w:r>
      <w:r>
        <w:t xml:space="preserve">failed to validate against Cushing syndrome and dexamethasone and was not used (Supplementary Fig. S6 and Supplementary Table S17).</w:t>
      </w:r>
    </w:p>
    <w:bookmarkEnd w:id="24"/>
    <w:bookmarkStart w:id="25" w:name="Xc104dd7ea392bd980d3b7f5d7db98f398b78493"/>
    <w:p>
      <w:pPr>
        <w:pStyle w:val="Heading3"/>
      </w:pPr>
      <w:r>
        <w:t xml:space="preserve">2.3 Single-sample estimation of phase and amplitude</w:t>
      </w:r>
    </w:p>
    <w:p>
      <w:pPr>
        <w:pStyle w:val="FirstParagraph"/>
      </w:pPr>
      <w:r>
        <w:t xml:space="preserve">A bulk biopsy is one point of a 24-h cycle whose sampling time is usually unrecorded, so phase and</w:t>
      </w:r>
      <w:r>
        <w:t xml:space="preserve"> </w:t>
      </w:r>
      <w:r>
        <w:t xml:space="preserve">amplitude must be recovered from the sample itself. The estimator has three steps.</w:t>
      </w:r>
    </w:p>
    <w:p>
      <w:pPr>
        <w:pStyle w:val="BodyText"/>
      </w:pPr>
      <w:r>
        <w:rPr>
          <w:iCs/>
          <w:i/>
        </w:rPr>
        <w:t xml:space="preserve">Ordering.</w:t>
      </w:r>
      <w:r>
        <w:t xml:space="preserve"> </w:t>
      </w:r>
      <w:r>
        <w:t xml:space="preserve">Expression of the clock genes is standardised across the samples of a cohort to give</w:t>
      </w:r>
      <w:r>
        <w:t xml:space="preserve"> </w:t>
      </w:r>
      <w:r>
        <w:rPr>
          <w:iCs/>
          <w:i/>
        </w:rPr>
        <w:t xml:space="preserve">z</w:t>
      </w:r>
      <w:r>
        <w:t xml:space="preserve">ig</w:t>
      </w:r>
      <w:r>
        <w:t xml:space="preserve"> </w:t>
      </w:r>
      <w:r>
        <w:t xml:space="preserve">for gene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in sample</w:t>
      </w:r>
      <w:r>
        <w:t xml:space="preserve"> </w:t>
      </w:r>
      <w:r>
        <w:rPr>
          <w:iCs/>
          <w:i/>
        </w:rPr>
        <w:t xml:space="preserve">i</w:t>
      </w:r>
      <w:r>
        <w:t xml:space="preserve">. Because the clock genes rise and fall in a fixed</w:t>
      </w:r>
      <w:r>
        <w:t xml:space="preserve"> </w:t>
      </w:r>
      <w:r>
        <w:t xml:space="preserve">sequence, samples taken at different times lie on a closed curve in that gene space, and a cohort</w:t>
      </w:r>
      <w:r>
        <w:t xml:space="preserve"> </w:t>
      </w:r>
      <w:r>
        <w:t xml:space="preserve">recovers the cycle even when no sampling time is known. Each sample is assigned an angular position</w:t>
      </w:r>
      <w:r>
        <w:t xml:space="preserve"> </w:t>
      </w:r>
      <w:r>
        <w:t xml:space="preserve">φ</w:t>
      </w:r>
      <w:r>
        <w:t xml:space="preserve">i</w:t>
      </w:r>
      <w:r>
        <w:t xml:space="preserve"> </w:t>
      </w:r>
      <w:r>
        <w:t xml:space="preserve">on that curve, the inferred phase, which is free up to a rotation and a direction of</w:t>
      </w:r>
      <w:r>
        <w:t xml:space="preserve"> </w:t>
      </w:r>
      <w:r>
        <w:t xml:space="preserve">travel: only phase</w:t>
      </w:r>
      <w:r>
        <w:t xml:space="preserve"> </w:t>
      </w:r>
      <w:r>
        <w:rPr>
          <w:iCs/>
          <w:i/>
        </w:rPr>
        <w:t xml:space="preserve">differences</w:t>
      </w:r>
      <w:r>
        <w:t xml:space="preserve"> </w:t>
      </w:r>
      <w:r>
        <w:t xml:space="preserve">are interpretable, never absolute clock time.</w:t>
      </w:r>
    </w:p>
    <w:p>
      <w:pPr>
        <w:pStyle w:val="BodyText"/>
      </w:pPr>
      <w:r>
        <w:rPr>
          <w:iCs/>
          <w:i/>
        </w:rPr>
        <w:t xml:space="preserve">Template.</w:t>
      </w:r>
      <w:r>
        <w:t xml:space="preserve"> </w:t>
      </w:r>
      <w:r>
        <w:t xml:space="preserve">The waveform of each gene on the circle is summarised by its first-harmonic</w:t>
      </w:r>
      <w:r>
        <w:t xml:space="preserve"> </w:t>
      </w:r>
      <w:r>
        <w:t xml:space="preserve">coefficients</w:t>
      </w:r>
      <w:r>
        <w:t xml:space="preserve"> </w:t>
      </w:r>
      <w:r>
        <w:rPr>
          <w:iCs/>
          <w:i/>
        </w:rPr>
        <w:t xml:space="preserve">a</w:t>
      </w:r>
      <w:r>
        <w:t xml:space="preserve">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b</w:t>
      </w:r>
      <w:r>
        <w:t xml:space="preserve">g</w:t>
      </w:r>
      <w:r>
        <w:t xml:space="preserve">, so gene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peaks at angle</w:t>
      </w:r>
      <w:r>
        <w:t xml:space="preserve"> </w:t>
      </w:r>
      <w:r>
        <w:t xml:space="preserve">arctan(</w:t>
      </w:r>
      <w:r>
        <w:rPr>
          <w:iCs/>
          <w:i/>
        </w:rPr>
        <w:t xml:space="preserve">b</w:t>
      </w:r>
      <w:r>
        <w:t xml:space="preserve">g</w:t>
      </w:r>
      <w:r>
        <w:t xml:space="preserve">/</w:t>
      </w:r>
      <w:r>
        <w:rPr>
          <w:iCs/>
          <w:i/>
        </w:rPr>
        <w:t xml:space="preserve">a</w:t>
      </w:r>
      <w:r>
        <w:t xml:space="preserve">g</w:t>
      </w:r>
      <w:r>
        <w:t xml:space="preserve">). The template may come from the cohort itself or from an</w:t>
      </w:r>
      <w:r>
        <w:t xml:space="preserve"> </w:t>
      </w:r>
      <w:r>
        <w:t xml:space="preserve">external cohort with recorded times; an external template is what makes phase comparable between</w:t>
      </w:r>
      <w:r>
        <w:t xml:space="preserve"> </w:t>
      </w:r>
      <w:r>
        <w:t xml:space="preserve">tissues (Supplementary Methods).</w:t>
      </w:r>
    </w:p>
    <w:p>
      <w:pPr>
        <w:pStyle w:val="BodyText"/>
      </w:pPr>
      <w:r>
        <w:rPr>
          <w:iCs/>
          <w:i/>
        </w:rPr>
        <w:t xml:space="preserve">Amplitude.</w:t>
      </w:r>
      <w:r>
        <w:t xml:space="preserve"> </w:t>
      </w:r>
      <w:r>
        <w:t xml:space="preserve">The amplitude of a sample is how far it sits from the centre of the cycle along the</w:t>
      </w:r>
      <w:r>
        <w:t xml:space="preserve"> </w:t>
      </w:r>
      <w:r>
        <w:t xml:space="preserve">direction of its own phase,</w:t>
      </w:r>
    </w:p>
    <w:p>
      <w:pPr>
        <w:pStyle w:val="BodyText"/>
      </w:pPr>
      <w:r>
        <w:rPr>
          <w:iCs/>
          <w:i/>
        </w:rPr>
        <w:t xml:space="preserve">A</w:t>
      </w:r>
      <w:r>
        <w:t xml:space="preserve">i</w:t>
      </w:r>
      <w:r>
        <w:t xml:space="preserve"> </w:t>
      </w:r>
      <w:r>
        <w:t xml:space="preserve">= Σ</w:t>
      </w:r>
      <w:r>
        <w:t xml:space="preserve">g</w:t>
      </w:r>
      <w:r>
        <w:t xml:space="preserve"> </w:t>
      </w:r>
      <w:r>
        <w:rPr>
          <w:iCs/>
          <w:i/>
        </w:rPr>
        <w:t xml:space="preserve">z</w:t>
      </w:r>
      <w:r>
        <w:t xml:space="preserve">ig</w:t>
      </w:r>
      <w:r>
        <w:t xml:space="preserve"> </w:t>
      </w:r>
      <w:r>
        <w:t xml:space="preserve">(</w:t>
      </w:r>
      <w:r>
        <w:rPr>
          <w:iCs/>
          <w:i/>
        </w:rPr>
        <w:t xml:space="preserve">a</w:t>
      </w:r>
      <w:r>
        <w:t xml:space="preserve">g</w:t>
      </w:r>
      <w:r>
        <w:t xml:space="preserve"> </w:t>
      </w:r>
      <w:r>
        <w:t xml:space="preserve">cos φ</w:t>
      </w:r>
      <w:r>
        <w:t xml:space="preserve">i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b</w:t>
      </w:r>
      <w:r>
        <w:t xml:space="preserve">g</w:t>
      </w:r>
      <w:r>
        <w:t xml:space="preserve"> </w:t>
      </w:r>
      <w:r>
        <w:t xml:space="preserve">sin φ</w:t>
      </w:r>
      <w:r>
        <w:t xml:space="preserve">i</w:t>
      </w:r>
      <w:r>
        <w:t xml:space="preserve">) / √</w:t>
      </w:r>
      <w:r>
        <w:rPr>
          <w:iCs/>
          <w:i/>
        </w:rPr>
        <w:t xml:space="preserve">G</w:t>
      </w:r>
      <w:r>
        <w:t xml:space="preserve"> </w:t>
      </w:r>
      <w:r>
        <w:t xml:space="preserve">(1)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Cs/>
          <w:i/>
        </w:rPr>
        <w:t xml:space="preserve">G</w:t>
      </w:r>
      <w:r>
        <w:t xml:space="preserve"> </w:t>
      </w:r>
      <w:r>
        <w:t xml:space="preserve">is the number of clock genes measured and the normalisation by √</w:t>
      </w:r>
      <w:r>
        <w:rPr>
          <w:iCs/>
          <w:i/>
        </w:rPr>
        <w:t xml:space="preserve">G</w:t>
      </w:r>
      <w:r>
        <w:t xml:space="preserve"> </w:t>
      </w:r>
      <w:r>
        <w:t xml:space="preserve">makes amplitudes</w:t>
      </w:r>
      <w:r>
        <w:t xml:space="preserve"> </w:t>
      </w:r>
      <w:r>
        <w:t xml:space="preserve">comparable between platforms with different gene coverage. A sample whose clock genes sit near their cohort mean has an</w:t>
      </w:r>
      <w:r>
        <w:t xml:space="preserve"> </w:t>
      </w:r>
      <w:r>
        <w:t xml:space="preserve">amplitude near zero whatever its phase. Because the projection is taken at the sample’s own phase,</w:t>
      </w:r>
      <w:r>
        <w:t xml:space="preserve"> </w:t>
      </w:r>
      <w:r>
        <w:t xml:space="preserve">amplitude is independent of phase by construction.</w:t>
      </w:r>
    </w:p>
    <w:p>
      <w:pPr>
        <w:pStyle w:val="BodyText"/>
      </w:pPr>
      <w:r>
        <w:t xml:space="preserve">Phase is assigned by the signed, not the absolute, projection. With a single harmonic the absolute</w:t>
      </w:r>
      <w:r>
        <w:t xml:space="preserve"> </w:t>
      </w:r>
      <w:r>
        <w:t xml:space="preserve">value cannot distinguish phase from antiphase, and on real data that rule reassigns 34 to 36% of</w:t>
      </w:r>
      <w:r>
        <w:t xml:space="preserve"> </w:t>
      </w:r>
      <w:r>
        <w:t xml:space="preserve">samples by more than 9 h (Supplementary Methods).</w:t>
      </w:r>
    </w:p>
    <w:p>
      <w:pPr>
        <w:pStyle w:val="BodyText"/>
      </w:pPr>
      <w:r>
        <w:t xml:space="preserve">Two variants were used as sensitivity analyses: an</w:t>
      </w:r>
      <w:r>
        <w:t xml:space="preserve"> </w:t>
      </w:r>
      <w:r>
        <w:rPr>
          <w:iCs/>
          <w:i/>
        </w:rPr>
        <w:t xml:space="preserve">anchored</w:t>
      </w:r>
      <w:r>
        <w:t xml:space="preserve"> </w:t>
      </w:r>
      <w:r>
        <w:t xml:space="preserve">one that fixes the period against an</w:t>
      </w:r>
      <w:r>
        <w:t xml:space="preserve"> </w:t>
      </w:r>
      <w:r>
        <w:t xml:space="preserve">external template, which resolves phase but degrades amplitude, and the</w:t>
      </w:r>
      <w:r>
        <w:t xml:space="preserve"> </w:t>
      </w:r>
      <w:r>
        <w:rPr>
          <w:iCs/>
          <w:i/>
        </w:rPr>
        <w:t xml:space="preserve">free</w:t>
      </w:r>
      <w:r>
        <w:t xml:space="preserve"> </w:t>
      </w:r>
      <w:r>
        <w:t xml:space="preserve">one used throughout,</w:t>
      </w:r>
      <w:r>
        <w:t xml:space="preserve"> </w:t>
      </w:r>
      <w:r>
        <w:t xml:space="preserve">which resolves amplitude but not period. A projection onto the full 800-gene template does not</w:t>
      </w:r>
      <w:r>
        <w:t xml:space="preserve"> </w:t>
      </w:r>
      <w:r>
        <w:t xml:space="preserve">validate against cosinor and is shown only to demonstrate that the choice matters (Supplementary</w:t>
      </w:r>
      <w:r>
        <w:t xml:space="preserve"> </w:t>
      </w:r>
      <w:r>
        <w:t xml:space="preserve">Fig. S2 and Supplementary Table S11).</w:t>
      </w:r>
    </w:p>
    <w:p>
      <w:pPr>
        <w:pStyle w:val="BodyText"/>
      </w:pPr>
      <w:r>
        <w:rPr>
          <w:iCs/>
          <w:i/>
        </w:rPr>
        <w:t xml:space="preserve">Validation.</w:t>
      </w:r>
      <w:r>
        <w:t xml:space="preserve"> </w:t>
      </w:r>
      <w:r>
        <w:t xml:space="preserve">Measured amplitude, the reference, was obtained by cosinor regression[41] of</w:t>
      </w:r>
      <w:r>
        <w:t xml:space="preserve"> </w:t>
      </w:r>
      <w:r>
        <w:t xml:space="preserve">each clock gene on recorded sampling time with a 24-h period, taking the modulus of the</w:t>
      </w:r>
      <w:r>
        <w:t xml:space="preserve"> </w:t>
      </w:r>
      <w:r>
        <w:t xml:space="preserve">first-harmonic coefficients. Validation was leave-one-out at two levels: the retained sample was</w:t>
      </w:r>
      <w:r>
        <w:t xml:space="preserve"> </w:t>
      </w:r>
      <w:r>
        <w:t xml:space="preserve">excluded from the cosinor fit of its own donor, and the whole donor was excluded from the ordering</w:t>
      </w:r>
      <w:r>
        <w:t xml:space="preserve"> </w:t>
      </w:r>
      <w:r>
        <w:t xml:space="preserve">and from the template, so that nothing of the evaluated donor enters its own estimate</w:t>
      </w:r>
      <w:r>
        <w:t xml:space="preserve"> </w:t>
      </w:r>
      <w:r>
        <w:t xml:space="preserve">(Supplementary Table S5).</w:t>
      </w:r>
    </w:p>
    <w:p>
      <w:pPr>
        <w:pStyle w:val="BodyText"/>
      </w:pPr>
      <w:r>
        <w:rPr>
          <w:iCs/>
          <w:i/>
        </w:rPr>
        <w:t xml:space="preserve">Relation to published methods.</w:t>
      </w:r>
      <w:r>
        <w:t xml:space="preserve"> </w:t>
      </w:r>
      <w:r>
        <w:t xml:space="preserve">CHIRAL[36,37], CYCLOPS[38], ZeitZeiger[39] and</w:t>
      </w:r>
      <w:r>
        <w:t xml:space="preserve"> </w:t>
      </w:r>
      <w:r>
        <w:t xml:space="preserve">TimeSignature[40] infer the circadian time of a single sample; none returns a per-sample amplitude,</w:t>
      </w:r>
      <w:r>
        <w:t xml:space="preserve"> </w:t>
      </w:r>
      <w:r>
        <w:t xml:space="preserve">the quantity the analyses below require. Published phase inference was therefore used as a</w:t>
      </w:r>
      <w:r>
        <w:t xml:space="preserve"> </w:t>
      </w:r>
      <w:r>
        <w:t xml:space="preserve">concordance control. Taking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|mean</w:t>
      </w:r>
      <w:r>
        <w:t xml:space="preserve">i</w:t>
      </w:r>
      <w:r>
        <w:t xml:space="preserve"> </w:t>
      </w:r>
      <w:r>
        <w:t xml:space="preserve">exp(i(φ</w:t>
      </w:r>
      <w:r>
        <w:t xml:space="preserve">muscle,i</w:t>
      </w:r>
      <w:r>
        <w:t xml:space="preserve"> </w:t>
      </w:r>
      <w:r>
        <w:t xml:space="preserve">−</w:t>
      </w:r>
      <w:r>
        <w:t xml:space="preserve"> </w:t>
      </w:r>
      <w:r>
        <w:t xml:space="preserve">φ</w:t>
      </w:r>
      <w:r>
        <w:t xml:space="preserve">adipose,i</w:t>
      </w:r>
      <w:r>
        <w:t xml:space="preserve">))|, the concentration of the muscle-to-adipose phase difference across</w:t>
      </w:r>
      <w:r>
        <w:t xml:space="preserve"> </w:t>
      </w:r>
      <w:r>
        <w:t xml:space="preserve">donors, our estimator and CHIRAL both detect the coupling in the two cohorts with paired tissues</w:t>
      </w:r>
      <w:r>
        <w:t xml:space="preserve"> </w:t>
      </w:r>
      <w:r>
        <w:t xml:space="preserve">(</w:t>
      </w:r>
      <w:r>
        <w:rPr>
          <w:iCs/>
          <w:i/>
        </w:rPr>
        <w:t xml:space="preserve">R</w:t>
      </w:r>
      <w:r>
        <w:t xml:space="preserve"> </w:t>
      </w:r>
      <w:r>
        <w:t xml:space="preserve">= 0.19 and 0.15 in AAGMEx, 232 donors; 0.46 and 0.29 in GTEx, 647 donors; all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≤ 0.007),</w:t>
      </w:r>
      <w:r>
        <w:t xml:space="preserve"> </w:t>
      </w:r>
      <w:r>
        <w:t xml:space="preserve">with the magnitude depending on the implementation (Supplementary Methods).</w:t>
      </w:r>
    </w:p>
    <w:bookmarkEnd w:id="25"/>
    <w:bookmarkStart w:id="26" w:name="X1a475f1f78c02966d3d643cb2bba877938c15dd"/>
    <w:p>
      <w:pPr>
        <w:pStyle w:val="Heading3"/>
      </w:pPr>
      <w:r>
        <w:t xml:space="preserve">2.4 Differential expression, gene sets and enrichment</w:t>
      </w:r>
    </w:p>
    <w:p>
      <w:pPr>
        <w:pStyle w:val="FirstParagraph"/>
      </w:pPr>
      <w:r>
        <w:rPr>
          <w:iCs/>
          <w:i/>
        </w:rPr>
        <w:t xml:space="preserve">Differential expression.</w:t>
      </w:r>
      <w:r>
        <w:t xml:space="preserve"> </w:t>
      </w:r>
      <w:r>
        <w:t xml:space="preserve">Microarray cohorts were analysed with a moderated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statistic: the</w:t>
      </w:r>
      <w:r>
        <w:t xml:space="preserve"> </w:t>
      </w:r>
      <w:r>
        <w:t xml:space="preserve">variance of each gene is shrunk towards a prior estimated from all genes, which stabilises the</w:t>
      </w:r>
      <w:r>
        <w:t xml:space="preserve"> </w:t>
      </w:r>
      <w:r>
        <w:t xml:space="preserve">statistic when few samples are available, and the degrees of freedom are augmented</w:t>
      </w:r>
      <w:r>
        <w:t xml:space="preserve"> </w:t>
      </w:r>
      <w:r>
        <w:t xml:space="preserve">accordingly[14]. RNA-seq cohorts were analysed with PyDESeq2[15] on raw counts,</w:t>
      </w:r>
      <w:r>
        <w:t xml:space="preserve"> </w:t>
      </w:r>
      <w:r>
        <w:t xml:space="preserve">fitting a negative binomial model with gene-wise dispersion shrinkage.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values were corrected by</w:t>
      </w:r>
      <w:r>
        <w:t xml:space="preserve"> </w:t>
      </w:r>
      <w:r>
        <w:t xml:space="preserve">Benjamini–Hochberg[16] and reported as FDR. Within-person designs were analysed as the</w:t>
      </w:r>
      <w:r>
        <w:t xml:space="preserve"> </w:t>
      </w:r>
      <w:r>
        <w:t xml:space="preserve">per-person difference with a Wilcoxon signed-rank test, reporting also the number of participants</w:t>
      </w:r>
      <w:r>
        <w:t xml:space="preserve"> </w:t>
      </w:r>
      <w:r>
        <w:t xml:space="preserve">changing in each direction, which is what the figures show (Supplementary Tables S3 and S19).</w:t>
      </w:r>
    </w:p>
    <w:p>
      <w:pPr>
        <w:pStyle w:val="BodyText"/>
      </w:pPr>
      <w:r>
        <w:t xml:space="preserve">The insulin-resistant against insulin-sensitive contrast of GSE13070 is unbalanced (35 against 6),</w:t>
      </w:r>
      <w:r>
        <w:t xml:space="preserve"> </w:t>
      </w:r>
      <w:r>
        <w:t xml:space="preserve">so it is excluded from the differential expression of Fig. 1, where imbalance inflates the gene</w:t>
      </w:r>
      <w:r>
        <w:t xml:space="preserve"> </w:t>
      </w:r>
      <w:r>
        <w:t xml:space="preserve">count, and used only to define a profile of change compared with other profiles, where imbalance</w:t>
      </w:r>
      <w:r>
        <w:t xml:space="preserve"> </w:t>
      </w:r>
      <w:r>
        <w:t xml:space="preserve">costs precision but does not bias direction.</w:t>
      </w:r>
    </w:p>
    <w:p>
      <w:pPr>
        <w:pStyle w:val="BodyText"/>
      </w:pPr>
      <w:r>
        <w:rPr>
          <w:iCs/>
          <w:i/>
        </w:rPr>
        <w:t xml:space="preserve">Gene-set enrichment.</w:t>
      </w:r>
      <w:r>
        <w:t xml:space="preserve"> </w:t>
      </w:r>
      <w:r>
        <w:t xml:space="preserve">Set-level change was expressed as</w:t>
      </w:r>
    </w:p>
    <w:p>
      <w:pPr>
        <w:pStyle w:val="BodyText"/>
      </w:pPr>
      <w:r>
        <w:rPr>
          <w:iCs/>
          <w:i/>
        </w:rPr>
        <w:t xml:space="preserve">z</w:t>
      </w:r>
      <w:r>
        <w:t xml:space="preserve"> </w:t>
      </w:r>
      <w:r>
        <w:t xml:space="preserve">= (</w:t>
      </w:r>
      <w:r>
        <w:rPr>
          <w:iCs/>
          <w:i/>
        </w:rPr>
        <w:t xml:space="preserve">m</w:t>
      </w:r>
      <w:r>
        <w:t xml:space="preserve">obs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m</w:t>
      </w:r>
      <w:r>
        <w:t xml:space="preserve">null</w:t>
      </w:r>
      <w:r>
        <w:t xml:space="preserve">)/</w:t>
      </w:r>
      <w:r>
        <w:rPr>
          <w:iCs/>
          <w:i/>
        </w:rPr>
        <w:t xml:space="preserve">s</w:t>
      </w:r>
      <w:r>
        <w:t xml:space="preserve">null</w:t>
      </w:r>
      <w:r>
        <w:t xml:space="preserve"> </w:t>
      </w:r>
      <w:r>
        <w:t xml:space="preserve">(2)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Cs/>
          <w:i/>
        </w:rPr>
        <w:t xml:space="preserve">m</w:t>
      </w:r>
      <w:r>
        <w:t xml:space="preserve">obs</w:t>
      </w:r>
      <w:r>
        <w:t xml:space="preserve"> </w:t>
      </w:r>
      <w:r>
        <w:t xml:space="preserve">is the mean statistic of the genes</w:t>
      </w:r>
      <w:r>
        <w:t xml:space="preserve"> </w:t>
      </w:r>
      <w:r>
        <w:t xml:space="preserve">in the set and</w:t>
      </w:r>
      <w:r>
        <w:t xml:space="preserve"> </w:t>
      </w:r>
      <w:r>
        <w:rPr>
          <w:iCs/>
          <w:i/>
        </w:rPr>
        <w:t xml:space="preserve">m</w:t>
      </w:r>
      <w:r>
        <w:t xml:space="preserve">null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</w:t>
      </w:r>
      <w:r>
        <w:t xml:space="preserve">null</w:t>
      </w:r>
      <w:r>
        <w:t xml:space="preserve"> </w:t>
      </w:r>
      <w:r>
        <w:t xml:space="preserve">are the mean and standard deviation of the</w:t>
      </w:r>
      <w:r>
        <w:t xml:space="preserve"> </w:t>
      </w:r>
      <w:r>
        <w:t xml:space="preserve">same quantity across 2,000 sets of equal size drawn at random from the genes measured in that</w:t>
      </w:r>
      <w:r>
        <w:t xml:space="preserve"> </w:t>
      </w:r>
      <w:r>
        <w:t xml:space="preserve">cohort. Sampling from the measured universe rather than from a reference list keeps the null free of</w:t>
      </w:r>
      <w:r>
        <w:t xml:space="preserve"> </w:t>
      </w:r>
      <w:r>
        <w:t xml:space="preserve">platform coverage. Collections were tested against a continuous ranking of all genes by their</w:t>
      </w:r>
      <w:r>
        <w:t xml:space="preserve"> </w:t>
      </w:r>
      <w:r>
        <w:t xml:space="preserve">partial correlation with receptor level, rather than against a list of significant genes, so no</w:t>
      </w:r>
      <w:r>
        <w:t xml:space="preserve"> </w:t>
      </w:r>
      <w:r>
        <w:t xml:space="preserve">significance threshold enters the enrichment (Supplementary Tables S4 and S12).</w:t>
      </w:r>
    </w:p>
    <w:p>
      <w:pPr>
        <w:pStyle w:val="BodyText"/>
      </w:pPr>
      <w:r>
        <w:rPr>
          <w:iCs/>
          <w:i/>
        </w:rPr>
        <w:t xml:space="preserve">Transcription-factor activity.</w:t>
      </w:r>
      <w:r>
        <w:t xml:space="preserve"> </w:t>
      </w:r>
      <w:r>
        <w:t xml:space="preserve">Regulons were taken from DoRothEA confidence levels A to C, which</w:t>
      </w:r>
      <w:r>
        <w:t xml:space="preserve"> </w:t>
      </w:r>
      <w:r>
        <w:t xml:space="preserve">are the interactions supported by curated literature, ChIP-seq and binding motifs[23]. The</w:t>
      </w:r>
      <w:r>
        <w:t xml:space="preserve"> </w:t>
      </w:r>
      <w:r>
        <w:t xml:space="preserve">activity of a factor in a sample is the mean z-score of its targets, each weighted by the sign of</w:t>
      </w:r>
      <w:r>
        <w:t xml:space="preserve"> </w:t>
      </w:r>
      <w:r>
        <w:t xml:space="preserve">the interaction so that repressed targets contribute with the opposite sign. Clock genes were</w:t>
      </w:r>
      <w:r>
        <w:t xml:space="preserve"> </w:t>
      </w:r>
      <w:r>
        <w:t xml:space="preserve">removed from every regulon before correlating activity with clock output, because leaving them in</w:t>
      </w:r>
      <w:r>
        <w:t xml:space="preserve"> </w:t>
      </w:r>
      <w:r>
        <w:t xml:space="preserve">makes the correlation circular (Supplementary Fig. S4 and Supplementary Tables S9 and S18).</w:t>
      </w:r>
    </w:p>
    <w:bookmarkEnd w:id="26"/>
    <w:bookmarkStart w:id="27" w:name="dispersion-of-inferred-amplitude"/>
    <w:p>
      <w:pPr>
        <w:pStyle w:val="Heading3"/>
      </w:pPr>
      <w:r>
        <w:t xml:space="preserve">2.5 Dispersion of inferred amplitude</w:t>
      </w:r>
    </w:p>
    <w:p>
      <w:pPr>
        <w:pStyle w:val="FirstParagraph"/>
      </w:pPr>
      <w:r>
        <w:t xml:space="preserve">Because per-sample amplitude is attenuated, the variance between individuals contains a measurement</w:t>
      </w:r>
      <w:r>
        <w:t xml:space="preserve"> </w:t>
      </w:r>
      <w:r>
        <w:t xml:space="preserve">component. To separate the two, amplitude was re-inferred 80 times per person from random 60%</w:t>
      </w:r>
      <w:r>
        <w:t xml:space="preserve"> </w:t>
      </w:r>
      <w:r>
        <w:t xml:space="preserve">subsets of the clock genes; the dispersion across re-inferences is the measurement noise of that</w:t>
      </w:r>
      <w:r>
        <w:t xml:space="preserve"> </w:t>
      </w:r>
      <w:r>
        <w:t xml:space="preserve">person, and the mean is their amplitude. Groups were compared on the ratio of the 5–95 percentile</w:t>
      </w:r>
      <w:r>
        <w:t xml:space="preserve"> </w:t>
      </w:r>
      <w:r>
        <w:t xml:space="preserve">range of the person-level amplitude, with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from 3,000 permutations, and on the noise itself</w:t>
      </w:r>
      <w:r>
        <w:t xml:space="preserve"> </w:t>
      </w:r>
      <w:r>
        <w:t xml:space="preserve">(Supplementary Methods).</w:t>
      </w:r>
    </w:p>
    <w:bookmarkEnd w:id="27"/>
    <w:bookmarkStart w:id="28" w:name="meta-analysis"/>
    <w:p>
      <w:pPr>
        <w:pStyle w:val="Heading3"/>
      </w:pPr>
      <w:r>
        <w:t xml:space="preserve">2.6 Meta-analysis</w:t>
      </w:r>
    </w:p>
    <w:p>
      <w:pPr>
        <w:pStyle w:val="FirstParagraph"/>
      </w:pPr>
      <w:r>
        <w:t xml:space="preserve">Per-cohort Spearman correlations were transformed as</w:t>
      </w:r>
      <w:r>
        <w:t xml:space="preserve"> </w:t>
      </w:r>
      <w:r>
        <w:rPr>
          <w:iCs/>
          <w:i/>
        </w:rPr>
        <w:t xml:space="preserve">z</w:t>
      </w:r>
      <w:r>
        <w:t xml:space="preserve"> </w:t>
      </w:r>
      <w:r>
        <w:t xml:space="preserve">= arctanh(ρ) with variance 1/(</w:t>
      </w:r>
      <w:r>
        <w:rPr>
          <w:iCs/>
          <w:i/>
        </w:rPr>
        <w:t xml:space="preserve">n</w:t>
      </w:r>
      <w:r>
        <w:t xml:space="preserve"> </w:t>
      </w:r>
      <w:r>
        <w:t xml:space="preserve">− 3 −</w:t>
      </w:r>
      <w:r>
        <w:t xml:space="preserve"> </w:t>
      </w:r>
      <w:r>
        <w:rPr>
          <w:iCs/>
          <w:i/>
        </w:rPr>
        <w:t xml:space="preserve">k</w:t>
      </w:r>
      <w:r>
        <w:t xml:space="preserve">) (3)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is the number of individuals and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the number of covariates regressed</w:t>
      </w:r>
      <w:r>
        <w:t xml:space="preserve"> </w:t>
      </w:r>
      <w:r>
        <w:t xml:space="preserve">out. Because several cohorts contribute more than one tissue from overlapping donors, the estimates</w:t>
      </w:r>
      <w:r>
        <w:t xml:space="preserve"> </w:t>
      </w:r>
      <w:r>
        <w:t xml:space="preserve">are not independent: the primary estimate is from a three-level random-effects model fitted by</w:t>
      </w:r>
      <w:r>
        <w:t xml:space="preserve"> </w:t>
      </w:r>
      <w:r>
        <w:t xml:space="preserve">restricted maximum likelihood, with estimates nested in cohort and two variance components (τ²</w:t>
      </w:r>
      <w:r>
        <w:t xml:space="preserve"> </w:t>
      </w:r>
      <w:r>
        <w:t xml:space="preserve">between cohorts, σ² between estimates within cohort). DerSimonian–Laird[17] two-level</w:t>
      </w:r>
      <w:r>
        <w:t xml:space="preserve"> </w:t>
      </w:r>
      <w:r>
        <w:t xml:space="preserve">estimates and cluster-robust variance with a small-sample correction are reported alongside it</w:t>
      </w:r>
      <w:r>
        <w:t xml:space="preserve"> </w:t>
      </w:r>
      <w:r>
        <w:t xml:space="preserve">(Supplementary Table S6 and Supplementary Methods).</w:t>
      </w:r>
    </w:p>
    <w:bookmarkEnd w:id="28"/>
    <w:bookmarkStart w:id="29" w:name="forced-oscillator-model"/>
    <w:p>
      <w:pPr>
        <w:pStyle w:val="Heading3"/>
      </w:pPr>
      <w:r>
        <w:t xml:space="preserve">2.7 Forced-oscillator model</w:t>
      </w:r>
    </w:p>
    <w:p>
      <w:pPr>
        <w:pStyle w:val="FirstParagraph"/>
      </w:pPr>
      <w:r>
        <w:t xml:space="preserve">Each cell was modelled as a Poincaré amplitude–phase oscillator driven by a 24-h timing signal</w:t>
      </w:r>
      <w:r>
        <w:t xml:space="preserve"> </w:t>
      </w:r>
      <w:r>
        <w:t xml:space="preserve">(zeitgeber)[18–20]:</w:t>
      </w:r>
    </w:p>
    <w:p>
      <w:pPr>
        <w:pStyle w:val="BodyText"/>
      </w:pPr>
      <w:r>
        <w:t xml:space="preserve">d</w:t>
      </w:r>
      <w:r>
        <w:rPr>
          <w:iCs/>
          <w:i/>
        </w:rPr>
        <w:t xml:space="preserve">r</w:t>
      </w:r>
      <w:r>
        <w:t xml:space="preserve">/d</w:t>
      </w:r>
      <w:r>
        <w:rPr>
          <w:iCs/>
          <w:i/>
        </w:rPr>
        <w:t xml:space="preserve">t</w:t>
      </w:r>
      <w:r>
        <w:t xml:space="preserve"> </w:t>
      </w:r>
      <w:r>
        <w:t xml:space="preserve">= λ</w:t>
      </w:r>
      <w:r>
        <w:rPr>
          <w:iCs/>
          <w:i/>
        </w:rPr>
        <w:t xml:space="preserve">r</w:t>
      </w:r>
      <w:r>
        <w:t xml:space="preserve">(</w:t>
      </w:r>
      <w:r>
        <w:rPr>
          <w:iCs/>
          <w:i/>
        </w:rPr>
        <w:t xml:space="preserve">A</w:t>
      </w:r>
      <w:r>
        <w:t xml:space="preserve"> </w:t>
      </w:r>
      <w:r>
        <w:t xml:space="preserve">−</w:t>
      </w:r>
      <w:r>
        <w:t xml:space="preserve"> </w:t>
      </w:r>
      <w:r>
        <w:rPr>
          <w:iCs/>
          <w:i/>
        </w:rPr>
        <w:t xml:space="preserve">r</w:t>
      </w:r>
      <w:r>
        <w:t xml:space="preserve">) +</w:t>
      </w:r>
      <w:r>
        <w:t xml:space="preserve"> </w:t>
      </w:r>
      <w:r>
        <w:rPr>
          <w:iCs/>
          <w:i/>
        </w:rPr>
        <w:t xml:space="preserve">FK</w:t>
      </w:r>
      <w:r>
        <w:t xml:space="preserve"> </w:t>
      </w:r>
      <w:r>
        <w:t xml:space="preserve">cos(θ</w:t>
      </w:r>
      <w:r>
        <w:t xml:space="preserve">z</w:t>
      </w:r>
      <w:r>
        <w:t xml:space="preserve"> </w:t>
      </w:r>
      <w:r>
        <w:t xml:space="preserve">− φ) (4)</w:t>
      </w:r>
    </w:p>
    <w:p>
      <w:pPr>
        <w:pStyle w:val="BodyText"/>
      </w:pPr>
      <w:r>
        <w:t xml:space="preserve">dφ/d</w:t>
      </w:r>
      <w:r>
        <w:rPr>
          <w:iCs/>
          <w:i/>
        </w:rPr>
        <w:t xml:space="preserve">t</w:t>
      </w:r>
      <w:r>
        <w:t xml:space="preserve"> </w:t>
      </w:r>
      <w:r>
        <w:t xml:space="preserve">= ω + (</w:t>
      </w:r>
      <w:r>
        <w:rPr>
          <w:iCs/>
          <w:i/>
        </w:rPr>
        <w:t xml:space="preserve">FK</w:t>
      </w:r>
      <w:r>
        <w:t xml:space="preserve">/</w:t>
      </w:r>
      <w:r>
        <w:rPr>
          <w:iCs/>
          <w:i/>
        </w:rPr>
        <w:t xml:space="preserve">r</w:t>
      </w:r>
      <w:r>
        <w:t xml:space="preserve">) sin(θ</w:t>
      </w:r>
      <w:r>
        <w:t xml:space="preserve">z</w:t>
      </w:r>
      <w:r>
        <w:t xml:space="preserve"> </w:t>
      </w:r>
      <w:r>
        <w:t xml:space="preserve">− φ) (5)</w:t>
      </w:r>
    </w:p>
    <w:p>
      <w:pPr>
        <w:pStyle w:val="BodyText"/>
      </w:pPr>
      <w:r>
        <w:t xml:space="preserve">where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is the amplitude of the cell, φ its phase, ω = 2π/τ its intrinsic angular frequency with τ</w:t>
      </w:r>
      <w:r>
        <w:t xml:space="preserve"> </w:t>
      </w:r>
      <w:r>
        <w:t xml:space="preserve">drawn from a normal distribution of mean 24 h, λ the relaxation rate towards the limit cycle,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the limit-cycle amplitude, θ</w:t>
      </w:r>
      <w:r>
        <w:t xml:space="preserve">z</w:t>
      </w:r>
      <w:r>
        <w:t xml:space="preserve"> </w:t>
      </w:r>
      <w:r>
        <w:t xml:space="preserve">= 2π</w:t>
      </w:r>
      <w:r>
        <w:rPr>
          <w:iCs/>
          <w:i/>
        </w:rPr>
        <w:t xml:space="preserve">t</w:t>
      </w:r>
      <w:r>
        <w:t xml:space="preserve">/24 the phase of the zeitgeber,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the amplitude of</w:t>
      </w:r>
      <w:r>
        <w:t xml:space="preserve"> </w:t>
      </w:r>
      <w:r>
        <w:t xml:space="preserve">the cortisol rhythm and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the availability of the receptor. The effective forcing is the product</w:t>
      </w:r>
      <w:r>
        <w:t xml:space="preserve"> </w:t>
      </w:r>
      <w:r>
        <w:rPr>
          <w:iCs/>
          <w:i/>
        </w:rPr>
        <w:t xml:space="preserve">F·K</w:t>
      </w:r>
      <w:r>
        <w:t xml:space="preserve">. A tissue was modelled as a population of 40–150 such cells and the biopsy as the mean of the</w:t>
      </w:r>
      <w:r>
        <w:t xml:space="preserve"> </w:t>
      </w:r>
      <w:r>
        <w:t xml:space="preserve">population at one instant. Parameters were taken from the literature[19,21] and none was</w:t>
      </w:r>
      <w:r>
        <w:t xml:space="preserve"> </w:t>
      </w:r>
      <w:r>
        <w:t xml:space="preserve">fitted to the data analysed here (Supplementary Table S20 and Supplementary Methods).</w:t>
      </w:r>
    </w:p>
    <w:bookmarkEnd w:id="29"/>
    <w:bookmarkStart w:id="30" w:name="code-and-data-availability"/>
    <w:p>
      <w:pPr>
        <w:pStyle w:val="Heading3"/>
      </w:pPr>
      <w:r>
        <w:t xml:space="preserve">2.8 Code and data availability</w:t>
      </w:r>
    </w:p>
    <w:p>
      <w:pPr>
        <w:pStyle w:val="FirstParagraph"/>
      </w:pPr>
      <w:r>
        <w:t xml:space="preserve">All analyses are reproducible from public data with a single script (github.com/Danpc11/</w:t>
      </w:r>
      <w:r>
        <w:t xml:space="preserve"> </w:t>
      </w:r>
      <w:r>
        <w:t xml:space="preserve">tissue_coupling, archived at Zenodo doi:10.5281/zenodo.23379059); that contrast is supplied as a</w:t>
      </w:r>
      <w:r>
        <w:t xml:space="preserve"> </w:t>
      </w:r>
      <w:r>
        <w:t xml:space="preserve">versioned input (Supplementary Table S8), and a test checks that every input a figure reads is</w:t>
      </w:r>
      <w:r>
        <w:t xml:space="preserve"> </w:t>
      </w:r>
      <w:r>
        <w:t xml:space="preserve">either produced by the pipeline or versioned. Analyses used Python 3.9.0;</w:t>
      </w:r>
      <w:r>
        <w:t xml:space="preserve"> </w:t>
      </w:r>
      <w:r>
        <w:t xml:space="preserve">stochastic routines used NumPy default_rng with seed 0.</w:t>
      </w:r>
    </w:p>
    <w:bookmarkEnd w:id="30"/>
    <w:bookmarkEnd w:id="31"/>
    <w:bookmarkStart w:id="39" w:name="results"/>
    <w:p>
      <w:pPr>
        <w:pStyle w:val="Heading2"/>
      </w:pPr>
      <w:r>
        <w:t xml:space="preserve">3. Results</w:t>
      </w:r>
    </w:p>
    <w:bookmarkStart w:id="32" w:name="X36a29cdd3feef08e463edeaadff24099b7b73e0"/>
    <w:p>
      <w:pPr>
        <w:pStyle w:val="Heading3"/>
      </w:pPr>
      <w:r>
        <w:t xml:space="preserve">3.1 Group comparison detects an altered clock but not its driver</w:t>
      </w:r>
    </w:p>
    <w:p>
      <w:pPr>
        <w:pStyle w:val="FirstParagraph"/>
      </w:pPr>
      <w:r>
        <w:t xml:space="preserve">To establish what the conventional approach yields, we compared cases with controls within each of</w:t>
      </w:r>
      <w:r>
        <w:t xml:space="preserve"> </w:t>
      </w:r>
      <w:r>
        <w:t xml:space="preserve">five cohorts spanning skeletal muscle, adipose tissue and pancreatic islets (Fig. 1a). The number</w:t>
      </w:r>
      <w:r>
        <w:t xml:space="preserve"> </w:t>
      </w:r>
      <w:r>
        <w:t xml:space="preserve">of genes reaching FDR &lt; 0.1 ranged from none in three cohorts to 210 in islets, despite all five</w:t>
      </w:r>
      <w:r>
        <w:t xml:space="preserve"> </w:t>
      </w:r>
      <w:r>
        <w:t xml:space="preserve">testing the same clinical contrast (Fig. 1b and Supplementary Table S3). None of the eighteen genes</w:t>
      </w:r>
      <w:r>
        <w:t xml:space="preserve"> </w:t>
      </w:r>
      <w:r>
        <w:t xml:space="preserve">of the clock-output and glucocorticoid sets reached that threshold in any cohort (Fig. 1c), and the</w:t>
      </w:r>
      <w:r>
        <w:t xml:space="preserve"> </w:t>
      </w:r>
      <w:r>
        <w:t xml:space="preserve">distribution of uncorrected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values was close to uniform in every cohort except the largest</w:t>
      </w:r>
      <w:r>
        <w:t xml:space="preserve"> </w:t>
      </w:r>
      <w:r>
        <w:t xml:space="preserve">(Fig. 1i), so the absence is not a consequence of multiple-testing correction.</w:t>
      </w:r>
    </w:p>
    <w:p>
      <w:pPr>
        <w:pStyle w:val="BodyText"/>
      </w:pPr>
      <w:r>
        <w:t xml:space="preserve">At set level the picture differs. The clock-output set was lower in cases in skeletal muscle</w:t>
      </w:r>
      <w:r>
        <w:t xml:space="preserve"> </w:t>
      </w:r>
      <w:r>
        <w:t xml:space="preserve">(z = −5.9 in GSE25462) and in adipose tissue (z = −2.4 in GSE26637), whereas the glucocorticoid set</w:t>
      </w:r>
      <w:r>
        <w:t xml:space="preserve"> </w:t>
      </w:r>
      <w:r>
        <w:t xml:space="preserve">was not detected in any cohort (Fig. 1d and Supplementary Table S4). Per-person scores confirm why: in the three cohorts where that score could be computed, the two</w:t>
      </w:r>
      <w:r>
        <w:t xml:space="preserve"> </w:t>
      </w:r>
      <w:r>
        <w:t xml:space="preserve">distributions overlap almost completely and only one separates the groups (P = 0.001, 0.095 and</w:t>
      </w:r>
      <w:r>
        <w:t xml:space="preserve"> </w:t>
      </w:r>
      <w:r>
        <w:t xml:space="preserve">0.281; Fig. 1h). Group comparison therefore reports that the clock is altered without identifying</w:t>
      </w:r>
      <w:r>
        <w:t xml:space="preserve"> </w:t>
      </w:r>
      <w:r>
        <w:t xml:space="preserve">what alters it.</w:t>
      </w:r>
    </w:p>
    <w:p>
      <w:pPr>
        <w:pStyle w:val="BodyText"/>
      </w:pPr>
      <w:r>
        <w:t xml:space="preserve">The signal that is missing is of a different kind. In the same cohorts, the level of the</w:t>
      </w:r>
      <w:r>
        <w:t xml:space="preserve"> </w:t>
      </w:r>
      <w:r>
        <w:t xml:space="preserve">glucocorticoid receptor and the clock-output score correlate across individuals, reaching ρ = 0.54</w:t>
      </w:r>
      <w:r>
        <w:t xml:space="preserve"> </w:t>
      </w:r>
      <w:r>
        <w:t xml:space="preserve">in GSE182120, a cohort with no differentially expressed gene at all (Fig. 1j). That relationship is a</w:t>
      </w:r>
      <w:r>
        <w:t xml:space="preserve"> </w:t>
      </w:r>
      <w:r>
        <w:t xml:space="preserve">correlation between people, not a difference between groups, and a case–control design cannot</w:t>
      </w:r>
      <w:r>
        <w:t xml:space="preserve"> </w:t>
      </w:r>
      <w:r>
        <w:t xml:space="preserve">detect it by construction.</w:t>
      </w:r>
    </w:p>
    <w:bookmarkEnd w:id="32"/>
    <w:bookmarkStart w:id="33" w:name="Xe87fd45238b225ce9eba2bab44d4cee2b73ca94"/>
    <w:p>
      <w:pPr>
        <w:pStyle w:val="Heading3"/>
      </w:pPr>
      <w:r>
        <w:t xml:space="preserve">3.2 Circadian phase and amplitude can be inferred from a single sample</w:t>
      </w:r>
    </w:p>
    <w:p>
      <w:pPr>
        <w:pStyle w:val="FirstParagraph"/>
      </w:pPr>
      <w:r>
        <w:t xml:space="preserve">Measuring that relationship requires a per-person estimate of the clock, so we inferred phase and</w:t>
      </w:r>
      <w:r>
        <w:t xml:space="preserve"> </w:t>
      </w:r>
      <w:r>
        <w:t xml:space="preserve">amplitude from single samples (Fig. 1e, Methods 2.3) and validated the inference against cosinor analysis — the standard sinusoidal fit of expression on</w:t>
      </w:r>
      <w:r>
        <w:t xml:space="preserve"> </w:t>
      </w:r>
      <w:r>
        <w:t xml:space="preserve">sampling time — of time series from the same donors. Validation was leave-one-out at two levels: the</w:t>
      </w:r>
      <w:r>
        <w:t xml:space="preserve"> </w:t>
      </w:r>
      <w:r>
        <w:t xml:space="preserve">retained sample was excluded from the cosinor fit of its own donor, and the whole donor was excluded</w:t>
      </w:r>
      <w:r>
        <w:t xml:space="preserve"> </w:t>
      </w:r>
      <w:r>
        <w:t xml:space="preserve">from the ordering and from the template. In synchronised human myotubes sampled at eight time</w:t>
      </w:r>
      <w:r>
        <w:t xml:space="preserve"> </w:t>
      </w:r>
      <w:r>
        <w:t xml:space="preserve">points, the amplitude inferred from a single retained sample agreed with the measured amplitude of</w:t>
      </w:r>
      <w:r>
        <w:t xml:space="preserve"> </w:t>
      </w:r>
      <w:r>
        <w:t xml:space="preserve">its donor at ρ = 0.28 in control and ρ = 0.34 in high-glucose conditions (P = 0.008 and 0.002, 170</w:t>
      </w:r>
      <w:r>
        <w:t xml:space="preserve"> </w:t>
      </w:r>
      <w:r>
        <w:t xml:space="preserve">retained samples); averaging the eight independent out-of-sample inferences of each donor raised the</w:t>
      </w:r>
      <w:r>
        <w:t xml:space="preserve"> </w:t>
      </w:r>
      <w:r>
        <w:t xml:space="preserve">agreement to ρ = 0.97 and 0.94 (Fig. 1f and Supplementary Table S5). In skeletal muscle</w:t>
      </w:r>
      <w:r>
        <w:t xml:space="preserve"> </w:t>
      </w:r>
      <w:r>
        <w:rPr>
          <w:iCs/>
          <w:i/>
        </w:rPr>
        <w:t xml:space="preserve">in vivo</w:t>
      </w:r>
      <w:r>
        <w:t xml:space="preserve"> </w:t>
      </w:r>
      <w:r>
        <w:t xml:space="preserve">(GSE129843), with six biopsies per person and condition,</w:t>
      </w:r>
      <w:r>
        <w:t xml:space="preserve"> </w:t>
      </w:r>
      <w:r>
        <w:t xml:space="preserve">single-sample agreement was ρ = 0.17 (P = 0.067, 117 retained samples) and donor-averaged agreement</w:t>
      </w:r>
      <w:r>
        <w:t xml:space="preserve"> </w:t>
      </w:r>
      <w:r>
        <w:t xml:space="preserve">ρ = 0.82 (P = 1.1 × 10⁻⁵, 20 series; Fig. 1g). Phase transferred between tissues: a template built</w:t>
      </w:r>
      <w:r>
        <w:t xml:space="preserve"> </w:t>
      </w:r>
      <w:r>
        <w:t xml:space="preserve">in muscle predicted the recorded sampling time of adipose tissue under constant routine (GSE87761)</w:t>
      </w:r>
      <w:r>
        <w:t xml:space="preserve"> </w:t>
      </w:r>
      <w:r>
        <w:t xml:space="preserve">to within 1.7 h (Supplementary Fig. S2 and Supplementary Table S5).</w:t>
      </w:r>
    </w:p>
    <w:p>
      <w:pPr>
        <w:pStyle w:val="BodyText"/>
      </w:pPr>
      <w:r>
        <w:t xml:space="preserve">The cohorts analysed below contribute one sample per person, so the single-sample figure is the one</w:t>
      </w:r>
      <w:r>
        <w:t xml:space="preserve"> </w:t>
      </w:r>
      <w:r>
        <w:t xml:space="preserve">that applies to them. Per-person amplitude is an attenuated measure, and the correlations reported</w:t>
      </w:r>
      <w:r>
        <w:t xml:space="preserve"> </w:t>
      </w:r>
      <w:r>
        <w:t xml:space="preserve">in the following sections are therefore lower bounds.</w:t>
      </w:r>
    </w:p>
    <w:bookmarkEnd w:id="33"/>
    <w:bookmarkStart w:id="34" w:name="Xceab46cadd1a78f5d12d7c7bf7f03103e486687"/>
    <w:p>
      <w:pPr>
        <w:pStyle w:val="Heading3"/>
      </w:pPr>
      <w:r>
        <w:t xml:space="preserve">3.3 Clock output tracks glucocorticoid receptor level across four tissues</w:t>
      </w:r>
    </w:p>
    <w:p>
      <w:pPr>
        <w:pStyle w:val="FirstParagraph"/>
      </w:pPr>
      <w:r>
        <w:t xml:space="preserve">Having established that the clock can be measured per person (Fig. 1f,g), we asked what it follows.</w:t>
      </w:r>
      <w:r>
        <w:t xml:space="preserve"> </w:t>
      </w:r>
      <w:r>
        <w:t xml:space="preserve">Across 13 cohort–tissue estimates from six cohorts and four tissues, NR3C1 expression, the level</w:t>
      </w:r>
      <w:r>
        <w:t xml:space="preserve"> </w:t>
      </w:r>
      <w:r>
        <w:t xml:space="preserve">of the glucocorticoid receptor, predicted clock output (pooled ρ = 0.45, 95% CI 0.31–0.58 by three-level</w:t>
      </w:r>
      <w:r>
        <w:t xml:space="preserve"> </w:t>
      </w:r>
      <w:r>
        <w:t xml:space="preserve">random effects; ρ = 0.43, 95% CI 0.29–0.55 by cluster-robust variance; Fig. 2a and Supplementary</w:t>
      </w:r>
      <w:r>
        <w:t xml:space="preserve"> </w:t>
      </w:r>
      <w:r>
        <w:t xml:space="preserve">Table S6). The association was positive in every adipose-tissue estimate but heterogeneous in magnitude</w:t>
      </w:r>
      <w:r>
        <w:t xml:space="preserve"> </w:t>
      </w:r>
      <w:r>
        <w:t xml:space="preserve">(ρ = 0.42,</w:t>
      </w:r>
      <w:r>
        <w:t xml:space="preserve"> </w:t>
      </w:r>
      <w:r>
        <w:rPr>
          <w:iCs/>
          <w:i/>
        </w:rPr>
        <w:t xml:space="preserve">I</w:t>
      </w:r>
      <w:r>
        <w:t xml:space="preserve">² = 69%, six estimates), and strongest in pancreatic islets (ρ = 0.68, two</w:t>
      </w:r>
      <w:r>
        <w:t xml:space="preserve"> </w:t>
      </w:r>
      <w:r>
        <w:t xml:space="preserve">estimates); twelve of the thirteen confidence intervals excluded zero, and heterogeneity across</w:t>
      </w:r>
      <w:r>
        <w:t xml:space="preserve"> </w:t>
      </w:r>
      <w:r>
        <w:t xml:space="preserve">all thirteen was</w:t>
      </w:r>
      <w:r>
        <w:t xml:space="preserve"> </w:t>
      </w:r>
      <w:r>
        <w:rPr>
          <w:iCs/>
          <w:i/>
        </w:rPr>
        <w:t xml:space="preserve">I</w:t>
      </w:r>
      <w:r>
        <w:t xml:space="preserve">² = 84% with τ² = 0.036 between cohorts and σ² = 0.011 within. The relationship is monotonic rather than driven by extremes:</w:t>
      </w:r>
      <w:r>
        <w:t xml:space="preserve"> </w:t>
      </w:r>
      <w:r>
        <w:t xml:space="preserve">the median clock-output score rises across quintiles of receptor level in both islets (GSE159984)</w:t>
      </w:r>
      <w:r>
        <w:t xml:space="preserve"> </w:t>
      </w:r>
      <w:r>
        <w:t xml:space="preserve">and GTEx visceral adipose tissue (Fig. 2b).</w:t>
      </w:r>
    </w:p>
    <w:p>
      <w:pPr>
        <w:pStyle w:val="BodyText"/>
      </w:pPr>
      <w:r>
        <w:t xml:space="preserve">In GTEx, where ischaemic time and RNA integrity are recorded, both covariates correlate with the</w:t>
      </w:r>
      <w:r>
        <w:t xml:space="preserve"> </w:t>
      </w:r>
      <w:r>
        <w:t xml:space="preserve">clock-output score (ρ = 0.21 to 0.29 for ischaemic time); adjusting for them changed the</w:t>
      </w:r>
      <w:r>
        <w:t xml:space="preserve"> </w:t>
      </w:r>
      <w:r>
        <w:t xml:space="preserve">receptor–clock correlation by less than 0.01 (Supplementary Fig. S1a,b).</w:t>
      </w:r>
    </w:p>
    <w:p>
      <w:pPr>
        <w:pStyle w:val="BodyText"/>
      </w:pPr>
      <w:r>
        <w:t xml:space="preserve">The association is a property of the individual rather than of the tissue. In donors with several</w:t>
      </w:r>
      <w:r>
        <w:t xml:space="preserve"> </w:t>
      </w:r>
      <w:r>
        <w:t xml:space="preserve">tissues, removing each donor’s mean receptor level across their tissues reduced the correlation</w:t>
      </w:r>
      <w:r>
        <w:t xml:space="preserve"> </w:t>
      </w:r>
      <w:r>
        <w:t xml:space="preserve">from 0.32 to 0.13 in subcutaneous adipose tissue and from 0.32 to 0.10 in muscle (Fig. 2d), and the</w:t>
      </w:r>
      <w:r>
        <w:t xml:space="preserve"> </w:t>
      </w:r>
      <w:r>
        <w:t xml:space="preserve">receptor measured in one tissue predicted the clock of another as well as the receptor of that</w:t>
      </w:r>
      <w:r>
        <w:t xml:space="preserve"> </w:t>
      </w:r>
      <w:r>
        <w:t xml:space="preserve">tissue itself. The downstream signalling score behaves the same way in living donors (pooled</w:t>
      </w:r>
      <w:r>
        <w:t xml:space="preserve"> </w:t>
      </w:r>
      <w:r>
        <w:t xml:space="preserve">ρ = 0.27, 95% CI 0.08–0.45, ten estimates) but is not measurable in post-mortem tissue (ρ = −0.04; Fig. 2c), where</w:t>
      </w:r>
      <w:r>
        <w:t xml:space="preserve"> </w:t>
      </w:r>
      <w:r>
        <w:t xml:space="preserve">acute receptor targets are dominated by terminal cortisol. The coupling does not require an intact hypothalamic–pituitary–adrenal (HPA) axis: in the cultured islet preparations of the same series, with no</w:t>
      </w:r>
      <w:r>
        <w:t xml:space="preserve"> </w:t>
      </w:r>
      <w:r>
        <w:t xml:space="preserve">circulating cortisol, receptor level and clock output still correlate (ρ = 0.60, P = 1.6 × 10⁻⁵,</w:t>
      </w:r>
      <w:r>
        <w:t xml:space="preserve"> </w:t>
      </w:r>
      <w:r>
        <w:t xml:space="preserve">n = 45; Fig. 2e).</w:t>
      </w:r>
    </w:p>
    <w:bookmarkEnd w:id="34"/>
    <w:bookmarkStart w:id="35" w:name="X9fbee0a8b3074b011484ad81b418c4474e3c523"/>
    <w:p>
      <w:pPr>
        <w:pStyle w:val="Heading3"/>
      </w:pPr>
      <w:r>
        <w:t xml:space="preserve">3.4 Hydrocortisone shifts clock gene expression; acute insulin does not</w:t>
      </w:r>
    </w:p>
    <w:p>
      <w:pPr>
        <w:pStyle w:val="FirstParagraph"/>
      </w:pPr>
      <w:r>
        <w:t xml:space="preserve">Correlation across individuals cannot distinguish the two candidate signals, so we turned to</w:t>
      </w:r>
      <w:r>
        <w:t xml:space="preserve"> </w:t>
      </w:r>
      <w:r>
        <w:t xml:space="preserve">perturbations in which sampling time is controlled (Fig. 3a). A hyperinsulinaemic clamp in skeletal muscle lowered clock-output genes in 62 of 69 participants.</w:t>
      </w:r>
      <w:r>
        <w:t xml:space="preserve"> </w:t>
      </w:r>
      <w:r>
        <w:t xml:space="preserve">But the magnitude of that change is the magnitude of the morning: in three cohorts with recorded</w:t>
      </w:r>
      <w:r>
        <w:t xml:space="preserve"> </w:t>
      </w:r>
      <w:r>
        <w:t xml:space="preserve">sampling times, NR1D1, DBP, CIART, PER1, PER3 and TEF fall by the same amount over a comparable</w:t>
      </w:r>
      <w:r>
        <w:t xml:space="preserve"> </w:t>
      </w:r>
      <w:r>
        <w:t xml:space="preserve">interval without any insulin (Fig. 3b and Supplementary Table S7). The same holds in adipose tissue, where a paired clamp lowered the output arm in all ten</w:t>
      </w:r>
      <w:r>
        <w:t xml:space="preserve"> </w:t>
      </w:r>
      <w:r>
        <w:t xml:space="preserve">participants (score −1.43, P = 0.002) while leaving the core oscillator unchanged (P = 0.92;</w:t>
      </w:r>
      <w:r>
        <w:t xml:space="preserve"> </w:t>
      </w:r>
      <w:r>
        <w:t xml:space="preserve">Fig. 3c), and in the four within-person contrasts of the clamp and thiazolidinedione cohort</w:t>
      </w:r>
      <w:r>
        <w:t xml:space="preserve"> </w:t>
      </w:r>
      <w:r>
        <w:t xml:space="preserve">(Supplementary Fig. S5 and Supplementary Table S19). Neither response was graded by insulin sensitivity (P = 0.42).</w:t>
      </w:r>
    </w:p>
    <w:p>
      <w:pPr>
        <w:pStyle w:val="BodyText"/>
      </w:pPr>
      <w:r>
        <w:t xml:space="preserve">Hydrocortisone is different (Supplementary Table S16). Compared with saline in the same participants (GSE148640), with both</w:t>
      </w:r>
      <w:r>
        <w:t xml:space="preserve"> </w:t>
      </w:r>
      <w:r>
        <w:t xml:space="preserve">biopsies taken at 07:00, a physiological dose raised PER1 in all ten</w:t>
      </w:r>
      <w:r>
        <w:t xml:space="preserve"> </w:t>
      </w:r>
      <w:r>
        <w:t xml:space="preserve">participants and lowered PER3 in all ten, while leaving DBP, TEF, HLF and NR1D1/2 unchanged</w:t>
      </w:r>
      <w:r>
        <w:t xml:space="preserve"> </w:t>
      </w:r>
      <w:r>
        <w:t xml:space="preserve">(Fig. 3d,e). The contrast with insulin is direct: the same gene, in the same tissue, rises in ten of</w:t>
      </w:r>
      <w:r>
        <w:t xml:space="preserve"> </w:t>
      </w:r>
      <w:r>
        <w:t xml:space="preserve">ten participants under cortisol and falls in ten of ten under insulin.</w:t>
      </w:r>
    </w:p>
    <w:p>
      <w:pPr>
        <w:pStyle w:val="BodyText"/>
      </w:pPr>
      <w:r>
        <w:t xml:space="preserve">Sustained exposure produces a different and broader signature. Four days of dexamethasone raised KLF15 in all ten</w:t>
      </w:r>
      <w:r>
        <w:t xml:space="preserve"> </w:t>
      </w:r>
      <w:r>
        <w:t xml:space="preserve">participants and lowered DBP in skeletal muscle (GSE17992; Fig. 3f), and adipose tissue of people with Cushing syndrome showed lower PER3, DBP,</w:t>
      </w:r>
      <w:r>
        <w:t xml:space="preserve"> </w:t>
      </w:r>
      <w:r>
        <w:t xml:space="preserve">PER2, TEF and HLF with higher BMAL1 (GSE66446; Fig. 3g).</w:t>
      </w:r>
      <w:r>
        <w:t xml:space="preserve"> </w:t>
      </w:r>
      <w:r>
        <w:t xml:space="preserve">Adipose tissue of insulin-resistant people carries that same signature. Across the eight</w:t>
      </w:r>
      <w:r>
        <w:t xml:space="preserve"> </w:t>
      </w:r>
      <w:r>
        <w:t xml:space="preserve">clock-output genes measured in all three contrasts, its profile correlates with the hydrocortisone</w:t>
      </w:r>
      <w:r>
        <w:t xml:space="preserve"> </w:t>
      </w:r>
      <w:r>
        <w:t xml:space="preserve">profile at ρ = 0.71 (P = 0.047) and with the Cushing profile at ρ = 0.55 (P = 0.16) (Fig. 3h and</w:t>
      </w:r>
      <w:r>
        <w:t xml:space="preserve"> </w:t>
      </w:r>
      <w:r>
        <w:t xml:space="preserve">Supplementary Table S8). Three months of thiazolidinedione, which improves insulin sensitivity,</w:t>
      </w:r>
      <w:r>
        <w:t xml:space="preserve"> </w:t>
      </w:r>
      <w:r>
        <w:t xml:space="preserve">recovered a negligible fraction of it: every one of those eight genes is depleted in</w:t>
      </w:r>
      <w:r>
        <w:t xml:space="preserve"> </w:t>
      </w:r>
      <w:r>
        <w:t xml:space="preserve">insulin-resistant tissue, the median recovered fraction is 4.4%, and the slope of the</w:t>
      </w:r>
      <w:r>
        <w:t xml:space="preserve"> </w:t>
      </w:r>
      <w:r>
        <w:t xml:space="preserve">thiazolidinedione change on the insulin-resistance change is +0.004, against −1 expected for full</w:t>
      </w:r>
      <w:r>
        <w:t xml:space="preserve"> </w:t>
      </w:r>
      <w:r>
        <w:t xml:space="preserve">reversal (Fig. 3i).</w:t>
      </w:r>
    </w:p>
    <w:bookmarkEnd w:id="35"/>
    <w:bookmarkStart w:id="36" w:name="Xb66a3ee569c7d7f6465a4f9ee778645aeb03adf"/>
    <w:p>
      <w:pPr>
        <w:pStyle w:val="Heading3"/>
      </w:pPr>
      <w:r>
        <w:t xml:space="preserve">3.5 The receptor axis indexes glucocorticoid exposure</w:t>
      </w:r>
    </w:p>
    <w:p>
      <w:pPr>
        <w:pStyle w:val="FirstParagraph"/>
      </w:pPr>
      <w:r>
        <w:t xml:space="preserve">To test whether receptor level indexes glucocorticoid exposure rather than some other property of</w:t>
      </w:r>
      <w:r>
        <w:t xml:space="preserve"> </w:t>
      </w:r>
      <w:r>
        <w:t xml:space="preserve">the tissue, we ranked all 34,020 genes by their partial correlation with receptor level in adipose tissue</w:t>
      </w:r>
      <w:r>
        <w:t xml:space="preserve"> </w:t>
      </w:r>
      <w:r>
        <w:t xml:space="preserve">(AAGMEx, n = 232), adjusting for sex, age, adiposity and macrophage content. Curated collections</w:t>
      </w:r>
      <w:r>
        <w:t xml:space="preserve"> </w:t>
      </w:r>
      <w:r>
        <w:t xml:space="preserve">were then tested against that ranking. Of 134 transcription factors with a</w:t>
      </w:r>
      <w:r>
        <w:t xml:space="preserve"> </w:t>
      </w:r>
      <w:r>
        <w:t xml:space="preserve">curated regulon, FOXO3 was the one whose inferred activity best predicted clock output</w:t>
      </w:r>
      <w:r>
        <w:t xml:space="preserve"> </w:t>
      </w:r>
      <w:r>
        <w:t xml:space="preserve">(ρ = 0.39), and the NF-κB family occupied the opposite extreme (NFKB1 ρ = −0.44; Fig. 4a and</w:t>
      </w:r>
      <w:r>
        <w:t xml:space="preserve"> </w:t>
      </w:r>
      <w:r>
        <w:t xml:space="preserve">Supplementary Table S9); the FOXO3 regulon includes TXNIP and FBXO32 (Supplementary Fig. S4). The</w:t>
      </w:r>
      <w:r>
        <w:t xml:space="preserve"> </w:t>
      </w:r>
      <w:r>
        <w:t xml:space="preserve">same ordering appears in the Hallmark collections of coordinately regulated processes, where</w:t>
      </w:r>
      <w:r>
        <w:t xml:space="preserve"> </w:t>
      </w:r>
      <w:r>
        <w:t xml:space="preserve">interferon-γ response, TNFα signalling via</w:t>
      </w:r>
      <w:r>
        <w:t xml:space="preserve"> </w:t>
      </w:r>
      <w:r>
        <w:t xml:space="preserve">NF-κB and the complement run against the axis, together with oxidative phosphorylation,</w:t>
      </w:r>
      <w:r>
        <w:t xml:space="preserve"> </w:t>
      </w:r>
      <w:r>
        <w:t xml:space="preserve">adipogenesis and glycolysis (Fig. 4b, and Reactome and Gene Ontology in Fig. 4f,g).</w:t>
      </w:r>
    </w:p>
    <w:p>
      <w:pPr>
        <w:pStyle w:val="BodyText"/>
      </w:pPr>
      <w:r>
        <w:t xml:space="preserve">Against phenotype ontology terms, the axis runs with truncal obesity and increased urinary cortisol</w:t>
      </w:r>
      <w:r>
        <w:t xml:space="preserve"> </w:t>
      </w:r>
      <w:r>
        <w:t xml:space="preserve">and against type 2 diabetes in adipose tissue and muscle, and in the opposite direction in islets</w:t>
      </w:r>
      <w:r>
        <w:t xml:space="preserve"> </w:t>
      </w:r>
      <w:r>
        <w:t xml:space="preserve">(Fig. 4c and Supplementary Table S10). The axis therefore tracks the clinical signature of</w:t>
      </w:r>
      <w:r>
        <w:t xml:space="preserve"> </w:t>
      </w:r>
      <w:r>
        <w:t xml:space="preserve">glucocorticoid exposure and not that of metabolic disease, which is the distinction the next two</w:t>
      </w:r>
      <w:r>
        <w:t xml:space="preserve"> </w:t>
      </w:r>
      <w:r>
        <w:t xml:space="preserve">results test. In the one cohort with insulin sensitivity measured in the same people[35], the clock-output score did</w:t>
      </w:r>
      <w:r>
        <w:t xml:space="preserve"> </w:t>
      </w:r>
      <w:r>
        <w:t xml:space="preserve">not correlate with it (ρ = 0.01, 95% CI −0.28 to 0.30,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48 with an SI value from the frequently</w:t>
      </w:r>
      <w:r>
        <w:t xml:space="preserve"> </w:t>
      </w:r>
      <w:r>
        <w:t xml:space="preserve">sampled intravenous glucose tolerance test), although it was graded by clinical status (median score</w:t>
      </w:r>
      <w:r>
        <w:t xml:space="preserve"> </w:t>
      </w:r>
      <w:r>
        <w:t xml:space="preserve">+0.31 with no family history of diabetes, +0.09 and +0.11 with one and two affected parents, and</w:t>
      </w:r>
      <w:r>
        <w:t xml:space="preserve"> </w:t>
      </w:r>
      <w:r>
        <w:t xml:space="preserve">−0.31 in diabetes). Within adipose tissue, adiposity separates the two arms of the axis: HSD11B1, the 11β-hydroxysteroid dehydrogenase type 1 that regenerates cortisol locally, rises with leptin (ρ = 0.66) while the receptor falls (ρ = −0.31), and</w:t>
      </w:r>
      <w:r>
        <w:t xml:space="preserve"> </w:t>
      </w:r>
      <w:r>
        <w:t xml:space="preserve">the receptor, not the enzyme, is what tracks clock output (Fig. 4d,e).</w:t>
      </w:r>
    </w:p>
    <w:bookmarkEnd w:id="36"/>
    <w:bookmarkStart w:id="37" w:name="X50473fb71fab2f1a12d294ed60324adbc2a6699"/>
    <w:p>
      <w:pPr>
        <w:pStyle w:val="Heading3"/>
      </w:pPr>
      <w:r>
        <w:t xml:space="preserve">3.6 A forced-oscillator model reproduces the observed signature</w:t>
      </w:r>
    </w:p>
    <w:p>
      <w:pPr>
        <w:pStyle w:val="FirstParagraph"/>
      </w:pPr>
      <w:r>
        <w:t xml:space="preserve">The three clinical situations that produce this signature — obesity, Cushing syndrome and exogenous</w:t>
      </w:r>
      <w:r>
        <w:t xml:space="preserve"> </w:t>
      </w:r>
      <w:r>
        <w:t xml:space="preserve">hydrocortisone — differ in whether cortisol is low, high or imposed, which argues against the</w:t>
      </w:r>
      <w:r>
        <w:t xml:space="preserve"> </w:t>
      </w:r>
      <w:r>
        <w:t xml:space="preserve">amount of hormone as the common variable. We therefore modelled the peripheral clock as a</w:t>
      </w:r>
      <w:r>
        <w:t xml:space="preserve"> </w:t>
      </w:r>
      <w:r>
        <w:t xml:space="preserve">population of oscillators driven by a 24-h timing signal, or zeitgeber, whose effective strength is the product of the</w:t>
      </w:r>
      <w:r>
        <w:t xml:space="preserve"> </w:t>
      </w:r>
      <w:r>
        <w:t xml:space="preserve">amplitude of the cortisol rhythm and the availability of the receptor (Methods 2.7). Below a</w:t>
      </w:r>
      <w:r>
        <w:t xml:space="preserve"> </w:t>
      </w:r>
      <w:r>
        <w:t xml:space="preserve">threshold of effective forcing the population loses synchrony and the ensemble amplitude collapses</w:t>
      </w:r>
      <w:r>
        <w:t xml:space="preserve"> </w:t>
      </w:r>
      <w:r>
        <w:t xml:space="preserve">while individual cells continue to oscillate (Fig. 5a,b), which is what a bulk biopsy reads as loss</w:t>
      </w:r>
      <w:r>
        <w:t xml:space="preserve"> </w:t>
      </w:r>
      <w:r>
        <w:t xml:space="preserve">of amplitude.</w:t>
      </w:r>
    </w:p>
    <w:p>
      <w:pPr>
        <w:pStyle w:val="BodyText"/>
      </w:pPr>
      <w:r>
        <w:t xml:space="preserve">Lowering the coupling reproduced the observed signature without any fitted parameter: the direction</w:t>
      </w:r>
      <w:r>
        <w:t xml:space="preserve"> </w:t>
      </w:r>
      <w:r>
        <w:t xml:space="preserve">of all nine signature genes agreed with the change measured in insulin-resistant adipose tissue and</w:t>
      </w:r>
      <w:r>
        <w:t xml:space="preserve"> </w:t>
      </w:r>
      <w:r>
        <w:t xml:space="preserve">the mean magnitude was within 4% (Fig. 5c). The model also predicts that reduced coupling always</w:t>
      </w:r>
      <w:r>
        <w:t xml:space="preserve"> </w:t>
      </w:r>
      <w:r>
        <w:t xml:space="preserve">lowers amplitude but lowers the mean level only when biopsies are taken in a narrow window: with</w:t>
      </w:r>
      <w:r>
        <w:t xml:space="preserve"> </w:t>
      </w:r>
      <w:r>
        <w:t xml:space="preserve">uniform sampling hours the predicted level difference is zero within error (+0.02 ± 0.03) while the</w:t>
      </w:r>
      <w:r>
        <w:t xml:space="preserve"> </w:t>
      </w:r>
      <w:r>
        <w:t xml:space="preserve">amplitude difference is unchanged (Fig. 5d and Supplementary Fig. S7b). This accounts for the contrast of Fig. 2c, where the glucocorticoid signalling score is measurable in</w:t>
      </w:r>
      <w:r>
        <w:t xml:space="preserve"> </w:t>
      </w:r>
      <w:r>
        <w:t xml:space="preserve">cohorts of living donors, biopsied in the morning, and not in post-mortem tissue. Applying our own estimator to model-generated cohorts gave correlations between</w:t>
      </w:r>
      <w:r>
        <w:t xml:space="preserve"> </w:t>
      </w:r>
      <w:r>
        <w:t xml:space="preserve">coupling and inferred amplitude of 0.44 to 0.63 depending on measurement noise, against 0.09 to</w:t>
      </w:r>
      <w:r>
        <w:t xml:space="preserve"> </w:t>
      </w:r>
      <w:r>
        <w:t xml:space="preserve">0.22 observed with receptor mRNA (Fig. 5e), consistent with the receptor transcript being an</w:t>
      </w:r>
      <w:r>
        <w:t xml:space="preserve"> </w:t>
      </w:r>
      <w:r>
        <w:t xml:space="preserve">attenuated proxy of the true coupling.</w:t>
      </w:r>
    </w:p>
    <w:p>
      <w:pPr>
        <w:pStyle w:val="BodyText"/>
      </w:pPr>
      <w:r>
        <w:t xml:space="preserve">The model makes one further prediction that these cohorts can test: if reduced forcing acts by</w:t>
      </w:r>
      <w:r>
        <w:t xml:space="preserve"> </w:t>
      </w:r>
      <w:r>
        <w:t xml:space="preserve">releasing cells from entrainment, its effect on a cross-sectional cohort should be an increase in</w:t>
      </w:r>
      <w:r>
        <w:t xml:space="preserve"> </w:t>
      </w:r>
      <w:r>
        <w:t xml:space="preserve">the variance of amplitude between individuals.</w:t>
      </w:r>
    </w:p>
    <w:bookmarkEnd w:id="37"/>
    <w:bookmarkStart w:id="38" w:name="X83acd9813f6d26c8c88e8103890fe95378b8ced"/>
    <w:p>
      <w:pPr>
        <w:pStyle w:val="Heading3"/>
      </w:pPr>
      <w:r>
        <w:t xml:space="preserve">3.7 Testing the dispersion prediction in insulin-resistant muscle</w:t>
      </w:r>
    </w:p>
    <w:p>
      <w:pPr>
        <w:pStyle w:val="FirstParagraph"/>
      </w:pPr>
      <w:r>
        <w:t xml:space="preserve">The model predicts that reduced forcing appears in a cross-sectional cohort as increased variance</w:t>
      </w:r>
      <w:r>
        <w:t xml:space="preserve"> </w:t>
      </w:r>
      <w:r>
        <w:t xml:space="preserve">between individuals rather than as a shift in the median, so that a test of location cannot detect</w:t>
      </w:r>
      <w:r>
        <w:t xml:space="preserve"> </w:t>
      </w:r>
      <w:r>
        <w:t xml:space="preserve">it. We therefore compared the dispersion of inferred amplitude between groups in the two muscle</w:t>
      </w:r>
      <w:r>
        <w:t xml:space="preserve"> </w:t>
      </w:r>
      <w:r>
        <w:t xml:space="preserve">cohorts. In GSE13070 skeletal muscle, the median did not differ (P = 0.21) but the 5–95</w:t>
      </w:r>
      <w:r>
        <w:t xml:space="preserve"> </w:t>
      </w:r>
      <w:r>
        <w:t xml:space="preserve">percentile range was 1.66 times wider in insulin-resistant participants (P = 0.021 by permutation;</w:t>
      </w:r>
      <w:r>
        <w:t xml:space="preserve"> </w:t>
      </w:r>
      <w:r>
        <w:t xml:space="preserve">Levene P = 0.032), with the same direction under the anchored estimator (ratio 1.90, P = 0.0036)</w:t>
      </w:r>
      <w:r>
        <w:t xml:space="preserve"> </w:t>
      </w:r>
      <w:r>
        <w:t xml:space="preserve">and no difference under the unvalidated 800-gene projection (Supplementary Fig. S2a–f and</w:t>
      </w:r>
      <w:r>
        <w:t xml:space="preserve"> </w:t>
      </w:r>
      <w:r>
        <w:t xml:space="preserve">Supplementary Table S11). Because per-sample amplitude is attenuated, we measured the noise of the</w:t>
      </w:r>
      <w:r>
        <w:t xml:space="preserve"> </w:t>
      </w:r>
      <w:r>
        <w:t xml:space="preserve">estimator in each person by re-inference from random gene subsets: it does not differ between</w:t>
      </w:r>
      <w:r>
        <w:t xml:space="preserve"> </w:t>
      </w:r>
      <w:r>
        <w:t xml:space="preserve">groups (median 0.149 in resistant against 0.160 in sensitive participants, P = 0.99), and the</w:t>
      </w:r>
      <w:r>
        <w:t xml:space="preserve"> </w:t>
      </w:r>
      <w:r>
        <w:t xml:space="preserve">variance ratio is 2.7 with both estimation schemes, so the difference is not generated by unequal</w:t>
      </w:r>
      <w:r>
        <w:t xml:space="preserve"> </w:t>
      </w:r>
      <w:r>
        <w:t xml:space="preserve">measurement error. The variance of the sensitive group is nevertheless smaller than its own squared</w:t>
      </w:r>
      <w:r>
        <w:t xml:space="preserve"> </w:t>
      </w:r>
      <w:r>
        <w:t xml:space="preserve">noise, so what can be claimed is that resistant participants disperse more, not that sensitive</w:t>
      </w:r>
      <w:r>
        <w:t xml:space="preserve"> </w:t>
      </w:r>
      <w:r>
        <w:t xml:space="preserve">participants have a particular dispersion. The effect was not present in the second muscle cohort,</w:t>
      </w:r>
      <w:r>
        <w:t xml:space="preserve"> </w:t>
      </w:r>
      <w:r>
        <w:t xml:space="preserve">which contrasts type 2 diabetes with normal glucose tolerance in balanced groups rather than</w:t>
      </w:r>
      <w:r>
        <w:t xml:space="preserve"> </w:t>
      </w:r>
      <w:r>
        <w:t xml:space="preserve">clamp-measured resistance in unbalanced ones.</w:t>
      </w:r>
    </w:p>
    <w:bookmarkEnd w:id="38"/>
    <w:bookmarkEnd w:id="39"/>
    <w:bookmarkStart w:id="40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The peripheral clock of human metabolic tissues tracks glucocorticoid signalling.</w:t>
      </w:r>
      <w:r>
        <w:t xml:space="preserve"> </w:t>
      </w:r>
      <w:r>
        <w:t xml:space="preserve">The association holds across four tissues and six cohorts, survives adjustment for adiposity,</w:t>
      </w:r>
      <w:r>
        <w:t xml:space="preserve"> </w:t>
      </w:r>
      <w:r>
        <w:t xml:space="preserve">cellular composition, ischaemic time and RNA integrity, and persists in cultured islets with no</w:t>
      </w:r>
      <w:r>
        <w:t xml:space="preserve"> </w:t>
      </w:r>
      <w:r>
        <w:t xml:space="preserve">circulating hormone. The decisive comparison is within individuals and at a fixed hour of day:</w:t>
      </w:r>
      <w:r>
        <w:t xml:space="preserve"> </w:t>
      </w:r>
      <w:r>
        <w:t xml:space="preserve">PER1 rises in every participant under hydrocortisone and falls in every participant under insulin,</w:t>
      </w:r>
      <w:r>
        <w:t xml:space="preserve"> </w:t>
      </w:r>
      <w:r>
        <w:t xml:space="preserve">in the same tissue. Three hours of clamp are indistinguishable from three hours of morning, so what</w:t>
      </w:r>
      <w:r>
        <w:t xml:space="preserve"> </w:t>
      </w:r>
      <w:r>
        <w:t xml:space="preserve">the clamp literature has read as an effect of insulin on the clock is the passage of time.</w:t>
      </w:r>
    </w:p>
    <w:p>
      <w:pPr>
        <w:pStyle w:val="BodyText"/>
      </w:pPr>
      <w:r>
        <w:t xml:space="preserve">The mechanism that unifies the clinical observations is not the amount of hormone but the strength</w:t>
      </w:r>
      <w:r>
        <w:t xml:space="preserve"> </w:t>
      </w:r>
      <w:r>
        <w:t xml:space="preserve">of the rhythmic signal. Obesity flattens the cortisol rhythm[31,32], Cushing syndrome and exogenous</w:t>
      </w:r>
      <w:r>
        <w:t xml:space="preserve"> </w:t>
      </w:r>
      <w:r>
        <w:t xml:space="preserve">hydrocortisone impose sustained exposure[33,34], and adiposity lowers the receptor; all three lower the</w:t>
      </w:r>
      <w:r>
        <w:t xml:space="preserve"> </w:t>
      </w:r>
      <w:r>
        <w:t xml:space="preserve">same product, and all three produce the same transcriptional signature. The model makes that</w:t>
      </w:r>
      <w:r>
        <w:t xml:space="preserve"> </w:t>
      </w:r>
      <w:r>
        <w:t xml:space="preserve">statement quantitative, reproducing the direction of every signature gene and its magnitude to</w:t>
      </w:r>
      <w:r>
        <w:t xml:space="preserve"> </w:t>
      </w:r>
      <w:r>
        <w:t xml:space="preserve">within 4% without fitted parameters, and it yields a testable prediction that the data already</w:t>
      </w:r>
      <w:r>
        <w:t xml:space="preserve"> </w:t>
      </w:r>
      <w:r>
        <w:t xml:space="preserve">satisfy: the level signature requires a narrow sampling window while the amplitude signature does</w:t>
      </w:r>
      <w:r>
        <w:t xml:space="preserve"> </w:t>
      </w:r>
      <w:r>
        <w:t xml:space="preserve">not (Fig. 5f).</w:t>
      </w:r>
    </w:p>
    <w:p>
      <w:pPr>
        <w:pStyle w:val="BodyText"/>
      </w:pPr>
      <w:r>
        <w:t xml:space="preserve">One consequence follows for metabolic disease: the signature is not a marker of insulin</w:t>
      </w:r>
      <w:r>
        <w:t xml:space="preserve"> </w:t>
      </w:r>
      <w:r>
        <w:t xml:space="preserve">resistance. Thiazolidinedione improves sensitivity without reversing it. The clock-output score does not</w:t>
      </w:r>
      <w:r>
        <w:t xml:space="preserve"> </w:t>
      </w:r>
      <w:r>
        <w:t xml:space="preserve">correlate with measured insulin sensitivity in the one cohort where that phenotype is available,</w:t>
      </w:r>
      <w:r>
        <w:t xml:space="preserve"> </w:t>
      </w:r>
      <w:r>
        <w:t xml:space="preserve">although it is graded by clinical status. And in phenotype ontology the receptor axis runs against</w:t>
      </w:r>
      <w:r>
        <w:t xml:space="preserve"> </w:t>
      </w:r>
      <w:r>
        <w:t xml:space="preserve">type 2 diabetes while running with truncal obesity and urinary cortisol. What the</w:t>
      </w:r>
      <w:r>
        <w:t xml:space="preserve"> </w:t>
      </w:r>
      <w:r>
        <w:t xml:space="preserve">signature estimates is the glucocorticoid signal a tissue actually receives, which no circulating</w:t>
      </w:r>
      <w:r>
        <w:t xml:space="preserve"> </w:t>
      </w:r>
      <w:r>
        <w:t xml:space="preserve">measure provides.</w:t>
      </w:r>
    </w:p>
    <w:p>
      <w:pPr>
        <w:pStyle w:val="BodyText"/>
      </w:pPr>
      <w:r>
        <w:t xml:space="preserve">This reframes the modest results of 11β-hydroxysteroid dehydrogenase type 1 inhibitors in type 2</w:t>
      </w:r>
      <w:r>
        <w:t xml:space="preserve"> </w:t>
      </w:r>
      <w:r>
        <w:t xml:space="preserve">diabetes[26,27]. These compounds lower the local regeneration of cortisol, that is, the</w:t>
      </w:r>
      <w:r>
        <w:t xml:space="preserve"> </w:t>
      </w:r>
      <w:r>
        <w:t xml:space="preserve">ligand[28,42,43]. Our data separate the two arms of that axis: within adipose tissue HSD11B1</w:t>
      </w:r>
      <w:r>
        <w:t xml:space="preserve"> </w:t>
      </w:r>
      <w:r>
        <w:t xml:space="preserve">rises with adiposity while the receptor falls, and it is the receptor, not the enzyme, that tracks</w:t>
      </w:r>
      <w:r>
        <w:t xml:space="preserve"> </w:t>
      </w:r>
      <w:r>
        <w:t xml:space="preserve">clock output (Fig. 4d,e). Where the limiting term is receptor availability, lowering the ligand</w:t>
      </w:r>
      <w:r>
        <w:t xml:space="preserve"> </w:t>
      </w:r>
      <w:r>
        <w:t xml:space="preserve">cannot restore the rhythmic signal, which would account for the modest glycaemic effect of these</w:t>
      </w:r>
      <w:r>
        <w:t xml:space="preserve"> </w:t>
      </w:r>
      <w:r>
        <w:t xml:space="preserve">compounds. The prediction is specific and testable in material that already exists: in trials of</w:t>
      </w:r>
      <w:r>
        <w:t xml:space="preserve"> </w:t>
      </w:r>
      <w:r>
        <w:t xml:space="preserve">11β-HSD1 inhibition with banked adipose tissue[29,30], the response should be graded by the</w:t>
      </w:r>
      <w:r>
        <w:t xml:space="preserve"> </w:t>
      </w:r>
      <w:r>
        <w:t xml:space="preserve">effective glucocorticoid signal of the tissue at baseline, estimated from receptor level together</w:t>
      </w:r>
      <w:r>
        <w:t xml:space="preserve"> </w:t>
      </w:r>
      <w:r>
        <w:t xml:space="preserve">with the clock-output score, rather than by diagnostic category or by circulating cortisol. A null</w:t>
      </w:r>
      <w:r>
        <w:t xml:space="preserve"> </w:t>
      </w:r>
      <w:r>
        <w:t xml:space="preserve">association between baseline receptor level and response would argue against the interpretation</w:t>
      </w:r>
      <w:r>
        <w:t xml:space="preserve"> </w:t>
      </w:r>
      <w:r>
        <w:t xml:space="preserve">advanced here.</w:t>
      </w:r>
    </w:p>
    <w:p>
      <w:pPr>
        <w:pStyle w:val="BodyText"/>
      </w:pPr>
      <w:r>
        <w:t xml:space="preserve">Our analysis has four limitations. Phase and amplitude are inferred from expression rather than</w:t>
      </w:r>
      <w:r>
        <w:t xml:space="preserve"> </w:t>
      </w:r>
      <w:r>
        <w:t xml:space="preserve">from longitudinal sampling in each donor, and per-sample amplitude is attenuated (ρ = 0.17 to 0.34</w:t>
      </w:r>
      <w:r>
        <w:t xml:space="preserve"> </w:t>
      </w:r>
      <w:r>
        <w:t xml:space="preserve">against cosinor out of sample), so the associations reported here are lower bounds. The</w:t>
      </w:r>
      <w:r>
        <w:t xml:space="preserve"> </w:t>
      </w:r>
      <w:r>
        <w:t xml:space="preserve">cross-sectional association in adipose tissue weakens when the leading principal components of the</w:t>
      </w:r>
      <w:r>
        <w:t xml:space="preserve"> </w:t>
      </w:r>
      <w:r>
        <w:t xml:space="preserve">matrix are removed (Supplementary Table S21); that adjustment controls for between-sample</w:t>
      </w:r>
      <w:r>
        <w:t xml:space="preserve"> </w:t>
      </w:r>
      <w:r>
        <w:t xml:space="preserve">heterogeneity but also removes any systemic signal, and these data cannot separate the two</w:t>
      </w:r>
      <w:r>
        <w:t xml:space="preserve"> </w:t>
      </w:r>
      <w:r>
        <w:t xml:space="preserve">(Supplementary Methods). Cortisol was not measured in any of the cohorts. And the direction of the</w:t>
      </w:r>
      <w:r>
        <w:t xml:space="preserve"> </w:t>
      </w:r>
      <w:r>
        <w:t xml:space="preserve">relationship rests on cross-sectional association combined with external perturbations rather than</w:t>
      </w:r>
      <w:r>
        <w:t xml:space="preserve"> </w:t>
      </w:r>
      <w:r>
        <w:t xml:space="preserve">on manipulation of the receptor.</w:t>
      </w:r>
      <w:r>
        <w:t xml:space="preserve"> </w:t>
      </w:r>
      <w:r>
        <w:t xml:space="preserve">Manipulating the receptor itself in a metabolic tissue would settle the last of these, and our</w:t>
      </w:r>
      <w:r>
        <w:t xml:space="preserve"> </w:t>
      </w:r>
      <w:r>
        <w:t xml:space="preserve">results specify what such an experiment should find: an attenuation of the output arm with the core</w:t>
      </w:r>
      <w:r>
        <w:t xml:space="preserve"> </w:t>
      </w:r>
      <w:r>
        <w:t xml:space="preserve">oscillator preserved, which is the dissociation the paired clamp already shows within individuals,</w:t>
      </w:r>
      <w:r>
        <w:t xml:space="preserve"> </w:t>
      </w:r>
      <w:r>
        <w:t xml:space="preserve">rather than a loss of the clock as a whole.</w:t>
      </w:r>
    </w:p>
    <w:p>
      <w:pPr>
        <w:pStyle w:val="BodyText"/>
      </w:pPr>
      <w:r>
        <w:t xml:space="preserve">Taken together, these results change what should be measured when circadian disruption is suspected</w:t>
      </w:r>
      <w:r>
        <w:t xml:space="preserve"> </w:t>
      </w:r>
      <w:r>
        <w:t xml:space="preserve">in metabolic disease. Circulating cortisol, the measure in routine use, is not the quantity the</w:t>
      </w:r>
      <w:r>
        <w:t xml:space="preserve"> </w:t>
      </w:r>
      <w:r>
        <w:t xml:space="preserve">tissue responds to; the receptor and the rhythm it reads are. A transcriptional estimate of that</w:t>
      </w:r>
      <w:r>
        <w:t xml:space="preserve"> </w:t>
      </w:r>
      <w:r>
        <w:t xml:space="preserve">signal can be obtained from a single biopsy, in cohorts that already exist, and is what should be</w:t>
      </w:r>
      <w:r>
        <w:t xml:space="preserve"> </w:t>
      </w:r>
      <w:r>
        <w:t xml:space="preserve">related to metabolic phenotype and to treatment response.</w:t>
      </w:r>
    </w:p>
    <w:p>
      <w:r>
        <w:pict>
          <v:rect style="width:0;height:1.5pt" o:hralign="center" o:hrstd="t" o:hr="t"/>
        </w:pict>
      </w:r>
    </w:p>
    <w:bookmarkEnd w:id="40"/>
    <w:bookmarkStart w:id="41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We thank the participants and investigators of the original studies for making their datasets</w:t>
      </w:r>
      <w:r>
        <w:t xml:space="preserve"> </w:t>
      </w:r>
      <w:r>
        <w:t xml:space="preserve">available, and acknowledge the GTEx Consortium and the NCBI Gene Expression Omnibus for providing</w:t>
      </w:r>
      <w:r>
        <w:t xml:space="preserve"> </w:t>
      </w:r>
      <w:r>
        <w:t xml:space="preserve">access to the data used in this work.</w:t>
      </w:r>
    </w:p>
    <w:bookmarkEnd w:id="41"/>
    <w:bookmarkStart w:id="4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1. Stenvers DJ, Scheer FAJL, Schrauwen P, la Fleur SE, Kalsbeek A. Circadian clocks and insulin resistance. Nat Rev Endocrinol 2019;15:75–89.</w:t>
      </w:r>
      <w:r>
        <w:t xml:space="preserve"> </w:t>
      </w:r>
      <w:r>
        <w:t xml:space="preserve">2. Bass J. Circadian topology of metabolism. Nature 2012;491:348–56.</w:t>
      </w:r>
      <w:r>
        <w:t xml:space="preserve"> </w:t>
      </w:r>
      <w:r>
        <w:t xml:space="preserve">3. Wefers J, van Moorsel D, Hansen J, et al. Circadian misalignment induces fatty acid metabolism gene profiles and compromises insulin sensitivity in human skeletal muscle. Proc Natl Acad Sci U S A 2018;115:7789–94.</w:t>
      </w:r>
      <w:r>
        <w:t xml:space="preserve"> </w:t>
      </w:r>
      <w:r>
        <w:t xml:space="preserve">4. Otway DT, Mäntele S, Bretschneider S, et al. Rhythmic diurnal gene expression in human adipose tissue from individuals who are lean, overweight, and type 2 diabetic. Diabetes 2011;60:1577–81.</w:t>
      </w:r>
      <w:r>
        <w:t xml:space="preserve"> </w:t>
      </w:r>
      <w:r>
        <w:t xml:space="preserve">5. Perrin L, Loizides-Mangold U, Chanon S, et al. Transcriptomic analyses reveal rhythmic and CLOCK-driven pathways in human skeletal muscle. eLife 2018;7:e34114.</w:t>
      </w:r>
      <w:r>
        <w:t xml:space="preserve"> </w:t>
      </w:r>
      <w:r>
        <w:t xml:space="preserve">6. Tuvia N, Pivovarova-Ramich O, Murahovschi V, et al. Insulin directly regulates the circadian clock in adipose tissue. Diabetes 2021;70:1985–99.</w:t>
      </w:r>
      <w:r>
        <w:t xml:space="preserve"> </w:t>
      </w:r>
      <w:r>
        <w:t xml:space="preserve">7. Crosby P, Hamnett R, Putker M, et al. Insulin/IGF-1 drives PERIOD synthesis to entrain circadian rhythms with feeding time. Cell 2019;177:896–909.</w:t>
      </w:r>
      <w:r>
        <w:t xml:space="preserve"> </w:t>
      </w:r>
      <w:r>
        <w:t xml:space="preserve">8. Chaix A, Manoogian ENC, Melkani GC, Panda S. Time-restricted eating to prevent and manage chronic metabolic diseases. Annu Rev Nutr 2019;39:291–315.</w:t>
      </w:r>
      <w:r>
        <w:t xml:space="preserve"> </w:t>
      </w:r>
      <w:r>
        <w:t xml:space="preserve">9. Balsalobre A, Brown SA, Marcacci L, et al. Resetting of circadian time in peripheral tissues by glucocorticoid signaling. Science 2000;289:2344–7.</w:t>
      </w:r>
      <w:r>
        <w:t xml:space="preserve"> </w:t>
      </w:r>
      <w:r>
        <w:t xml:space="preserve">10. Dickmeis T. Glucocorticoids and the circadian clock. J Endocrinol 2009;200:3–22.</w:t>
      </w:r>
      <w:r>
        <w:t xml:space="preserve"> </w:t>
      </w:r>
      <w:r>
        <w:t xml:space="preserve">11. Oster H, Challet E, Ott V, et al. The functional and clinical significance of the 24-hour rhythm of circulating glucocorticoids. Endocr Rev 2017;38:3–45.</w:t>
      </w:r>
      <w:r>
        <w:t xml:space="preserve"> </w:t>
      </w:r>
      <w:r>
        <w:t xml:space="preserve">12. So AY, Bernal TU, Pillsbury ML, Yamamoto KR, Feldman BJ. Glucocorticoid regulation of the circadian clock modulates glucose homeostasis. Proc Natl Acad Sci U S A 2009;106:17582–7.</w:t>
      </w:r>
      <w:r>
        <w:t xml:space="preserve"> </w:t>
      </w:r>
      <w:r>
        <w:t xml:space="preserve">13. Dai M, Wang P, Boyd AD, Kostov G, Athey B, Jones EG, et al. Evolving gene/transcript definitions significantly alter the interpretation of GeneChip data. Nucleic Acids Res 2005;33:e175. https://doi.org/10.1093/nar/gni179.</w:t>
      </w:r>
      <w:r>
        <w:t xml:space="preserve"> </w:t>
      </w:r>
      <w:r>
        <w:t xml:space="preserve">14. Smyth GK. Linear models and empirical Bayes methods for assessing differential expression in microarray experiments. Stat Appl Genet Mol Biol 2004;3:Article3.</w:t>
      </w:r>
      <w:r>
        <w:t xml:space="preserve"> </w:t>
      </w:r>
      <w:r>
        <w:t xml:space="preserve">15. Muzellec B, Teleńczuk M, Cabeli V, Andreux M. PyDESeq2: a python package for bulk RNA-seq differential expression analysis. Bioinformatics 2023;39:btad547.</w:t>
      </w:r>
      <w:r>
        <w:t xml:space="preserve"> </w:t>
      </w:r>
      <w:r>
        <w:t xml:space="preserve">16. Benjamini Y, Hochberg Y. Controlling the false discovery rate: a practical and powerful approach to multiple testing. J R Stat Soc B 1995;57:289–300.</w:t>
      </w:r>
      <w:r>
        <w:t xml:space="preserve"> </w:t>
      </w:r>
      <w:r>
        <w:t xml:space="preserve">17. DerSimonian R, Laird N. Meta-analysis in clinical trials. Control Clin Trials 1986;7:177–88.</w:t>
      </w:r>
      <w:r>
        <w:t xml:space="preserve"> </w:t>
      </w:r>
      <w:r>
        <w:t xml:space="preserve">18. Granada AE, Bordyugov G, Kramer A, Herzel H. Human chronotypes from a theoretical perspective. PLoS One 2013;8:e59464.</w:t>
      </w:r>
      <w:r>
        <w:t xml:space="preserve"> </w:t>
      </w:r>
      <w:r>
        <w:t xml:space="preserve">19. Abraham U, Granada AE, Westermark PO, Heine M, Kramer A, Herzel H. Coupling governs entrainment range of circadian clocks. Mol Syst Biol 2010;6:438.</w:t>
      </w:r>
      <w:r>
        <w:t xml:space="preserve"> </w:t>
      </w:r>
      <w:r>
        <w:t xml:space="preserve">20. Schmal C, Herzel H, Myung J. Clocks in the wild: entrainment to natural light. Front Physiol 2020;11:272.</w:t>
      </w:r>
      <w:r>
        <w:t xml:space="preserve"> </w:t>
      </w:r>
      <w:r>
        <w:t xml:space="preserve">21. Li Y, Androulakis IP. The SCN–HPA–periphery circadian timing system: mathematical modeling of clock synchronization and the effects of photoperiod on jetlag adaptation. J Biol Rhythms 2023;38:435–53.</w:t>
      </w:r>
      <w:r>
        <w:t xml:space="preserve"> </w:t>
      </w:r>
      <w:r>
        <w:t xml:space="preserve">22. Liberzon A, Birger C, Thorvaldsdóttir H, Ghandi M, Mesirov JP, Tamayo P. The Molecular Signatures Database hallmark gene set collection. Cell Syst 2015;1:417–25.</w:t>
      </w:r>
      <w:r>
        <w:t xml:space="preserve"> </w:t>
      </w:r>
      <w:r>
        <w:t xml:space="preserve">23. Garcia-Alonso L, Holland CH, Ibrahim MM, Turei D, Saez-Rodriguez J. Benchmark and integration of resources for the estimation of human transcription factor activities. Genome Res 2019;29:1363–75.</w:t>
      </w:r>
      <w:r>
        <w:t xml:space="preserve"> </w:t>
      </w:r>
      <w:r>
        <w:t xml:space="preserve">24. Hughes ME, Abruzzi KC, Allada R, et al. Guidelines for genome-scale analysis of biological rhythms. J Biol Rhythms 2017;32:380–93.</w:t>
      </w:r>
      <w:r>
        <w:t xml:space="preserve"> </w:t>
      </w:r>
      <w:r>
        <w:t xml:space="preserve">25. Ruben MD, Francey LJ, Guo Y, et al. A large-scale study reveals 24-h operational rhythms in hospital treatment. Proc Natl Acad Sci U S A 2019;116:20953–8.</w:t>
      </w:r>
      <w:r>
        <w:t xml:space="preserve"> </w:t>
      </w:r>
      <w:r>
        <w:t xml:space="preserve">26. Feig PU, Shah S, Hermanowski-Vosatka A, et al. Effects of an 11β-hydroxysteroid dehydrogenase type 1 inhibitor, MK-0916, in patients with type 2 diabetes mellitus and metabolic syndrome. Diabetes Obes Metab 2011;13:498–504.</w:t>
      </w:r>
      <w:r>
        <w:t xml:space="preserve"> </w:t>
      </w:r>
      <w:r>
        <w:t xml:space="preserve">27. Rosenstock J, Banarer S, Fonseca VA, et al. The 11-beta-hydroxysteroid dehydrogenase type 1 inhibitor INCB13739 improves hyperglycemia in patients with type 2 diabetes inadequately controlled by metformin monotherapy. Diabetes Care 2010;33:1516–22.</w:t>
      </w:r>
      <w:r>
        <w:t xml:space="preserve"> </w:t>
      </w:r>
      <w:r>
        <w:t xml:space="preserve">28. Morgan SA, McCabe EL, Gathercole LL, et al. 11β-HSD1 is the major regulator of the tissue-specific effects of circulating glucocorticoid excess. Proc Natl Acad Sci U S A 2014;111:E2482–91.</w:t>
      </w:r>
      <w:r>
        <w:t xml:space="preserve"> </w:t>
      </w:r>
      <w:r>
        <w:t xml:space="preserve">29. Othonos N, Pofi R, Arvaniti A, et al. 11β-HSD1 inhibition in men mitigates prednisolone-induced adverse effects in a proof-of-concept randomised double-blind placebo-controlled trial. Nat Commun 2023;14:1025.</w:t>
      </w:r>
      <w:r>
        <w:t xml:space="preserve"> </w:t>
      </w:r>
      <w:r>
        <w:t xml:space="preserve">30. Ajjan RA, Hensor EMA, Del Galdo F, et al. Oral 11β-HSD1 inhibitor AZD4017 improves wound healing and skin integrity in adults with type 2 diabetes mellitus: a pilot randomized controlled trial. Eur J Endocrinol 2022;186:441–55.</w:t>
      </w:r>
      <w:r>
        <w:t xml:space="preserve"> </w:t>
      </w:r>
      <w:r>
        <w:t xml:space="preserve">31. Björntorp P, Rosmond R. Obesity and cortisol. Nutrition 2000;16:924–36.</w:t>
      </w:r>
      <w:r>
        <w:t xml:space="preserve"> </w:t>
      </w:r>
      <w:r>
        <w:t xml:space="preserve">32. Incollingo Rodriguez AC, Epel ES, White ML, Standen EC, Seckl JR, Tomiyama AJ. Hypothalamic–pituitary–adrenal axis dysregulation and cortisol activity in obesity: a systematic review. Psychoneuroendocrinology 2015;62:301–18.</w:t>
      </w:r>
      <w:r>
        <w:t xml:space="preserve"> </w:t>
      </w:r>
      <w:r>
        <w:t xml:space="preserve">33. Pivonello R, Isidori AM, De Martino MC, Newell-Price J, Biller BMK, Colao A. Complications of Cushing’s syndrome: state of the art. Lancet Diabetes Endocrinol 2016;4:611–29.</w:t>
      </w:r>
      <w:r>
        <w:t xml:space="preserve"> </w:t>
      </w:r>
      <w:r>
        <w:t xml:space="preserve">34. Hackett RA, Kivimäki M, Kumari M, Steptoe A. Diurnal cortisol patterns, future diabetes, and impaired glucose metabolism in the Whitehall II cohort study. J Clin Endocrinol Metab 2016;101:619–25.</w:t>
      </w:r>
      <w:r>
        <w:t xml:space="preserve"> </w:t>
      </w:r>
      <w:r>
        <w:t xml:space="preserve">35. Sharma NK, Sajuthi SP, Chou JW, et al. Tissue-specific and genetic regulation of insulin sensitivity-associated transcripts in African Americans. J Clin Endocrinol Metab 2016;101:1455–68.</w:t>
      </w:r>
      <w:r>
        <w:t xml:space="preserve"> </w:t>
      </w:r>
      <w:r>
        <w:t xml:space="preserve">36. Talamanca L, Gobet C, Naef F. Sex-dimorphic and age-dependent organization of 24-hour gene expression rhythms in humans. Science 2023;379:478–83.</w:t>
      </w:r>
      <w:r>
        <w:t xml:space="preserve"> </w:t>
      </w:r>
      <w:r>
        <w:t xml:space="preserve">37. Salati A, Gobet C, Naef F. scRITMO: inference of circadian phase from single-cell and bulk transcriptomes [preprint]. bioRxiv 2026. Available at github.com/AndreaSalati/scRITMO</w:t>
      </w:r>
      <w:r>
        <w:t xml:space="preserve"> </w:t>
      </w:r>
      <w:r>
        <w:t xml:space="preserve">38. Anafi RC, Francey LJ, Hogenesch JB, Kim J. CYCLOPS reveals human transcriptional rhythms in health and disease. Proc Natl Acad Sci U S A 2017;114:5312–7.</w:t>
      </w:r>
      <w:r>
        <w:t xml:space="preserve"> </w:t>
      </w:r>
      <w:r>
        <w:t xml:space="preserve">39. Hughey JJ, Hastie T, Butte AJ. ZeitZeiger: supervised learning for high-dimensional data from an oscillatory system. Nucleic Acids Res 2016;44:e80.</w:t>
      </w:r>
      <w:r>
        <w:t xml:space="preserve"> </w:t>
      </w:r>
      <w:r>
        <w:t xml:space="preserve">40. Braun R, Kath WL, Iwanaszko M, et al. Universal method for robust detection of circadian state from gene expression. Proc Natl Acad Sci U S A 2018;115:E9247–56.</w:t>
      </w:r>
      <w:r>
        <w:t xml:space="preserve"> </w:t>
      </w:r>
      <w:r>
        <w:t xml:space="preserve">41. Cornelissen G. Cosinor-based rhythmometry. Theor Biol Med Model 2014;11:16.</w:t>
      </w:r>
      <w:r>
        <w:t xml:space="preserve"> </w:t>
      </w:r>
      <w:r>
        <w:t xml:space="preserve">42. Masuzaki H, Paterson J, Shinyama H, et al. A transgenic model of visceral obesity and the metabolic syndrome. Science 2001;294:2166–70.</w:t>
      </w:r>
      <w:r>
        <w:t xml:space="preserve"> </w:t>
      </w:r>
      <w:r>
        <w:t xml:space="preserve">43. Lee RA, Harris CA, Wang JC. Glucocorticoid receptor and adipocyte biology. Nucl Receptor Res 2018;5:101373.</w:t>
      </w:r>
    </w:p>
    <w:bookmarkEnd w:id="42"/>
    <w:bookmarkStart w:id="43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Cs/>
          <w:b/>
        </w:rPr>
        <w:t xml:space="preserve">Author contributions (CRediT).</w:t>
      </w:r>
      <w:r>
        <w:t xml:space="preserve"> </w:t>
      </w:r>
      <w:r>
        <w:t xml:space="preserve">Y.E.M.-A., H.T., A.C. and D.P.-C.: formal analysis,</w:t>
      </w:r>
      <w:r>
        <w:t xml:space="preserve"> </w:t>
      </w:r>
      <w:r>
        <w:t xml:space="preserve">investigation. L.E.-G., M.P.-C. and G.V.-V.: data curation. H.T., L.E.-G., A.C., G.V.-V. and</w:t>
      </w:r>
      <w:r>
        <w:t xml:space="preserve"> </w:t>
      </w:r>
      <w:r>
        <w:t xml:space="preserve">D.P.-C.: methodology. H.T. and D.P.-C.: supervision. G.V.-V., L.E.-G. and D.P.-C.: funding</w:t>
      </w:r>
      <w:r>
        <w:t xml:space="preserve"> </w:t>
      </w:r>
      <w:r>
        <w:t xml:space="preserve">acquisition. Y.E.M.-A., L.E.-G., H.T. and D.P.-C.: writing – original draft. All authors: writing –</w:t>
      </w:r>
      <w:r>
        <w:t xml:space="preserve"> </w:t>
      </w:r>
      <w:r>
        <w:t xml:space="preserve">review and editing, and approval of the final version. D.P.-C. is the guarantor of this work.</w:t>
      </w:r>
    </w:p>
    <w:p>
      <w:pPr>
        <w:pStyle w:val="BodyText"/>
      </w:pPr>
      <w:r>
        <w:rPr>
          <w:bCs/>
          <w:b/>
        </w:rPr>
        <w:t xml:space="preserve">Funding.</w:t>
      </w:r>
      <w:r>
        <w:t xml:space="preserve"> </w:t>
      </w:r>
      <w:r>
        <w:t xml:space="preserve">Supported by SECIHTI projects CBF-2025-G-789 and PEE-2026-J-26, and by</w:t>
      </w:r>
      <w:r>
        <w:t xml:space="preserve"> </w:t>
      </w:r>
      <w:r>
        <w:t xml:space="preserve">DGAPA-PAPIIT IA209424. Y.E.M.-A. acknowledges a postgraduate scholarship from SECIHTI</w:t>
      </w:r>
      <w:r>
        <w:t xml:space="preserve"> </w:t>
      </w:r>
      <w:r>
        <w:t xml:space="preserve">(CVU 2057007).</w:t>
      </w:r>
    </w:p>
    <w:p>
      <w:pPr>
        <w:pStyle w:val="BodyText"/>
      </w:pPr>
      <w:r>
        <w:rPr>
          <w:bCs/>
          <w:b/>
        </w:rPr>
        <w:t xml:space="preserve">Conflicts of interest.</w:t>
      </w:r>
      <w:r>
        <w:t xml:space="preserve"> </w:t>
      </w:r>
      <w:r>
        <w:t xml:space="preserve">The authors declare no competing interests.</w:t>
      </w:r>
    </w:p>
    <w:p>
      <w:pPr>
        <w:pStyle w:val="BodyText"/>
      </w:pPr>
      <w:r>
        <w:rPr>
          <w:bCs/>
          <w:b/>
        </w:rPr>
        <w:t xml:space="preserve">Ethics.</w:t>
      </w:r>
      <w:r>
        <w:t xml:space="preserve"> </w:t>
      </w:r>
      <w:r>
        <w:t xml:space="preserve">All data are publicly available and were generated under the approvals reported in the</w:t>
      </w:r>
      <w:r>
        <w:t xml:space="preserve"> </w:t>
      </w:r>
      <w:r>
        <w:t xml:space="preserve">original publications; no new human data were collected.</w:t>
      </w:r>
    </w:p>
    <w:p>
      <w:pPr>
        <w:pStyle w:val="BodyText"/>
      </w:pPr>
      <w:r>
        <w:rPr>
          <w:bCs/>
          <w:b/>
        </w:rPr>
        <w:t xml:space="preserve">Data availability.</w:t>
      </w:r>
      <w:r>
        <w:t xml:space="preserve"> </w:t>
      </w:r>
      <w:r>
        <w:t xml:space="preserve">Gene-expression datasets are available from the NCBI Gene Expression Omnibus</w:t>
      </w:r>
      <w:r>
        <w:t xml:space="preserve"> </w:t>
      </w:r>
      <w:r>
        <w:t xml:space="preserve">under accessions GSE11868, GSE13070, GSE17992, GSE25462, GSE26637, GSE41168, GSE66446,</w:t>
      </w:r>
      <w:r>
        <w:t xml:space="preserve"> </w:t>
      </w:r>
      <w:r>
        <w:t xml:space="preserve">GSE78721, GSE87761, GSE95674, GSE95675, GSE104674, GSE107537, GSE108539, GSE129843,</w:t>
      </w:r>
      <w:r>
        <w:t xml:space="preserve"> </w:t>
      </w:r>
      <w:r>
        <w:t xml:space="preserve">GSE148640, GSE159984, GSE182117 and GSE182120. GTEx v11 expression data and sample</w:t>
      </w:r>
      <w:r>
        <w:t xml:space="preserve"> </w:t>
      </w:r>
      <w:r>
        <w:t xml:space="preserve">annotations are available through the GTEx Portal, subject to its access conditions; individual-level</w:t>
      </w:r>
      <w:r>
        <w:t xml:space="preserve"> </w:t>
      </w:r>
      <w:r>
        <w:t xml:space="preserve">controlled-access data require the applicable dbGaP authorisation. Dataset identifiers and cohort</w:t>
      </w:r>
      <w:r>
        <w:t xml:space="preserve"> </w:t>
      </w:r>
      <w:r>
        <w:t xml:space="preserve">details are listed in Supplementary Table S1.</w:t>
      </w:r>
    </w:p>
    <w:p>
      <w:pPr>
        <w:pStyle w:val="BodyText"/>
      </w:pPr>
      <w:r>
        <w:rPr>
          <w:bCs/>
          <w:b/>
        </w:rPr>
        <w:t xml:space="preserve">Code availability.</w:t>
      </w:r>
      <w:r>
        <w:t xml:space="preserve"> </w:t>
      </w:r>
      <w:r>
        <w:t xml:space="preserve">Analysis code is available at https://github.com/Danpc11/tissue_coupling and</w:t>
      </w:r>
      <w:r>
        <w:t xml:space="preserve"> </w:t>
      </w:r>
      <w:r>
        <w:t xml:space="preserve">archived on Zenodo (https://doi.org/10.5281/zenodo.23379059). Analyses used Python 3.9.0;</w:t>
      </w:r>
      <w:r>
        <w:t xml:space="preserve"> </w:t>
      </w:r>
      <w:r>
        <w:t xml:space="preserve">stochastic routines used NumPy default_rng with seed 0.</w:t>
      </w:r>
    </w:p>
    <w:p>
      <w:pPr>
        <w:pStyle w:val="BodyText"/>
      </w:pPr>
      <w:r>
        <w:rPr>
          <w:bCs/>
          <w:b/>
        </w:rPr>
        <w:t xml:space="preserve">Use of artificial intelligence tools.</w:t>
      </w:r>
      <w:r>
        <w:t xml:space="preserve"> </w:t>
      </w:r>
      <w:r>
        <w:t xml:space="preserve">OpenAI tools assisted with language editing and Anthropic</w:t>
      </w:r>
      <w:r>
        <w:t xml:space="preserve"> </w:t>
      </w:r>
      <w:r>
        <w:t xml:space="preserve">Claude assisted with code development and with the analyses reported here. All schematic</w:t>
      </w:r>
      <w:r>
        <w:t xml:space="preserve"> </w:t>
      </w:r>
      <w:r>
        <w:t xml:space="preserve">illustrations were prepared by the authors; no AI-generated images are included. The authors</w:t>
      </w:r>
      <w:r>
        <w:t xml:space="preserve"> </w:t>
      </w:r>
      <w:r>
        <w:t xml:space="preserve">reviewed the resulting text, code and figures and take full responsibility for the content of the</w:t>
      </w:r>
      <w:r>
        <w:t xml:space="preserve"> </w:t>
      </w:r>
      <w:r>
        <w:t xml:space="preserve">manuscript.</w:t>
      </w:r>
    </w:p>
    <w:bookmarkEnd w:id="43"/>
    <w:bookmarkStart w:id="44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FDR, false discovery rate; GR, glucocorticoid receptor; HPA, hypothalamic–pituitary–adrenal;</w:t>
      </w:r>
      <w:r>
        <w:t xml:space="preserve"> </w:t>
      </w:r>
      <w:r>
        <w:t xml:space="preserve">RIN, RNA integrity number; T2D, type 2 diabetes; TZD, thiazolidinedione.</w:t>
      </w:r>
    </w:p>
    <w:p>
      <w:r>
        <w:pict>
          <v:rect style="width:0;height:1.5pt" o:hralign="center" o:hrstd="t" o:hr="t"/>
        </w:pict>
      </w:r>
    </w:p>
    <w:bookmarkEnd w:id="44"/>
    <w:bookmarkStart w:id="48" w:name="figures"/>
    <w:p>
      <w:pPr>
        <w:pStyle w:val="Heading2"/>
      </w:pPr>
      <w:r>
        <w:t xml:space="preserve">Figures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5334000" cy="397572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s/F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5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X6f723f878b09a464406febcd8049f075278eb0e"/>
    <w:p>
      <w:pPr>
        <w:pStyle w:val="Heading2"/>
      </w:pPr>
      <w:r>
        <w:t xml:space="preserve">Figure 1 | Single-sample inference of circadian phase and amplitude in human metabolic tissues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, Study design.</w:t>
      </w:r>
      <w:r>
        <w:t xml:space="preserve"> </w:t>
      </w:r>
      <w:r>
        <w:rPr>
          <w:bCs/>
          <w:b/>
        </w:rPr>
        <w:t xml:space="preserve">B</w:t>
      </w:r>
      <w:r>
        <w:t xml:space="preserve">, Genes reaching FDR &lt; 0.1 in a case–control comparison within each</w:t>
      </w:r>
      <w:r>
        <w:t xml:space="preserve"> </w:t>
      </w:r>
      <w:r>
        <w:t xml:space="preserve">cohort (moderated</w:t>
      </w:r>
      <w:r>
        <w:t xml:space="preserve"> </w:t>
      </w:r>
      <w:r>
        <w:rPr>
          <w:iCs/>
          <w:i/>
        </w:rPr>
        <w:t xml:space="preserve">t</w:t>
      </w:r>
      <w:r>
        <w:t xml:space="preserve">, Benjamini–Hochberg; log scale; group sizes in parentheses). Colour, tissue.</w:t>
      </w:r>
      <w:r>
        <w:t xml:space="preserve"> </w:t>
      </w:r>
      <w:r>
        <w:rPr>
          <w:bCs/>
          <w:b/>
        </w:rPr>
        <w:t xml:space="preserve">C</w:t>
      </w:r>
      <w:r>
        <w:t xml:space="preserve">, Moderated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for the nine clock-output and nine glucocorticoid genes in each cohort. Dot</w:t>
      </w:r>
      <w:r>
        <w:t xml:space="preserve"> </w:t>
      </w:r>
      <w:r>
        <w:t xml:space="preserve">size, −log10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(uncorrected); colour, moderated</w:t>
      </w:r>
      <w:r>
        <w:t xml:space="preserve"> </w:t>
      </w:r>
      <w:r>
        <w:rPr>
          <w:iCs/>
          <w:i/>
        </w:rPr>
        <w:t xml:space="preserve">t</w:t>
      </w:r>
      <w:r>
        <w:t xml:space="preserve">.</w:t>
      </w:r>
      <w:r>
        <w:t xml:space="preserve"> </w:t>
      </w:r>
      <w:r>
        <w:rPr>
          <w:bCs/>
          <w:b/>
        </w:rPr>
        <w:t xml:space="preserve">D</w:t>
      </w:r>
      <w:r>
        <w:t xml:space="preserve">, Set-level enrichment of four gene sets</w:t>
      </w:r>
      <w:r>
        <w:t xml:space="preserve"> </w:t>
      </w:r>
      <w:r>
        <w:t xml:space="preserve">per cohort (</w:t>
      </w:r>
      <w:r>
        <w:rPr>
          <w:iCs/>
          <w:i/>
        </w:rPr>
        <w:t xml:space="preserve">z</w:t>
      </w:r>
      <w:r>
        <w:t xml:space="preserve"> </w:t>
      </w:r>
      <w:r>
        <w:t xml:space="preserve">against 2,000 size-matched random sets).</w:t>
      </w:r>
      <w:r>
        <w:t xml:space="preserve"> </w:t>
      </w:r>
      <w:r>
        <w:rPr>
          <w:bCs/>
          <w:b/>
        </w:rPr>
        <w:t xml:space="preserve">E</w:t>
      </w:r>
      <w:r>
        <w:t xml:space="preserve">, Single-sample estimator of phase and</w:t>
      </w:r>
      <w:r>
        <w:t xml:space="preserve"> </w:t>
      </w:r>
      <w:r>
        <w:t xml:space="preserve">amplitude.</w:t>
      </w:r>
      <w:r>
        <w:t xml:space="preserve"> </w:t>
      </w:r>
      <w:r>
        <w:rPr>
          <w:bCs/>
          <w:b/>
        </w:rPr>
        <w:t xml:space="preserve">F</w:t>
      </w:r>
      <w:r>
        <w:t xml:space="preserve">, Inferred against cosinor-measured amplitude in synchronised human myotubes</w:t>
      </w:r>
      <w:r>
        <w:t xml:space="preserve"> </w:t>
      </w:r>
      <w:r>
        <w:t xml:space="preserve">(GSE182117; 11 donors, two conditions, eight time points).</w:t>
      </w:r>
      <w:r>
        <w:t xml:space="preserve"> </w:t>
      </w:r>
      <w:r>
        <w:rPr>
          <w:bCs/>
          <w:b/>
        </w:rPr>
        <w:t xml:space="preserve">G</w:t>
      </w:r>
      <w:r>
        <w:t xml:space="preserve">, The same in skeletal muscle</w:t>
      </w:r>
      <w:r>
        <w:t xml:space="preserve"> </w:t>
      </w:r>
      <w:r>
        <w:rPr>
          <w:iCs/>
          <w:i/>
        </w:rPr>
        <w:t xml:space="preserve">in vivo</w:t>
      </w:r>
      <w:r>
        <w:t xml:space="preserve"> </w:t>
      </w:r>
      <w:r>
        <w:t xml:space="preserve">(GSE129843; 11 men, six biopsies per person and condition; EXF, extended feeding; TRF,</w:t>
      </w:r>
      <w:r>
        <w:t xml:space="preserve"> </w:t>
      </w:r>
      <w:r>
        <w:t xml:space="preserve">time-restricted feeding).</w:t>
      </w:r>
      <w:r>
        <w:t xml:space="preserve"> </w:t>
      </w:r>
      <w:r>
        <w:rPr>
          <w:bCs/>
          <w:b/>
        </w:rPr>
        <w:t xml:space="preserve">H</w:t>
      </w:r>
      <w:r>
        <w:t xml:space="preserve">, Clock-output score per person, control (squares) against case</w:t>
      </w:r>
      <w:r>
        <w:t xml:space="preserve"> </w:t>
      </w:r>
      <w:r>
        <w:t xml:space="preserve">(circles); bars, medians;</w:t>
      </w:r>
      <w:r>
        <w:t xml:space="preserve"> </w:t>
      </w:r>
      <w:r>
        <w:rPr>
          <w:iCs/>
          <w:i/>
        </w:rPr>
        <w:t xml:space="preserve">P</w:t>
      </w:r>
      <w:r>
        <w:t xml:space="preserve">, Mann–Whitney.</w:t>
      </w:r>
      <w:r>
        <w:t xml:space="preserve"> </w:t>
      </w:r>
      <w:r>
        <w:rPr>
          <w:bCs/>
          <w:b/>
        </w:rPr>
        <w:t xml:space="preserve">I</w:t>
      </w:r>
      <w:r>
        <w:t xml:space="preserve">, Distribution of uncorrected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across all genes</w:t>
      </w:r>
      <w:r>
        <w:t xml:space="preserve"> </w:t>
      </w:r>
      <w:r>
        <w:t xml:space="preserve">in three cohorts.</w:t>
      </w:r>
      <w:r>
        <w:t xml:space="preserve"> </w:t>
      </w:r>
      <w:r>
        <w:rPr>
          <w:bCs/>
          <w:b/>
        </w:rPr>
        <w:t xml:space="preserve">J</w:t>
      </w:r>
      <w:r>
        <w:t xml:space="preserve">, Spearman correlation between NR3C1 and the clock-output score across</w:t>
      </w:r>
      <w:r>
        <w:t xml:space="preserve"> </w:t>
      </w:r>
      <w:r>
        <w:t xml:space="preserve">individuals of the same cohorts; bars, 95% CI; marker size,</w:t>
      </w:r>
      <w:r>
        <w:t xml:space="preserve"> </w:t>
      </w:r>
      <w:r>
        <w:rPr>
          <w:iCs/>
          <w:i/>
        </w:rPr>
        <w:t xml:space="preserve">n</w:t>
      </w:r>
      <w:r>
        <w:t xml:space="preserve">. Dashed lines in</w:t>
      </w:r>
      <w:r>
        <w:t xml:space="preserve"> </w:t>
      </w:r>
      <w:r>
        <w:rPr>
          <w:bCs/>
          <w:b/>
        </w:rPr>
        <w:t xml:space="preserve">F</w:t>
      </w:r>
      <w:r>
        <w:t xml:space="preserve">,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are least-squares fits. Expression is centred per sample throughout.</w:t>
      </w:r>
    </w:p>
    <w:p>
      <w:pPr>
        <w:pStyle w:val="BodyText"/>
      </w:pPr>
      <w:r>
        <w:drawing>
          <wp:inline>
            <wp:extent cx="5334000" cy="255216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s/F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Xcfab40dc4aef4c200bcdb3c272e005507834685"/>
    <w:p>
      <w:pPr>
        <w:pStyle w:val="Heading2"/>
      </w:pPr>
      <w:r>
        <w:t xml:space="preserve">Figure 2 | The clock-output score tracks glucocorticoid receptor level across tissues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, Random-effects meta-analysis of the Spearman correlation between NR3C1 and the clock-output</w:t>
      </w:r>
      <w:r>
        <w:t xml:space="preserve"> </w:t>
      </w:r>
      <w:r>
        <w:t xml:space="preserve">score, across 13 cohort–tissue estimates grouped by tissue. Circles, individual estimates with 95%</w:t>
      </w:r>
      <w:r>
        <w:t xml:space="preserve"> </w:t>
      </w:r>
      <w:r>
        <w:t xml:space="preserve">CI, size proportional to</w:t>
      </w:r>
      <w:r>
        <w:t xml:space="preserve"> </w:t>
      </w:r>
      <w:r>
        <w:rPr>
          <w:iCs/>
          <w:i/>
        </w:rPr>
        <w:t xml:space="preserve">n</w:t>
      </w:r>
      <w:r>
        <w:t xml:space="preserve">; diamonds, estimates pooled by tissue and overall; dotted line, the</w:t>
      </w:r>
      <w:r>
        <w:t xml:space="preserve"> </w:t>
      </w:r>
      <w:r>
        <w:t xml:space="preserve">overall estimate. Pooled values shown are two-level DerSimonian–Laird on Fisher</w:t>
      </w:r>
      <w:r>
        <w:t xml:space="preserve"> </w:t>
      </w:r>
      <w:r>
        <w:rPr>
          <w:iCs/>
          <w:i/>
        </w:rPr>
        <w:t xml:space="preserve">z</w:t>
      </w:r>
      <w:r>
        <w:t xml:space="preserve">; the primary</w:t>
      </w:r>
      <w:r>
        <w:t xml:space="preserve"> </w:t>
      </w:r>
      <w:r>
        <w:t xml:space="preserve">estimate reported in the text is from the three-level model that nests estimates within cohort</w:t>
      </w:r>
      <w:r>
        <w:t xml:space="preserve"> </w:t>
      </w:r>
      <w:r>
        <w:t xml:space="preserve">(ρ = 0.45, 95% CI 0.31–0.58).</w:t>
      </w:r>
      <w:r>
        <w:t xml:space="preserve"> </w:t>
      </w:r>
      <w:r>
        <w:rPr>
          <w:bCs/>
          <w:b/>
        </w:rPr>
        <w:t xml:space="preserve">B</w:t>
      </w:r>
      <w:r>
        <w:t xml:space="preserve">, Clock-output score by NR3C1 quintile in pancreatic islets</w:t>
      </w:r>
      <w:r>
        <w:t xml:space="preserve"> </w:t>
      </w:r>
      <w:r>
        <w:t xml:space="preserve">(GSE159984) and GTEx visceral adipose tissue; each dot one person, bars medians.</w:t>
      </w:r>
      <w:r>
        <w:t xml:space="preserve"> </w:t>
      </w:r>
      <w:r>
        <w:rPr>
          <w:bCs/>
          <w:b/>
        </w:rPr>
        <w:t xml:space="preserve">C</w:t>
      </w:r>
      <w:r>
        <w:t xml:space="preserve">, The same</w:t>
      </w:r>
      <w:r>
        <w:t xml:space="preserve"> </w:t>
      </w:r>
      <w:r>
        <w:t xml:space="preserve">meta-analysis for the glucocorticoid signalling score, stratified by living donors (purple) and</w:t>
      </w:r>
      <w:r>
        <w:t xml:space="preserve"> </w:t>
      </w:r>
      <w:r>
        <w:t xml:space="preserve">post-mortem tissue (grey).</w:t>
      </w:r>
      <w:r>
        <w:t xml:space="preserve"> </w:t>
      </w:r>
      <w:r>
        <w:rPr>
          <w:bCs/>
          <w:b/>
        </w:rPr>
        <w:t xml:space="preserve">D</w:t>
      </w:r>
      <w:r>
        <w:t xml:space="preserve">, Receptor–clock correlation before and after regressing out each</w:t>
      </w:r>
      <w:r>
        <w:t xml:space="preserve"> </w:t>
      </w:r>
      <w:r>
        <w:t xml:space="preserve">donor’s mean NR3C1 across their tissues, in the five cohort–tissue pairs with several tissues per</w:t>
      </w:r>
      <w:r>
        <w:t xml:space="preserve"> </w:t>
      </w:r>
      <w:r>
        <w:t xml:space="preserve">person.</w:t>
      </w:r>
      <w:r>
        <w:t xml:space="preserve"> </w:t>
      </w:r>
      <w:r>
        <w:rPr>
          <w:bCs/>
          <w:b/>
        </w:rPr>
        <w:t xml:space="preserve">E</w:t>
      </w:r>
      <w:r>
        <w:t xml:space="preserve">, Cultured islet preparations (GSE159984; 45 samples); dashed line, least-squares fit.</w:t>
      </w:r>
    </w:p>
    <w:p>
      <w:pPr>
        <w:pStyle w:val="BodyText"/>
      </w:pPr>
      <w:r>
        <w:drawing>
          <wp:inline>
            <wp:extent cx="5334000" cy="5138478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s/F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b84f48e6c69f4a8e33f85d9a6a7b94954db5ea2"/>
    <w:p>
      <w:pPr>
        <w:pStyle w:val="Heading2"/>
      </w:pPr>
      <w:r>
        <w:t xml:space="preserve">Figure 3 | Hydrocortisone, but not acute insulin, shifts clock gene expression</w:t>
      </w:r>
    </w:p>
    <w:p>
      <w:pPr>
        <w:pStyle w:val="FirstParagraph"/>
      </w:pPr>
      <w:r>
        <w:rPr>
          <w:bCs/>
          <w:b/>
        </w:rPr>
        <w:t xml:space="preserve">A</w:t>
      </w:r>
      <w:r>
        <w:t xml:space="preserve">, Sampling scheme of the two perturbations.</w:t>
      </w:r>
      <w:r>
        <w:t xml:space="preserve"> </w:t>
      </w:r>
      <w:r>
        <w:rPr>
          <w:bCs/>
          <w:b/>
        </w:rPr>
        <w:t xml:space="preserve">B</w:t>
      </w:r>
      <w:r>
        <w:t xml:space="preserve">, Change in clock gene expression after three</w:t>
      </w:r>
      <w:r>
        <w:t xml:space="preserve"> </w:t>
      </w:r>
      <w:r>
        <w:t xml:space="preserve">hours of hyperinsulinaemic clamp (GSE13070 muscle) compared with the change over a morning interval</w:t>
      </w:r>
      <w:r>
        <w:t xml:space="preserve"> </w:t>
      </w:r>
      <w:r>
        <w:t xml:space="preserve">in three cohorts with recorded sampling times.</w:t>
      </w:r>
      <w:r>
        <w:t xml:space="preserve"> </w:t>
      </w:r>
      <w:r>
        <w:rPr>
          <w:bCs/>
          <w:b/>
        </w:rPr>
        <w:t xml:space="preserve">C</w:t>
      </w:r>
      <w:r>
        <w:t xml:space="preserve">, Paired fasting-to-hyperinsulinaemia change in</w:t>
      </w:r>
      <w:r>
        <w:t xml:space="preserve"> </w:t>
      </w:r>
      <w:r>
        <w:t xml:space="preserve">adipose tissue (GSE26637; 10 people); each dot one person, bars medians.</w:t>
      </w:r>
      <w:r>
        <w:t xml:space="preserve"> </w:t>
      </w:r>
      <w:r>
        <w:rPr>
          <w:bCs/>
          <w:b/>
        </w:rPr>
        <w:t xml:space="preserve">D</w:t>
      </w:r>
      <w:r>
        <w:t xml:space="preserve">, Per-person change in</w:t>
      </w:r>
      <w:r>
        <w:t xml:space="preserve"> </w:t>
      </w:r>
      <w:r>
        <w:t xml:space="preserve">PER1 under hydrocortisone against placebo (GSE148640) and under clamp against fasting (GSE26637).</w:t>
      </w:r>
      <w:r>
        <w:t xml:space="preserve"> </w:t>
      </w:r>
      <w:r>
        <w:rPr>
          <w:bCs/>
          <w:b/>
        </w:rPr>
        <w:t xml:space="preserve">E</w:t>
      </w:r>
      <w:r>
        <w:t xml:space="preserve">, Hydrocortisone minus placebo in adipose tissue, both biopsies at 07:00 (GSE148640; 10</w:t>
      </w:r>
      <w:r>
        <w:t xml:space="preserve"> </w:t>
      </w:r>
      <w:r>
        <w:t xml:space="preserve">people); numbers above, participants changing upwards.</w:t>
      </w:r>
      <w:r>
        <w:t xml:space="preserve"> </w:t>
      </w:r>
      <w:r>
        <w:rPr>
          <w:bCs/>
          <w:b/>
        </w:rPr>
        <w:t xml:space="preserve">F</w:t>
      </w:r>
      <w:r>
        <w:t xml:space="preserve">, Four days of dexamethasone in skeletal</w:t>
      </w:r>
      <w:r>
        <w:t xml:space="preserve"> </w:t>
      </w:r>
      <w:r>
        <w:t xml:space="preserve">muscle (GSE17992; 10 men; two-colour arrays, log ratios).</w:t>
      </w:r>
      <w:r>
        <w:t xml:space="preserve"> </w:t>
      </w:r>
      <w:r>
        <w:rPr>
          <w:bCs/>
          <w:b/>
        </w:rPr>
        <w:t xml:space="preserve">G</w:t>
      </w:r>
      <w:r>
        <w:t xml:space="preserve">, Cushing syndrome adipose tissue</w:t>
      </w:r>
      <w:r>
        <w:t xml:space="preserve"> </w:t>
      </w:r>
      <w:r>
        <w:t xml:space="preserve">(GSE66446), centred on the control median.</w:t>
      </w:r>
      <w:r>
        <w:t xml:space="preserve"> </w:t>
      </w:r>
      <w:r>
        <w:rPr>
          <w:bCs/>
          <w:b/>
        </w:rPr>
        <w:t xml:space="preserve">H</w:t>
      </w:r>
      <w:r>
        <w:t xml:space="preserve">, The clock-output genes in insulin-resistant adipose</w:t>
      </w:r>
      <w:r>
        <w:t xml:space="preserve"> </w:t>
      </w:r>
      <w:r>
        <w:t xml:space="preserve">tissue, Cushing syndrome, hydrocortisone and three months of thiazolidinedione; of the nine genes</w:t>
      </w:r>
      <w:r>
        <w:t xml:space="preserve"> </w:t>
      </w:r>
      <w:r>
        <w:t xml:space="preserve">of the set, eight were measured in all four contrasts.</w:t>
      </w:r>
      <w:r>
        <w:t xml:space="preserve"> </w:t>
      </w:r>
      <w:r>
        <w:rPr>
          <w:bCs/>
          <w:b/>
        </w:rPr>
        <w:t xml:space="preserve">I</w:t>
      </w:r>
      <w:r>
        <w:t xml:space="preserve">, The same eight genes in</w:t>
      </w:r>
      <w:r>
        <w:t xml:space="preserve"> </w:t>
      </w:r>
      <w:r>
        <w:t xml:space="preserve">insulin-resistant adipose tissue against their change after three months of thiazolidinedione</w:t>
      </w:r>
      <w:r>
        <w:t xml:space="preserve"> </w:t>
      </w:r>
      <w:r>
        <w:t xml:space="preserve">(GSE13070); dashed line, least-squares fit, whose slope is given above the panel.</w:t>
      </w:r>
    </w:p>
    <w:p>
      <w:pPr>
        <w:pStyle w:val="BodyText"/>
      </w:pPr>
      <w:r>
        <w:drawing>
          <wp:inline>
            <wp:extent cx="5334000" cy="357593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figs/F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5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5c629f073ac3cbaced28d7cfe4cf3705a53fe59"/>
    <w:p>
      <w:pPr>
        <w:pStyle w:val="Heading2"/>
      </w:pPr>
      <w:r>
        <w:t xml:space="preserve">Figure 4 | Transcriptional context of the receptor axis in adipose tissue</w:t>
      </w:r>
    </w:p>
    <w:p>
      <w:pPr>
        <w:pStyle w:val="FirstParagraph"/>
      </w:pPr>
      <w:r>
        <w:t xml:space="preserve">The receptor axis is the genome-wide ranking of genes by their partial Spearman correlation with</w:t>
      </w:r>
      <w:r>
        <w:t xml:space="preserve"> </w:t>
      </w:r>
      <w:r>
        <w:t xml:space="preserve">NR3C1 in AAGMEx adipose tissue (</w:t>
      </w:r>
      <w:r>
        <w:rPr>
          <w:iCs/>
          <w:i/>
        </w:rPr>
        <w:t xml:space="preserve">n</w:t>
      </w:r>
      <w:r>
        <w:t xml:space="preserve"> </w:t>
      </w:r>
      <w:r>
        <w:t xml:space="preserve">= 232), adjusted for sex, age, LEP and CD68.</w:t>
      </w:r>
      <w:r>
        <w:t xml:space="preserve"> </w:t>
      </w:r>
      <w:r>
        <w:rPr>
          <w:bCs/>
          <w:b/>
        </w:rPr>
        <w:t xml:space="preserve">A</w:t>
      </w:r>
      <w:r>
        <w:t xml:space="preserve">, Transcription-factor activity inferred from DoRothEA A–C regulons, correlated with the</w:t>
      </w:r>
      <w:r>
        <w:t xml:space="preserve"> </w:t>
      </w:r>
      <w:r>
        <w:t xml:space="preserve">clock-output score across individuals; the eight highest and eight lowest of 134 factors; marker</w:t>
      </w:r>
      <w:r>
        <w:t xml:space="preserve"> </w:t>
      </w:r>
      <w:r>
        <w:t xml:space="preserve">size, targets in the regulon. Clock genes are removed from every regulon.</w:t>
      </w:r>
      <w:r>
        <w:t xml:space="preserve"> </w:t>
      </w:r>
      <w:r>
        <w:rPr>
          <w:bCs/>
          <w:b/>
        </w:rPr>
        <w:t xml:space="preserve">B</w:t>
      </w:r>
      <w:r>
        <w:t xml:space="preserve">, Hallmark</w:t>
      </w:r>
      <w:r>
        <w:t xml:space="preserve"> </w:t>
      </w:r>
      <w:r>
        <w:t xml:space="preserve">collections in the receptor axis (</w:t>
      </w:r>
      <w:r>
        <w:rPr>
          <w:iCs/>
          <w:i/>
        </w:rPr>
        <w:t xml:space="preserve">z</w:t>
      </w:r>
      <w:r>
        <w:t xml:space="preserve"> </w:t>
      </w:r>
      <w:r>
        <w:t xml:space="preserve">against size-matched random sets; dot size, genes in the set).</w:t>
      </w:r>
      <w:r>
        <w:t xml:space="preserve"> </w:t>
      </w:r>
      <w:r>
        <w:rPr>
          <w:bCs/>
          <w:b/>
        </w:rPr>
        <w:t xml:space="preserve">C</w:t>
      </w:r>
      <w:r>
        <w:t xml:space="preserve">, Human Phenotype Ontology terms in the receptor axis of each tissue (AAGMEx adipose and</w:t>
      </w:r>
      <w:r>
        <w:t xml:space="preserve"> </w:t>
      </w:r>
      <w:r>
        <w:t xml:space="preserve">muscle, GSE159984 islets); the islet ranking is not adjusted for donor covariates.</w:t>
      </w:r>
      <w:r>
        <w:t xml:space="preserve"> </w:t>
      </w:r>
      <w:r>
        <w:rPr>
          <w:bCs/>
          <w:b/>
        </w:rPr>
        <w:t xml:space="preserve">D</w:t>
      </w:r>
      <w:r>
        <w:t xml:space="preserve">, Spearman correlation of each gene with LEP and with the</w:t>
      </w:r>
      <w:r>
        <w:t xml:space="preserve"> </w:t>
      </w:r>
      <w:r>
        <w:t xml:space="preserve">clock-output score.</w:t>
      </w:r>
      <w:r>
        <w:t xml:space="preserve"> </w:t>
      </w:r>
      <w:r>
        <w:rPr>
          <w:bCs/>
          <w:b/>
        </w:rPr>
        <w:t xml:space="preserve">E</w:t>
      </w:r>
      <w:r>
        <w:t xml:space="preserve">, Distribution of the receptor axis across 34,020 genes, with three genes</w:t>
      </w:r>
      <w:r>
        <w:t xml:space="preserve"> </w:t>
      </w:r>
      <w:r>
        <w:t xml:space="preserve">marked.</w:t>
      </w:r>
      <w:r>
        <w:t xml:space="preserve"> </w:t>
      </w:r>
      <w:r>
        <w:rPr>
          <w:bCs/>
          <w:b/>
        </w:rPr>
        <w:t xml:space="preserve">F</w:t>
      </w:r>
      <w:r>
        <w:t xml:space="preserve">,</w:t>
      </w:r>
      <w:r>
        <w:t xml:space="preserve"> </w:t>
      </w:r>
      <w:r>
        <w:rPr>
          <w:bCs/>
          <w:b/>
        </w:rPr>
        <w:t xml:space="preserve">G</w:t>
      </w:r>
      <w:r>
        <w:t xml:space="preserve">, Reactome and GO biological process in the receptor axis.</w:t>
      </w:r>
    </w:p>
    <w:p>
      <w:pPr>
        <w:pStyle w:val="BodyText"/>
      </w:pPr>
      <w:r>
        <w:drawing>
          <wp:inline>
            <wp:extent cx="5334000" cy="302585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figs/F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X35f32b80f9cf4c5fc2102112fc46595ed21d4ca"/>
    <w:p>
      <w:pPr>
        <w:pStyle w:val="Heading2"/>
      </w:pPr>
      <w:r>
        <w:t xml:space="preserve">Figure 5 | A forced oscillator model of glucocorticoid entrainment</w:t>
      </w:r>
    </w:p>
    <w:p>
      <w:pPr>
        <w:pStyle w:val="FirstParagraph"/>
      </w:pPr>
      <w:r>
        <w:t xml:space="preserve">Poincaré amplitude–phase oscillators forced by a 24-h zeitgeber; effective forcing F·K is the</w:t>
      </w:r>
      <w:r>
        <w:t xml:space="preserve"> </w:t>
      </w:r>
      <w:r>
        <w:t xml:space="preserve">product of the amplitude of the cortisol rhythm and receptor availability. Populations of 40–150</w:t>
      </w:r>
      <w:r>
        <w:t xml:space="preserve"> </w:t>
      </w:r>
      <w:r>
        <w:t xml:space="preserve">cells with dispersed intrinsic periods; no parameter is fitted to the data.</w:t>
      </w:r>
      <w:r>
        <w:t xml:space="preserve"> </w:t>
      </w:r>
      <w:r>
        <w:rPr>
          <w:bCs/>
          <w:b/>
        </w:rPr>
        <w:t xml:space="preserve">A</w:t>
      </w:r>
      <w:r>
        <w:t xml:space="preserve">, Ensemble synchrony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as a function of effective forcing and intrinsic tissue period. White</w:t>
      </w:r>
      <w:r>
        <w:t xml:space="preserve"> </w:t>
      </w:r>
      <w:r>
        <w:t xml:space="preserve">line,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= 0.6; markers, the two regimes referred to in the text.</w:t>
      </w:r>
      <w:r>
        <w:t xml:space="preserve"> </w:t>
      </w:r>
      <w:r>
        <w:rPr>
          <w:bCs/>
          <w:b/>
        </w:rPr>
        <w:t xml:space="preserve">B</w:t>
      </w:r>
      <w:r>
        <w:t xml:space="preserve">, Ensemble amplitude (blue,</w:t>
      </w:r>
      <w:r>
        <w:t xml:space="preserve"> </w:t>
      </w:r>
      <w:r>
        <w:t xml:space="preserve">left axis) and synchrony (orange, right axis) against effective forcing.</w:t>
      </w:r>
      <w:r>
        <w:t xml:space="preserve"> </w:t>
      </w:r>
      <w:r>
        <w:rPr>
          <w:bCs/>
          <w:b/>
        </w:rPr>
        <w:t xml:space="preserve">C</w:t>
      </w:r>
      <w:r>
        <w:t xml:space="preserve">, Change in clock gene</w:t>
      </w:r>
      <w:r>
        <w:t xml:space="preserve"> </w:t>
      </w:r>
      <w:r>
        <w:t xml:space="preserve">expression predicted when coupling falls from 1.4 to 0.5, against the change observed in</w:t>
      </w:r>
      <w:r>
        <w:t xml:space="preserve"> </w:t>
      </w:r>
      <w:r>
        <w:t xml:space="preserve">insulin-resistant adipose tissue (GSE13070).</w:t>
      </w:r>
      <w:r>
        <w:t xml:space="preserve"> </w:t>
      </w:r>
      <w:r>
        <w:rPr>
          <w:bCs/>
          <w:b/>
        </w:rPr>
        <w:t xml:space="preserve">D</w:t>
      </w:r>
      <w:r>
        <w:t xml:space="preserve">, Difference in level and in amplitude between low</w:t>
      </w:r>
      <w:r>
        <w:t xml:space="preserve"> </w:t>
      </w:r>
      <w:r>
        <w:t xml:space="preserve">and high coupling, for three widths of the biopsy sampling window.</w:t>
      </w:r>
      <w:r>
        <w:t xml:space="preserve"> </w:t>
      </w:r>
      <w:r>
        <w:rPr>
          <w:bCs/>
          <w:b/>
        </w:rPr>
        <w:t xml:space="preserve">E</w:t>
      </w:r>
      <w:r>
        <w:t xml:space="preserve">, Spearman correlation</w:t>
      </w:r>
      <w:r>
        <w:t xml:space="preserve"> </w:t>
      </w:r>
      <w:r>
        <w:t xml:space="preserve">between true coupling and the amplitude inferred by our estimator from model-generated cohorts, at</w:t>
      </w:r>
      <w:r>
        <w:t xml:space="preserve"> </w:t>
      </w:r>
      <w:r>
        <w:t xml:space="preserve">three noise levels; shaded band, the range observed with NR3C1.</w:t>
      </w:r>
      <w:r>
        <w:t xml:space="preserve"> </w:t>
      </w:r>
      <w:r>
        <w:rPr>
          <w:bCs/>
          <w:b/>
        </w:rPr>
        <w:t xml:space="preserve">F</w:t>
      </w:r>
      <w:r>
        <w:t xml:space="preserve">, Summary of the model.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2026-10-21T04:37:24Z</dcterms:created>
  <dcterms:modified xsi:type="dcterms:W3CDTF">2026-10-21T04:37:24Z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