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Cs/>
          <w:b/>
        </w:rPr>
        <w:t xml:space="preserve">Glucocorticoid signalling, not insulin, tracks circadian output across human metabolic tissues</w:t>
      </w:r>
    </w:p>
    <w:p>
      <w:pPr>
        <w:pStyle w:val="BodyText"/>
      </w:pPr>
      <w:r>
        <w:t xml:space="preserve">Mejía-Arratia YE, Escutia-Guadarrama L, Pérez-Calixto M, Cervera A, Vázquez-Victorio G, Tovar H, Pérez-Calixto D</w:t>
      </w:r>
    </w:p>
    <w:p>
      <w:pPr>
        <w:pStyle w:val="BodyText"/>
      </w:pPr>
      <w:r>
        <w:t xml:space="preserve">This document contains the supplementary figures with their legends, the legends of the supplementary tables, and the Supplementary Methods. The tables themselves are supplied as a separate Excel workbook, one sheet per table.</w:t>
      </w:r>
    </w:p>
    <w:p>
      <w:r>
        <w:pict>
          <v:rect style="width:0;height:1.5pt" o:hralign="center" o:hrstd="t" o:hr="t"/>
        </w:pict>
      </w:r>
    </w:p>
    <w:bookmarkEnd w:id="20"/>
    <w:bookmarkStart w:id="49" w:name="supplementary-figures"/>
    <w:p>
      <w:pPr>
        <w:pStyle w:val="Heading1"/>
      </w:pPr>
      <w:r>
        <w:t xml:space="preserve">Supplementary figures</w:t>
      </w:r>
    </w:p>
    <w:bookmarkStart w:id="24" w:name="X76ce416277c39bd6c6323730bd0adaf095b8e95"/>
    <w:p>
      <w:pPr>
        <w:pStyle w:val="Heading2"/>
      </w:pPr>
      <w:r>
        <w:t xml:space="preserve">Supplementary Fig. S1 | The receptor–clock association in GTEx under technical covariates</w:t>
      </w:r>
    </w:p>
    <w:p>
      <w:pPr>
        <w:pStyle w:val="FirstParagraph"/>
      </w:pPr>
      <w:r>
        <w:drawing>
          <wp:inline>
            <wp:extent cx="5334000" cy="226738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D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, Spearman correlation between NR3C1 and the clock-output score in three GTEx v11 tissues,</w:t>
      </w:r>
      <w:r>
        <w:t xml:space="preserve"> </w:t>
      </w:r>
      <w:r>
        <w:t xml:space="preserve">adjusted for sex, age and Hardy scale, and additionally for ischaemic time and RIN.</w:t>
      </w:r>
      <w:r>
        <w:t xml:space="preserve"> </w:t>
      </w:r>
      <w:r>
        <w:rPr>
          <w:bCs/>
          <w:b/>
        </w:rPr>
        <w:t xml:space="preserve">B</w:t>
      </w:r>
      <w:r>
        <w:t xml:space="preserve">,</w:t>
      </w:r>
      <w:r>
        <w:t xml:space="preserve"> </w:t>
      </w:r>
      <w:r>
        <w:t xml:space="preserve">Correlation of ischaemic time and RIN with the clock-output score in the same tissues.</w:t>
      </w:r>
      <w:r>
        <w:t xml:space="preserve"> </w:t>
      </w:r>
      <w:r>
        <w:rPr>
          <w:bCs/>
          <w:b/>
        </w:rPr>
        <w:t xml:space="preserve">C</w:t>
      </w:r>
      <w:r>
        <w:t xml:space="preserve">,</w:t>
      </w:r>
      <w:r>
        <w:t xml:space="preserve"> </w:t>
      </w:r>
      <w:r>
        <w:t xml:space="preserve">Visceral adipose tissue (</w:t>
      </w:r>
      <w:r>
        <w:rPr>
          <w:iCs/>
          <w:i/>
        </w:rPr>
        <w:t xml:space="preserve">n</w:t>
      </w:r>
      <w:r>
        <w:t xml:space="preserve"> </w:t>
      </w:r>
      <w:r>
        <w:t xml:space="preserve">= 587); dashed line, least-squares fit. Expression is centred per</w:t>
      </w:r>
      <w:r>
        <w:t xml:space="preserve"> </w:t>
      </w:r>
      <w:r>
        <w:t xml:space="preserve">sample.</w:t>
      </w:r>
    </w:p>
    <w:p>
      <w:r>
        <w:pict>
          <v:rect style="width:0;height:1.5pt" o:hralign="center" o:hrstd="t" o:hr="t"/>
        </w:pict>
      </w:r>
    </w:p>
    <w:bookmarkEnd w:id="24"/>
    <w:bookmarkStart w:id="28" w:name="Xab8f80dbd8cba726d04ea40de682b79eae3c75c"/>
    <w:p>
      <w:pPr>
        <w:pStyle w:val="Heading2"/>
      </w:pPr>
      <w:r>
        <w:t xml:space="preserve">Supplementary Fig. S2 | Inferred clock amplitude in two muscle cohorts</w:t>
      </w:r>
    </w:p>
    <w:p>
      <w:pPr>
        <w:pStyle w:val="FirstParagraph"/>
      </w:pPr>
      <w:r>
        <w:drawing>
          <wp:inline>
            <wp:extent cx="5334000" cy="314305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D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A–C</w:t>
      </w:r>
      <w:r>
        <w:t xml:space="preserve">, Inferred amplitude per person in GSE13070 (51 resistant, 18 sensitive) and GSE182120 (25</w:t>
      </w:r>
      <w:r>
        <w:t xml:space="preserve"> </w:t>
      </w:r>
      <w:r>
        <w:t xml:space="preserve">T2D, 24 NGT) under three estimators: projection onto an 800-gene template, clock genes with anchored</w:t>
      </w:r>
      <w:r>
        <w:t xml:space="preserve"> </w:t>
      </w:r>
      <w:r>
        <w:t xml:space="preserve">ordering, and clock genes with free ordering. Grey, sensitive or NGT; orange, resistant or T2D;</w:t>
      </w:r>
      <w:r>
        <w:t xml:space="preserve"> </w:t>
      </w:r>
      <w:r>
        <w:t xml:space="preserve">bars, medians;</w:t>
      </w:r>
      <w:r>
        <w:t xml:space="preserve"> </w:t>
      </w:r>
      <w:r>
        <w:rPr>
          <w:iCs/>
          <w:i/>
        </w:rPr>
        <w:t xml:space="preserve">P</w:t>
      </w:r>
      <w:r>
        <w:t xml:space="preserve">, Mann–Whitney.</w:t>
      </w:r>
      <w:r>
        <w:t xml:space="preserve"> </w:t>
      </w:r>
      <w:r>
        <w:rPr>
          <w:bCs/>
          <w:b/>
        </w:rPr>
        <w:t xml:space="preserve">D</w:t>
      </w:r>
      <w:r>
        <w:t xml:space="preserve">, Difference in medians for each estimator and cohort.</w:t>
      </w:r>
      <w:r>
        <w:t xml:space="preserve"> </w:t>
      </w:r>
      <w:r>
        <w:rPr>
          <w:bCs/>
          <w:b/>
        </w:rPr>
        <w:t xml:space="preserve">E</w:t>
      </w:r>
      <w:r>
        <w:t xml:space="preserve">, The two estimators compared across all samples.</w:t>
      </w:r>
      <w:r>
        <w:t xml:space="preserve"> </w:t>
      </w:r>
      <w:r>
        <w:rPr>
          <w:bCs/>
          <w:b/>
        </w:rPr>
        <w:t xml:space="preserve">F</w:t>
      </w:r>
      <w:r>
        <w:t xml:space="preserve">, Ratio of the 5–95 percentile range</w:t>
      </w:r>
      <w:r>
        <w:t xml:space="preserve"> </w:t>
      </w:r>
      <w:r>
        <w:t xml:space="preserve">between groups;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from 3,000 permutations, with the Levene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(median-centred) alongside.</w:t>
      </w:r>
      <w:r>
        <w:t xml:space="preserve"> </w:t>
      </w:r>
      <w:r>
        <w:t xml:space="preserve">Coloured markers,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0.05.</w:t>
      </w:r>
    </w:p>
    <w:p>
      <w:r>
        <w:pict>
          <v:rect style="width:0;height:1.5pt" o:hralign="center" o:hrstd="t" o:hr="t"/>
        </w:pict>
      </w:r>
    </w:p>
    <w:bookmarkEnd w:id="28"/>
    <w:bookmarkStart w:id="32" w:name="Xffb2a6e238ab0403a6786ce1e80f6ecf848d731"/>
    <w:p>
      <w:pPr>
        <w:pStyle w:val="Heading2"/>
      </w:pPr>
      <w:r>
        <w:t xml:space="preserve">Supplementary Fig. S3 | Preprocessing decisions</w:t>
      </w:r>
    </w:p>
    <w:p>
      <w:pPr>
        <w:pStyle w:val="FirstParagraph"/>
      </w:pPr>
      <w:r>
        <w:drawing>
          <wp:inline>
            <wp:extent cx="5334000" cy="222539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D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, Receptor–clock correlation against the median correlation of a random gene with the</w:t>
      </w:r>
      <w:r>
        <w:t xml:space="preserve"> </w:t>
      </w:r>
      <w:r>
        <w:t xml:space="preserve">clock-output score, in ten cohort–tissue matrices, before and after centring each sample; lines</w:t>
      </w:r>
      <w:r>
        <w:t xml:space="preserve"> </w:t>
      </w:r>
      <w:r>
        <w:t xml:space="preserve">join the same matrix.</w:t>
      </w:r>
      <w:r>
        <w:t xml:space="preserve"> </w:t>
      </w:r>
      <w:r>
        <w:rPr>
          <w:bCs/>
          <w:b/>
        </w:rPr>
        <w:t xml:space="preserve">B</w:t>
      </w:r>
      <w:r>
        <w:t xml:space="preserve">, Genes matched in MSigDB v2026.2 (H + C2 + C5) using the platform</w:t>
      </w:r>
      <w:r>
        <w:t xml:space="preserve"> </w:t>
      </w:r>
      <w:r>
        <w:t xml:space="preserve">symbol and after resolving Entrez identifiers to current symbols; numbers, genes gained.</w:t>
      </w:r>
      <w:r>
        <w:t xml:space="preserve"> </w:t>
      </w:r>
      <w:r>
        <w:rPr>
          <w:bCs/>
          <w:b/>
        </w:rPr>
        <w:t xml:space="preserve">C</w:t>
      </w:r>
      <w:r>
        <w:t xml:space="preserve">,</w:t>
      </w:r>
      <w:r>
        <w:t xml:space="preserve"> </w:t>
      </w:r>
      <w:r>
        <w:t xml:space="preserve">Probes carrying a retired symbol, by platform.</w:t>
      </w:r>
    </w:p>
    <w:p>
      <w:r>
        <w:pict>
          <v:rect style="width:0;height:1.5pt" o:hralign="center" o:hrstd="t" o:hr="t"/>
        </w:pict>
      </w:r>
    </w:p>
    <w:bookmarkEnd w:id="32"/>
    <w:bookmarkStart w:id="36" w:name="X620f3569cd5ca9c736bf60b72c11ebdbb1f5ae7"/>
    <w:p>
      <w:pPr>
        <w:pStyle w:val="Heading2"/>
      </w:pPr>
      <w:r>
        <w:t xml:space="preserve">Supplementary Fig. S4 | Regulatory architecture of the glucocorticoid axis in adipose tissue</w:t>
      </w:r>
    </w:p>
    <w:p>
      <w:pPr>
        <w:pStyle w:val="FirstParagraph"/>
      </w:pPr>
      <w:r>
        <w:drawing>
          <wp:inline>
            <wp:extent cx="5334000" cy="367033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D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, Chord diagram of the five transcription factors whose inferred activity (DoRothEA A–C</w:t>
      </w:r>
      <w:r>
        <w:t xml:space="preserve"> </w:t>
      </w:r>
      <w:r>
        <w:t xml:space="preserve">regulons) correlates most strongly with the glucocorticoid signalling score, and their curated</w:t>
      </w:r>
      <w:r>
        <w:t xml:space="preserve"> </w:t>
      </w:r>
      <w:r>
        <w:t xml:space="preserve">targets with |ρ| &gt; 0.35 against that score. Upper arcs, factors, with the correlation of their</w:t>
      </w:r>
      <w:r>
        <w:t xml:space="preserve"> </w:t>
      </w:r>
      <w:r>
        <w:t xml:space="preserve">inferred activity given outside; lower arcs, targets, coloured by the sign of their correlation;</w:t>
      </w:r>
      <w:r>
        <w:t xml:space="preserve"> </w:t>
      </w:r>
      <w:r>
        <w:t xml:space="preserve">chords, curated factor-to-target edges.</w:t>
      </w:r>
      <w:r>
        <w:t xml:space="preserve"> </w:t>
      </w:r>
      <w:r>
        <w:rPr>
          <w:bCs/>
          <w:b/>
        </w:rPr>
        <w:t xml:space="preserve">B</w:t>
      </w:r>
      <w:r>
        <w:t xml:space="preserve">, Correlation of each of the 38 FOXO3 targets with</w:t>
      </w:r>
      <w:r>
        <w:t xml:space="preserve"> </w:t>
      </w:r>
      <w:r>
        <w:t xml:space="preserve">the glucocorticoid signalling score; TXNIP and FBXO32, referred to in the text, are in bold. AAGMEx adipose tissue,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232, sample-centred expression. The</w:t>
      </w:r>
      <w:r>
        <w:t xml:space="preserve"> </w:t>
      </w:r>
      <w:r>
        <w:t xml:space="preserve">ranking of factor activity against clock output is Fig. 4A and is not repeated here. Full regulon</w:t>
      </w:r>
      <w:r>
        <w:t xml:space="preserve"> </w:t>
      </w:r>
      <w:r>
        <w:t xml:space="preserve">in Supplementary Table S18.</w:t>
      </w:r>
    </w:p>
    <w:p>
      <w:r>
        <w:pict>
          <v:rect style="width:0;height:1.5pt" o:hralign="center" o:hrstd="t" o:hr="t"/>
        </w:pict>
      </w:r>
    </w:p>
    <w:bookmarkEnd w:id="36"/>
    <w:bookmarkStart w:id="40" w:name="X93d736a3c0c8b90b157622f59c3d94768aaa955"/>
    <w:p>
      <w:pPr>
        <w:pStyle w:val="Heading2"/>
      </w:pPr>
      <w:r>
        <w:t xml:space="preserve">Supplementary Fig. S5 | Within-person response to the clamp and to thiazolidinedione</w:t>
      </w:r>
    </w:p>
    <w:p>
      <w:pPr>
        <w:pStyle w:val="FirstParagraph"/>
      </w:pPr>
      <w:r>
        <w:drawing>
          <wp:inline>
            <wp:extent cx="5334000" cy="291446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D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A–D</w:t>
      </w:r>
      <w:r>
        <w:t xml:space="preserve">, Median per-person change of each gene-set score in the four contrasts of GSE13070, with</w:t>
      </w:r>
      <w:r>
        <w:t xml:space="preserve"> </w:t>
      </w:r>
      <w:r>
        <w:t xml:space="preserve">the Wilcoxon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and the percentage of people changing downwards. Coloured bars,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0.05;</w:t>
      </w:r>
      <w:r>
        <w:t xml:space="preserve"> </w:t>
      </w:r>
      <w:r>
        <w:rPr>
          <w:iCs/>
          <w:i/>
        </w:rPr>
        <w:t xml:space="preserve">n</w:t>
      </w:r>
      <w:r>
        <w:t xml:space="preserve">, pairs.</w:t>
      </w:r>
    </w:p>
    <w:p>
      <w:r>
        <w:pict>
          <v:rect style="width:0;height:1.5pt" o:hralign="center" o:hrstd="t" o:hr="t"/>
        </w:pict>
      </w:r>
    </w:p>
    <w:bookmarkEnd w:id="40"/>
    <w:bookmarkStart w:id="44" w:name="X0816028c2415c29955af096211d17de11c51d1e"/>
    <w:p>
      <w:pPr>
        <w:pStyle w:val="Heading2"/>
      </w:pPr>
      <w:r>
        <w:t xml:space="preserve">Supplementary Fig. S6 | An empirically derived glucocorticoid signature</w:t>
      </w:r>
    </w:p>
    <w:p>
      <w:pPr>
        <w:pStyle w:val="FirstParagraph"/>
      </w:pPr>
      <w:r>
        <w:drawing>
          <wp:inline>
            <wp:extent cx="5334000" cy="2209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D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, Per-person response to hydrocortisone against placebo across 12,641 genes (GSE148640; 10</w:t>
      </w:r>
      <w:r>
        <w:t xml:space="preserve"> </w:t>
      </w:r>
      <w:r>
        <w:t xml:space="preserve">people); highlighted, the 68 genes selected for the empirical signature.</w:t>
      </w:r>
      <w:r>
        <w:t xml:space="preserve"> </w:t>
      </w:r>
      <w:r>
        <w:rPr>
          <w:bCs/>
          <w:b/>
        </w:rPr>
        <w:t xml:space="preserve">B</w:t>
      </w:r>
      <w:r>
        <w:t xml:space="preserve">, Genes by the number</w:t>
      </w:r>
      <w:r>
        <w:t xml:space="preserve"> </w:t>
      </w:r>
      <w:r>
        <w:t xml:space="preserve">of participants changing in the same direction.</w:t>
      </w:r>
      <w:r>
        <w:t xml:space="preserve"> </w:t>
      </w:r>
      <w:r>
        <w:rPr>
          <w:bCs/>
          <w:b/>
        </w:rPr>
        <w:t xml:space="preserve">C</w:t>
      </w:r>
      <w:r>
        <w:t xml:space="preserve">, Score difference for the empirical signature</w:t>
      </w:r>
      <w:r>
        <w:t xml:space="preserve"> </w:t>
      </w:r>
      <w:r>
        <w:t xml:space="preserve">and for the pre-specified nine-gene set in four cohorts not used to build either.</w:t>
      </w:r>
    </w:p>
    <w:p>
      <w:r>
        <w:pict>
          <v:rect style="width:0;height:1.5pt" o:hralign="center" o:hrstd="t" o:hr="t"/>
        </w:pict>
      </w:r>
    </w:p>
    <w:bookmarkEnd w:id="44"/>
    <w:bookmarkStart w:id="48" w:name="supplementary-fig.-s7-model-robustness"/>
    <w:p>
      <w:pPr>
        <w:pStyle w:val="Heading2"/>
      </w:pPr>
      <w:r>
        <w:t xml:space="preserve">Supplementary Fig. S7 | Model robustness</w:t>
      </w:r>
    </w:p>
    <w:p>
      <w:pPr>
        <w:pStyle w:val="FirstParagraph"/>
      </w:pPr>
      <w:r>
        <w:drawing>
          <wp:inline>
            <wp:extent cx="5334000" cy="226242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D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, Ensemble amplitude against effective forcing for four integration steps.</w:t>
      </w:r>
      <w:r>
        <w:t xml:space="preserve"> </w:t>
      </w:r>
      <w:r>
        <w:rPr>
          <w:bCs/>
          <w:b/>
        </w:rPr>
        <w:t xml:space="preserve">B</w:t>
      </w:r>
      <w:r>
        <w:t xml:space="preserve">, Level and</w:t>
      </w:r>
      <w:r>
        <w:t xml:space="preserve"> </w:t>
      </w:r>
      <w:r>
        <w:t xml:space="preserve">amplitude differences between low and high coupling, for a morning window and for uniform sampling</w:t>
      </w:r>
      <w:r>
        <w:t xml:space="preserve"> </w:t>
      </w:r>
      <w:r>
        <w:t xml:space="preserve">hours; mean ± s.d. of five seeds.</w:t>
      </w:r>
      <w:r>
        <w:t xml:space="preserve"> </w:t>
      </w:r>
      <w:r>
        <w:rPr>
          <w:bCs/>
          <w:b/>
        </w:rPr>
        <w:t xml:space="preserve">C</w:t>
      </w:r>
      <w:r>
        <w:t xml:space="preserve">, Ensemble synchrony against effective forcing for three</w:t>
      </w:r>
      <w:r>
        <w:t xml:space="preserve"> </w:t>
      </w:r>
      <w:r>
        <w:t xml:space="preserve">values of the dispersion of intrinsic cellular periods.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supplementary-table-legends"/>
    <w:p>
      <w:pPr>
        <w:pStyle w:val="Heading1"/>
      </w:pPr>
      <w:r>
        <w:t xml:space="preserve">Supplementary table legends</w:t>
      </w:r>
    </w:p>
    <w:p>
      <w:pPr>
        <w:pStyle w:val="FirstParagraph"/>
      </w:pPr>
      <w:r>
        <w:rPr>
          <w:bCs/>
          <w:b/>
        </w:rPr>
        <w:t xml:space="preserve">Supplementary Table S1.</w:t>
      </w:r>
      <w:r>
        <w:t xml:space="preserve"> </w:t>
      </w:r>
      <w:r>
        <w:t xml:space="preserve">Cohorts: accession, tissue, platform, sample number and the role each series plays in the analysis.</w:t>
      </w:r>
    </w:p>
    <w:p>
      <w:pPr>
        <w:pStyle w:val="BodyText"/>
      </w:pPr>
      <w:r>
        <w:rPr>
          <w:bCs/>
          <w:b/>
        </w:rPr>
        <w:t xml:space="preserve">Supplementary Table S2.</w:t>
      </w:r>
      <w:r>
        <w:t xml:space="preserve"> </w:t>
      </w:r>
      <w:r>
        <w:t xml:space="preserve">Gene sets with their sources. Both sets were fixed before any analysis of these cohorts.</w:t>
      </w:r>
    </w:p>
    <w:p>
      <w:pPr>
        <w:pStyle w:val="BodyText"/>
      </w:pPr>
      <w:r>
        <w:rPr>
          <w:bCs/>
          <w:b/>
        </w:rPr>
        <w:t xml:space="preserve">Supplementary Table S3.</w:t>
      </w:r>
      <w:r>
        <w:t xml:space="preserve"> </w:t>
      </w:r>
      <w:r>
        <w:t xml:space="preserve">Differential expression summary per cohort: genes reaching FDR &lt; 0.1, group sizes and statistical engine.</w:t>
      </w:r>
    </w:p>
    <w:p>
      <w:pPr>
        <w:pStyle w:val="BodyText"/>
      </w:pPr>
      <w:r>
        <w:rPr>
          <w:bCs/>
          <w:b/>
        </w:rPr>
        <w:t xml:space="preserve">Supplementary Table S4.</w:t>
      </w:r>
      <w:r>
        <w:t xml:space="preserve"> </w:t>
      </w:r>
      <w:r>
        <w:t xml:space="preserve">Set-level enrichment per cohort: z against 2,000 size-matched random sets, for the four gene sets.</w:t>
      </w:r>
    </w:p>
    <w:p>
      <w:pPr>
        <w:pStyle w:val="BodyText"/>
      </w:pPr>
      <w:r>
        <w:rPr>
          <w:bCs/>
          <w:b/>
        </w:rPr>
        <w:t xml:space="preserve">Supplementary Table S5.</w:t>
      </w:r>
      <w:r>
        <w:t xml:space="preserve"> </w:t>
      </w:r>
      <w:r>
        <w:t xml:space="preserve">Leave-one-out validation of inferred amplitude, per retained sample and per donor, in both validation cohorts.</w:t>
      </w:r>
    </w:p>
    <w:p>
      <w:pPr>
        <w:pStyle w:val="BodyText"/>
      </w:pPr>
      <w:r>
        <w:rPr>
          <w:bCs/>
          <w:b/>
        </w:rPr>
        <w:t xml:space="preserve">Supplementary Table S6.</w:t>
      </w:r>
      <w:r>
        <w:t xml:space="preserve"> </w:t>
      </w:r>
      <w:r>
        <w:t xml:space="preserve">Meta-analysis: per-cohort estimates with covariates, Fisher z, standard errors, and the pooled two-level, three-level and cluster-robust estimates.</w:t>
      </w:r>
    </w:p>
    <w:p>
      <w:pPr>
        <w:pStyle w:val="BodyText"/>
      </w:pPr>
      <w:r>
        <w:rPr>
          <w:bCs/>
          <w:b/>
        </w:rPr>
        <w:t xml:space="preserve">Supplementary Table S7.</w:t>
      </w:r>
      <w:r>
        <w:t xml:space="preserve"> </w:t>
      </w:r>
      <w:r>
        <w:t xml:space="preserve">Calibration of the hyperinsulinaemic clamp against the three cohorts with recorded sampling times, gene by gene.</w:t>
      </w:r>
    </w:p>
    <w:p>
      <w:pPr>
        <w:pStyle w:val="BodyText"/>
      </w:pPr>
      <w:r>
        <w:rPr>
          <w:bCs/>
          <w:b/>
        </w:rPr>
        <w:t xml:space="preserve">Supplementary Table S8.</w:t>
      </w:r>
      <w:r>
        <w:t xml:space="preserve"> </w:t>
      </w:r>
      <w:r>
        <w:t xml:space="preserve">Clock gene signatures across twelve contrasts, restricted to genes measured in all of them.</w:t>
      </w:r>
    </w:p>
    <w:p>
      <w:pPr>
        <w:pStyle w:val="BodyText"/>
      </w:pPr>
      <w:r>
        <w:rPr>
          <w:bCs/>
          <w:b/>
        </w:rPr>
        <w:t xml:space="preserve">Supplementary Table S9.</w:t>
      </w:r>
      <w:r>
        <w:t xml:space="preserve"> </w:t>
      </w:r>
      <w:r>
        <w:t xml:space="preserve">Transcription-factor activity against clock output: 134 DoRothEA A–C regulons with regulon size.</w:t>
      </w:r>
    </w:p>
    <w:p>
      <w:pPr>
        <w:pStyle w:val="BodyText"/>
      </w:pPr>
      <w:r>
        <w:rPr>
          <w:bCs/>
          <w:b/>
        </w:rPr>
        <w:t xml:space="preserve">Supplementary Table S10.</w:t>
      </w:r>
      <w:r>
        <w:t xml:space="preserve"> </w:t>
      </w:r>
      <w:r>
        <w:t xml:space="preserve">Human Phenotype Ontology terms in the receptor axis of adipose tissue, skeletal muscle and pancreatic islets.</w:t>
      </w:r>
    </w:p>
    <w:p>
      <w:pPr>
        <w:pStyle w:val="BodyText"/>
      </w:pPr>
      <w:r>
        <w:rPr>
          <w:bCs/>
          <w:b/>
        </w:rPr>
        <w:t xml:space="preserve">Supplementary Table S11.</w:t>
      </w:r>
      <w:r>
        <w:t xml:space="preserve"> </w:t>
      </w:r>
      <w:r>
        <w:t xml:space="preserve">Inferred amplitude and phase per person in the two muscle cohorts, under the three estimator variants.</w:t>
      </w:r>
    </w:p>
    <w:p>
      <w:pPr>
        <w:pStyle w:val="BodyText"/>
      </w:pPr>
      <w:r>
        <w:rPr>
          <w:bCs/>
          <w:b/>
        </w:rPr>
        <w:t xml:space="preserve">Supplementary Table S12.</w:t>
      </w:r>
      <w:r>
        <w:t xml:space="preserve"> </w:t>
      </w:r>
      <w:r>
        <w:t xml:space="preserve">Full enrichment results across the MSigDB collections tested against the receptor axis.</w:t>
      </w:r>
    </w:p>
    <w:p>
      <w:pPr>
        <w:pStyle w:val="BodyText"/>
      </w:pPr>
      <w:r>
        <w:rPr>
          <w:bCs/>
          <w:b/>
        </w:rPr>
        <w:t xml:space="preserve">Supplementary Table S13.</w:t>
      </w:r>
      <w:r>
        <w:t xml:space="preserve"> </w:t>
      </w:r>
      <w:r>
        <w:t xml:space="preserve">Effect of sample centring on the null distribution in ten cohort–tissue matrices.</w:t>
      </w:r>
    </w:p>
    <w:p>
      <w:pPr>
        <w:pStyle w:val="BodyText"/>
      </w:pPr>
      <w:r>
        <w:rPr>
          <w:bCs/>
          <w:b/>
        </w:rPr>
        <w:t xml:space="preserve">Supplementary Table S14.</w:t>
      </w:r>
      <w:r>
        <w:t xml:space="preserve"> </w:t>
      </w:r>
      <w:r>
        <w:t xml:space="preserve">Gene matching in MSigDB with platform symbols and after resolving Entrez identifiers.</w:t>
      </w:r>
    </w:p>
    <w:p>
      <w:pPr>
        <w:pStyle w:val="BodyText"/>
      </w:pPr>
      <w:r>
        <w:rPr>
          <w:bCs/>
          <w:b/>
        </w:rPr>
        <w:t xml:space="preserve">Supplementary Table S15.</w:t>
      </w:r>
      <w:r>
        <w:t xml:space="preserve"> </w:t>
      </w:r>
      <w:r>
        <w:t xml:space="preserve">Probes carrying a retired symbol, by platform.</w:t>
      </w:r>
    </w:p>
    <w:p>
      <w:pPr>
        <w:pStyle w:val="BodyText"/>
      </w:pPr>
      <w:r>
        <w:rPr>
          <w:bCs/>
          <w:b/>
        </w:rPr>
        <w:t xml:space="preserve">Supplementary Table S16.</w:t>
      </w:r>
      <w:r>
        <w:t xml:space="preserve"> </w:t>
      </w:r>
      <w:r>
        <w:t xml:space="preserve">Per-gene response to hydrocortisone against placebo, with the number of participants changing in each direction.</w:t>
      </w:r>
    </w:p>
    <w:p>
      <w:pPr>
        <w:pStyle w:val="BodyText"/>
      </w:pPr>
      <w:r>
        <w:rPr>
          <w:bCs/>
          <w:b/>
        </w:rPr>
        <w:t xml:space="preserve">Supplementary Table S17.</w:t>
      </w:r>
      <w:r>
        <w:t xml:space="preserve"> </w:t>
      </w:r>
      <w:r>
        <w:t xml:space="preserve">The empirically derived glucocorticoid signature and the external validation it failed.</w:t>
      </w:r>
    </w:p>
    <w:p>
      <w:pPr>
        <w:pStyle w:val="BodyText"/>
      </w:pPr>
      <w:r>
        <w:rPr>
          <w:bCs/>
          <w:b/>
        </w:rPr>
        <w:t xml:space="preserve">Supplementary Table S18.</w:t>
      </w:r>
      <w:r>
        <w:t xml:space="preserve"> </w:t>
      </w:r>
      <w:r>
        <w:t xml:space="preserve">The DoRothEA A–C FOXO3 regulon used in Fig. 4a and Supplementary Fig. S4.</w:t>
      </w:r>
    </w:p>
    <w:p>
      <w:pPr>
        <w:pStyle w:val="BodyText"/>
      </w:pPr>
      <w:r>
        <w:rPr>
          <w:bCs/>
          <w:b/>
        </w:rPr>
        <w:t xml:space="preserve">Supplementary Table S19.</w:t>
      </w:r>
      <w:r>
        <w:t xml:space="preserve"> </w:t>
      </w:r>
      <w:r>
        <w:t xml:space="preserve">Within-person score changes in the four contrasts of the clamp and thiazolidinedione cohort.</w:t>
      </w:r>
    </w:p>
    <w:p>
      <w:pPr>
        <w:pStyle w:val="BodyText"/>
      </w:pPr>
      <w:r>
        <w:rPr>
          <w:bCs/>
          <w:b/>
        </w:rPr>
        <w:t xml:space="preserve">Supplementary Table S20.</w:t>
      </w:r>
      <w:r>
        <w:t xml:space="preserve"> </w:t>
      </w:r>
      <w:r>
        <w:t xml:space="preserve">Model predictions: coupling against inferred amplitude and phase concentration, at three noise levels.</w:t>
      </w:r>
    </w:p>
    <w:p>
      <w:pPr>
        <w:pStyle w:val="BodyText"/>
      </w:pPr>
      <w:r>
        <w:rPr>
          <w:bCs/>
          <w:b/>
        </w:rPr>
        <w:t xml:space="preserve">Supplementary Table S21.</w:t>
      </w:r>
      <w:r>
        <w:t xml:space="preserve"> </w:t>
      </w:r>
      <w:r>
        <w:t xml:space="preserve">Sensitivity of the receptor–clock association to the removal of principal components, in the cohorts of the main analysis.</w:t>
      </w:r>
    </w:p>
    <w:p>
      <w:r>
        <w:pict>
          <v:rect style="width:0;height:1.5pt" o:hralign="center" o:hrstd="t" o:hr="t"/>
        </w:pict>
      </w:r>
    </w:p>
    <w:bookmarkStart w:id="50" w:name="s2.1-cohorts-and-preprocessing"/>
    <w:p>
      <w:pPr>
        <w:pStyle w:val="Heading2"/>
      </w:pPr>
      <w:r>
        <w:t xml:space="preserve">S2.1 Cohorts and preprocessing</w:t>
      </w:r>
    </w:p>
    <w:p>
      <w:pPr>
        <w:pStyle w:val="FirstParagraph"/>
      </w:pPr>
      <w:r>
        <w:rPr>
          <w:bCs/>
          <w:b/>
        </w:rPr>
        <w:t xml:space="preserve">Annotation.</w:t>
      </w:r>
      <w:r>
        <w:t xml:space="preserve"> </w:t>
      </w:r>
      <w:r>
        <w:t xml:space="preserve">Microarray platforms were annotated by resolving each probe to its Entrez</w:t>
      </w:r>
      <w:r>
        <w:t xml:space="preserve"> </w:t>
      </w:r>
      <w:r>
        <w:t xml:space="preserve">identifier and that identifier to the current gene symbol (NCBI GRCh38.p13), rather than using the</w:t>
      </w:r>
      <w:r>
        <w:t xml:space="preserve"> </w:t>
      </w:r>
      <w:r>
        <w:t xml:space="preserve">symbol supplied with the platform file. The platform annotation of GPL570 is dated October 2014; of</w:t>
      </w:r>
      <w:r>
        <w:t xml:space="preserve"> </w:t>
      </w:r>
      <w:r>
        <w:t xml:space="preserve">its 41,177 probes with a single Entrez identifier, 3,413 (8.3%) carry a symbol that has since been</w:t>
      </w:r>
      <w:r>
        <w:t xml:space="preserve"> </w:t>
      </w:r>
      <w:r>
        <w:t xml:space="preserve">retired (ARNTL to BMAL1, ATP5A1 to ATP5F1A, among others). Matching gene sets against the platform</w:t>
      </w:r>
      <w:r>
        <w:t xml:space="preserve"> </w:t>
      </w:r>
      <w:r>
        <w:t xml:space="preserve">symbol loses those genes silently. Where several probes measure the same gene, the probe with the</w:t>
      </w:r>
      <w:r>
        <w:t xml:space="preserve"> </w:t>
      </w:r>
      <w:r>
        <w:t xml:space="preserve">highest mean expression among those measuring it exclusively was used; where no probe measures it</w:t>
      </w:r>
      <w:r>
        <w:t xml:space="preserve"> </w:t>
      </w:r>
      <w:r>
        <w:t xml:space="preserve">exclusively, the best multi-gene probe containing it was used. Two genes of the positive-control</w:t>
      </w:r>
      <w:r>
        <w:t xml:space="preserve"> </w:t>
      </w:r>
      <w:r>
        <w:t xml:space="preserve">sets, GSTT1 and HLA-DRB4, have no current Entrez identifier because they are absent from the</w:t>
      </w:r>
      <w:r>
        <w:t xml:space="preserve"> </w:t>
      </w:r>
      <w:r>
        <w:t xml:space="preserve">primary assembly, and were retained by symbol.</w:t>
      </w:r>
    </w:p>
    <w:p>
      <w:pPr>
        <w:pStyle w:val="BodyText"/>
      </w:pPr>
      <w:r>
        <w:rPr>
          <w:bCs/>
          <w:b/>
        </w:rPr>
        <w:t xml:space="preserve">Sample centring.</w:t>
      </w:r>
      <w:r>
        <w:t xml:space="preserve"> </w:t>
      </w:r>
      <w:r>
        <w:t xml:space="preserve">Every expression matrix was centred per sample, subtracting from each column</w:t>
      </w:r>
      <w:r>
        <w:t xml:space="preserve"> </w:t>
      </w:r>
      <w:r>
        <w:t xml:space="preserve">its mean across all measured genes, before any score was computed. Without centring, in RNA-seq the</w:t>
      </w:r>
      <w:r>
        <w:t xml:space="preserve"> </w:t>
      </w:r>
      <w:r>
        <w:t xml:space="preserve">median Spearman correlation of a randomly chosen gene with the clock-output score is 0.44 rather</w:t>
      </w:r>
      <w:r>
        <w:t xml:space="preserve"> </w:t>
      </w:r>
      <w:r>
        <w:t xml:space="preserve">than zero in pancreatic islets and 0.12 to 0.26 in the three GTEx tissues, because the number of</w:t>
      </w:r>
      <w:r>
        <w:t xml:space="preserve"> </w:t>
      </w:r>
      <w:r>
        <w:t xml:space="preserve">detected genes per sample correlates 0.85 with the score. Any subsequent correlation is then</w:t>
      </w:r>
      <w:r>
        <w:t xml:space="preserve"> </w:t>
      </w:r>
      <w:r>
        <w:t xml:space="preserve">inflated by that common component. In quantile-normalised microarray data the effect is negligible</w:t>
      </w:r>
      <w:r>
        <w:t xml:space="preserve"> </w:t>
      </w:r>
      <w:r>
        <w:t xml:space="preserve">(null median 0.002 in AAGMEx). The effect of centring on each cohort–tissue matrix is in</w:t>
      </w:r>
      <w:r>
        <w:t xml:space="preserve"> </w:t>
      </w:r>
      <w:r>
        <w:t xml:space="preserve">Supplementary Table S13.</w:t>
      </w:r>
    </w:p>
    <w:p>
      <w:pPr>
        <w:pStyle w:val="BodyText"/>
      </w:pPr>
      <w:r>
        <w:rPr>
          <w:bCs/>
          <w:b/>
        </w:rPr>
        <w:t xml:space="preserve">GTEx covariates.</w:t>
      </w:r>
      <w:r>
        <w:t xml:space="preserve"> </w:t>
      </w:r>
      <w:r>
        <w:t xml:space="preserve">For GTEx v11, residuals were taken against sex, age (mid-point of the</w:t>
      </w:r>
      <w:r>
        <w:t xml:space="preserve"> </w:t>
      </w:r>
      <w:r>
        <w:t xml:space="preserve">reported bracket), Hardy scale, ischaemic time (SMTSISCH) and RNA integrity (SMRIN), with</w:t>
      </w:r>
      <w:r>
        <w:t xml:space="preserve"> </w:t>
      </w:r>
      <w:r>
        <w:t xml:space="preserve">median imputation of the few missing values. Both technical covariates correlate with the</w:t>
      </w:r>
      <w:r>
        <w:t xml:space="preserve"> </w:t>
      </w:r>
      <w:r>
        <w:t xml:space="preserve">clock-output score (ρ = 0.21 to 0.29 for ischaemic time; −0.19 for RIN in visceral adipose tissue),</w:t>
      </w:r>
      <w:r>
        <w:t xml:space="preserve"> </w:t>
      </w:r>
      <w:r>
        <w:t xml:space="preserve">which is why the adjustment is reported.</w:t>
      </w:r>
    </w:p>
    <w:bookmarkEnd w:id="50"/>
    <w:bookmarkStart w:id="51" w:name="Xc63f4b929bb67349dc109734e2a57fef2812616"/>
    <w:p>
      <w:pPr>
        <w:pStyle w:val="Heading2"/>
      </w:pPr>
      <w:r>
        <w:t xml:space="preserve">S2.3 Single-sample estimation of phase and amplitude</w:t>
      </w:r>
    </w:p>
    <w:p>
      <w:pPr>
        <w:pStyle w:val="FirstParagraph"/>
      </w:pPr>
      <w:r>
        <w:rPr>
          <w:bCs/>
          <w:b/>
        </w:rPr>
        <w:t xml:space="preserve">Ordering.</w:t>
      </w:r>
      <w:r>
        <w:t xml:space="preserve"> </w:t>
      </w:r>
      <w:r>
        <w:t xml:space="preserve">Samples are placed on the unit circle from the standardised clock-gene matrix. Two</w:t>
      </w:r>
      <w:r>
        <w:t xml:space="preserve"> </w:t>
      </w:r>
      <w:r>
        <w:t xml:space="preserve">variants were used. The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variant, used throughout unless stated, fits the waveform to the</w:t>
      </w:r>
      <w:r>
        <w:t xml:space="preserve"> </w:t>
      </w:r>
      <w:r>
        <w:t xml:space="preserve">data of the cohort itself, so the projection basis is that tissue’s own and amplitude is resolved,</w:t>
      </w:r>
      <w:r>
        <w:t xml:space="preserve"> </w:t>
      </w:r>
      <w:r>
        <w:t xml:space="preserve">but it does not fix the period: if the dominant cycle is the 12-h harmonic in one tissue and the</w:t>
      </w:r>
      <w:r>
        <w:t xml:space="preserve"> </w:t>
      </w:r>
      <w:r>
        <w:t xml:space="preserve">24-h fundamental in the other, the two phases are on different scales. The</w:t>
      </w:r>
      <w:r>
        <w:t xml:space="preserve"> </w:t>
      </w:r>
      <w:r>
        <w:rPr>
          <w:iCs/>
          <w:i/>
        </w:rPr>
        <w:t xml:space="preserve">anchored</w:t>
      </w:r>
      <w:r>
        <w:t xml:space="preserve"> </w:t>
      </w:r>
      <w:r>
        <w:t xml:space="preserve">variant fixes</w:t>
      </w:r>
      <w:r>
        <w:t xml:space="preserve"> </w:t>
      </w:r>
      <w:r>
        <w:t xml:space="preserve">the period by projecting onto a template of relative phases obtained by cosinor in cohorts with</w:t>
      </w:r>
      <w:r>
        <w:t xml:space="preserve"> </w:t>
      </w:r>
      <w:r>
        <w:t xml:space="preserve">recorded sampling times, which resolves phase but degrades amplitude. Measured stability ranges</w:t>
      </w:r>
      <w:r>
        <w:t xml:space="preserve"> </w:t>
      </w:r>
      <w:r>
        <w:t xml:space="preserve">across template sizes of 13 to 200 genes: phase 0.32 to 0.47 anchored and 0.21 to 0.62 free;</w:t>
      </w:r>
      <w:r>
        <w:t xml:space="preserve"> </w:t>
      </w:r>
      <w:r>
        <w:t xml:space="preserve">amplitude 0.30 to 0.37 free and 0.07 to 0.38 anchored. Using one variant for both quantities gives</w:t>
      </w:r>
      <w:r>
        <w:t xml:space="preserve"> </w:t>
      </w:r>
      <w:r>
        <w:t xml:space="preserve">one of them wrong. The default template is the 60 most rhythmic genes; with 13 genes a residual</w:t>
      </w:r>
      <w:r>
        <w:t xml:space="preserve"> </w:t>
      </w:r>
      <w:r>
        <w:t xml:space="preserve">period ambiguity remains (double-angle statistic 0.23 against 0.06 with 60).</w:t>
      </w:r>
    </w:p>
    <w:p>
      <w:pPr>
        <w:pStyle w:val="BodyText"/>
      </w:pPr>
      <w:r>
        <w:rPr>
          <w:bCs/>
          <w:b/>
        </w:rPr>
        <w:t xml:space="preserve">Signed projection.</w:t>
      </w:r>
      <w:r>
        <w:t xml:space="preserve"> </w:t>
      </w:r>
      <w:r>
        <w:t xml:space="preserve">Phase is assigned by the signed projection onto the circadian basis, not by</w:t>
      </w:r>
      <w:r>
        <w:t xml:space="preserve"> </w:t>
      </w:r>
      <w:r>
        <w:t xml:space="preserve">the absolute value. With a single harmonic, phase and antiphase give the same absolute projection</w:t>
      </w:r>
      <w:r>
        <w:t xml:space="preserve"> </w:t>
      </w:r>
      <w:r>
        <w:t xml:space="preserve">and the tie is broken by noise: on real data the absolute rule reassigns 34 to 36% of samples by</w:t>
      </w:r>
      <w:r>
        <w:t xml:space="preserve"> </w:t>
      </w:r>
      <w:r>
        <w:t xml:space="preserve">more than 9 h.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Validation was leave-one-out at two levels. For each retained sample, (i) the</w:t>
      </w:r>
      <w:r>
        <w:t xml:space="preserve"> </w:t>
      </w:r>
      <w:r>
        <w:t xml:space="preserve">cosinor fit of its donor was computed from that donor’s remaining time points only, and (ii) the</w:t>
      </w:r>
      <w:r>
        <w:t xml:space="preserve"> </w:t>
      </w:r>
      <w:r>
        <w:t xml:space="preserve">donor as a whole was excluded from the ordering and from the template used to infer the retained</w:t>
      </w:r>
      <w:r>
        <w:t xml:space="preserve"> </w:t>
      </w:r>
      <w:r>
        <w:t xml:space="preserve">sample. In synchronised myotubes (GSE182117, 11 donors × 2 conditions × 8 time points, 170 retained</w:t>
      </w:r>
      <w:r>
        <w:t xml:space="preserve"> </w:t>
      </w:r>
      <w:r>
        <w:t xml:space="preserve">samples) the agreement is ρ = 0.28 in control and 0.34 in high-glucose conditions; averaging the</w:t>
      </w:r>
      <w:r>
        <w:t xml:space="preserve"> </w:t>
      </w:r>
      <w:r>
        <w:t xml:space="preserve">eight independent out-of-sample inferences of each donor raises it to 0.97 and 0.94. In skeletal</w:t>
      </w:r>
      <w:r>
        <w:t xml:space="preserve"> </w:t>
      </w:r>
      <w:r>
        <w:t xml:space="preserve">muscle in vivo (GSE129843, 117 retained samples) the figures are 0.17 and 0.82. The cohorts</w:t>
      </w:r>
      <w:r>
        <w:t xml:space="preserve"> </w:t>
      </w:r>
      <w:r>
        <w:t xml:space="preserve">analysed in Results contribute one sample per person, so the single-sample figure is the one that</w:t>
      </w:r>
      <w:r>
        <w:t xml:space="preserve"> </w:t>
      </w:r>
      <w:r>
        <w:t xml:space="preserve">applies to them.</w:t>
      </w:r>
    </w:p>
    <w:p>
      <w:pPr>
        <w:pStyle w:val="BodyText"/>
      </w:pPr>
      <w:r>
        <w:rPr>
          <w:bCs/>
          <w:b/>
        </w:rPr>
        <w:t xml:space="preserve">Relation to published methods.</w:t>
      </w:r>
      <w:r>
        <w:t xml:space="preserve"> </w:t>
      </w:r>
      <w:r>
        <w:t xml:space="preserve">CHIRAL, CYCLOPS, ZeitZeiger and TimeSignature all infer</w:t>
      </w:r>
      <w:r>
        <w:t xml:space="preserve"> </w:t>
      </w:r>
      <w:r>
        <w:t xml:space="preserve">circadian phase from a single sample; none returns a per-sample amplitude. We therefore used</w:t>
      </w:r>
      <w:r>
        <w:t xml:space="preserve"> </w:t>
      </w:r>
      <w:r>
        <w:t xml:space="preserve">published phase inference as a concordance control rather than as a replacement. Computing the</w:t>
      </w:r>
      <w:r>
        <w:t xml:space="preserve"> </w:t>
      </w:r>
      <w:r>
        <w:t xml:space="preserve">concentration of the muscle-to-adipose phase difference across donors,</w:t>
      </w:r>
      <w:r>
        <w:t xml:space="preserve"> </w:t>
      </w:r>
      <w:r>
        <w:t xml:space="preserve">R = |mean_i exp(i(φ_muscle,i − φ_adipose,i))|, gives R = 0.19 with our estimator and 0.15 with</w:t>
      </w:r>
      <w:r>
        <w:t xml:space="preserve"> </w:t>
      </w:r>
      <w:r>
        <w:t xml:space="preserve">CHIRAL in AAGMEx (232 donors), and 0.46 and 0.29 in GTEx (647 donors), all with P ≤ 0.007 by</w:t>
      </w:r>
      <w:r>
        <w:t xml:space="preserve"> </w:t>
      </w:r>
      <w:r>
        <w:t xml:space="preserve">permutation of the donor correspondence. The coupling is detected in both cohorts with both</w:t>
      </w:r>
      <w:r>
        <w:t xml:space="preserve"> </w:t>
      </w:r>
      <w:r>
        <w:t xml:space="preserve">estimators; its magnitude depends on the implementation. CHIRAL’s expectation–maximisation</w:t>
      </w:r>
      <w:r>
        <w:t xml:space="preserve"> </w:t>
      </w:r>
      <w:r>
        <w:t xml:space="preserve">converges to one of two optima depending on initialisation, so the NumPy global seed was fixed</w:t>
      </w:r>
      <w:r>
        <w:t xml:space="preserve"> </w:t>
      </w:r>
      <w:r>
        <w:t xml:space="preserve">before each call; the values above are for seed 0. A benchmark of phase error against recorded</w:t>
      </w:r>
      <w:r>
        <w:t xml:space="preserve"> </w:t>
      </w:r>
      <w:r>
        <w:t xml:space="preserve">sampling times, for completeness: supervised methods reach 1.0 to 1.2 h and unsupervised methods,</w:t>
      </w:r>
      <w:r>
        <w:t xml:space="preserve"> </w:t>
      </w:r>
      <w:r>
        <w:t xml:space="preserve">including ours, 2.1 to 2.9 h. Our estimator is not proposed as a better phase estimator.</w:t>
      </w:r>
    </w:p>
    <w:bookmarkEnd w:id="51"/>
    <w:bookmarkStart w:id="52" w:name="s2.4-differential-expression"/>
    <w:p>
      <w:pPr>
        <w:pStyle w:val="Heading2"/>
      </w:pPr>
      <w:r>
        <w:t xml:space="preserve">S2.4 Differential expression</w:t>
      </w:r>
    </w:p>
    <w:p>
      <w:pPr>
        <w:pStyle w:val="FirstParagraph"/>
      </w:pPr>
      <w:r>
        <w:rPr>
          <w:bCs/>
          <w:b/>
        </w:rPr>
        <w:t xml:space="preserve">Moderated t.</w:t>
      </w:r>
      <w:r>
        <w:t xml:space="preserve"> </w:t>
      </w:r>
      <w:r>
        <w:t xml:space="preserve">For microarray cohorts, the prior variance was estimated by moments on log</w:t>
      </w:r>
      <w:r>
        <w:t xml:space="preserve"> </w:t>
      </w:r>
      <w:r>
        <w:rPr>
          <w:iCs/>
          <w:i/>
        </w:rPr>
        <w:t xml:space="preserve">s</w:t>
      </w:r>
      <w:r>
        <w:t xml:space="preserve">²,</w:t>
      </w:r>
      <w:r>
        <w:t xml:space="preserve"> </w:t>
      </w:r>
      <w:r>
        <w:t xml:space="preserve">each gene variance was shrunk towards it, and the degrees of freedom were augmented accordingly. In</w:t>
      </w:r>
      <w:r>
        <w:t xml:space="preserve"> </w:t>
      </w:r>
      <w:r>
        <w:t xml:space="preserve">a null simulation (4,000 genes, 25 samples) the procedure holds the type-I error at 5.1% against</w:t>
      </w:r>
      <w:r>
        <w:t xml:space="preserve"> </w:t>
      </w:r>
      <w:r>
        <w:t xml:space="preserve">4.9% for the classical t and returns no gene at FDR 0.1; with 200 genes shifted by one log2 unit it</w:t>
      </w:r>
      <w:r>
        <w:t xml:space="preserve"> </w:t>
      </w:r>
      <w:r>
        <w:t xml:space="preserve">detects 91 with 10 false positives, the same as the classical t at this sample size. Its advantage</w:t>
      </w:r>
      <w:r>
        <w:t xml:space="preserve"> </w:t>
      </w:r>
      <w:r>
        <w:t xml:space="preserve">is in the designs with 5 to 10 samples per group.</w:t>
      </w:r>
    </w:p>
    <w:p>
      <w:pPr>
        <w:pStyle w:val="BodyText"/>
      </w:pPr>
      <w:r>
        <w:rPr>
          <w:bCs/>
          <w:b/>
        </w:rPr>
        <w:t xml:space="preserve">RNA-seq.</w:t>
      </w:r>
      <w:r>
        <w:t xml:space="preserve"> </w:t>
      </w:r>
      <w:r>
        <w:t xml:space="preserve">Raw counts, genes with more than 5 counts in at least 10 samples, PyDESeq2 with the</w:t>
      </w:r>
      <w:r>
        <w:t xml:space="preserve"> </w:t>
      </w:r>
      <w:r>
        <w:t xml:space="preserve">cohort covariates in the design and shrunken log fold changes.</w:t>
      </w:r>
    </w:p>
    <w:p>
      <w:pPr>
        <w:pStyle w:val="BodyText"/>
      </w:pPr>
      <w:r>
        <w:rPr>
          <w:bCs/>
          <w:b/>
        </w:rPr>
        <w:t xml:space="preserve">Within-person designs.</w:t>
      </w:r>
      <w:r>
        <w:t xml:space="preserve"> </w:t>
      </w:r>
      <w:r>
        <w:t xml:space="preserve">The per-person difference, a Wilcoxon signed-rank test, and the number</w:t>
      </w:r>
      <w:r>
        <w:t xml:space="preserve"> </w:t>
      </w:r>
      <w:r>
        <w:t xml:space="preserve">of participants changing in each direction, which is what the figures report.</w:t>
      </w:r>
    </w:p>
    <w:bookmarkEnd w:id="52"/>
    <w:bookmarkStart w:id="53" w:name="s2.5-meta-analysis"/>
    <w:p>
      <w:pPr>
        <w:pStyle w:val="Heading2"/>
      </w:pPr>
      <w:r>
        <w:t xml:space="preserve">S2.5 Meta-analysis</w:t>
      </w:r>
    </w:p>
    <w:p>
      <w:pPr>
        <w:pStyle w:val="FirstParagraph"/>
      </w:pPr>
      <w:r>
        <w:t xml:space="preserve">Spearman correlations were transformed as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 arctanh(ρ) with variance 1/(</w:t>
      </w:r>
      <w:r>
        <w:rPr>
          <w:iCs/>
          <w:i/>
        </w:rPr>
        <w:t xml:space="preserve">n</w:t>
      </w:r>
      <w:r>
        <w:t xml:space="preserve"> </w:t>
      </w:r>
      <w:r>
        <w:t xml:space="preserve">− 3 −</w:t>
      </w:r>
      <w:r>
        <w:t xml:space="preserve"> </w:t>
      </w:r>
      <w:r>
        <w:rPr>
          <w:iCs/>
          <w:i/>
        </w:rPr>
        <w:t xml:space="preserve">k</w:t>
      </w:r>
      <w:r>
        <w:t xml:space="preserve">). The</w:t>
      </w:r>
      <w:r>
        <w:t xml:space="preserve"> </w:t>
      </w:r>
      <w:r>
        <w:t xml:space="preserve">primary estimate is a three-level random-effects model fitted by restricted maximum likelihood,</w:t>
      </w:r>
      <w:r>
        <w:t xml:space="preserve"> </w:t>
      </w:r>
      <w:r>
        <w:t xml:space="preserve">with estimates nested in cohort: V = diag(se² + σ²) + τ²·J, where J is the block-diagonal indicator</w:t>
      </w:r>
      <w:r>
        <w:t xml:space="preserve"> </w:t>
      </w:r>
      <w:r>
        <w:t xml:space="preserve">of shared cohort, τ² the between-cohort variance and σ² the within-cohort variance. For the</w:t>
      </w:r>
      <w:r>
        <w:t xml:space="preserve"> </w:t>
      </w:r>
      <w:r>
        <w:t xml:space="preserve">receptor–clock association this gives ρ = 0.45 (95% CI 0.31 to 0.58), τ² = 0.036 and σ² = 0.011,</w:t>
      </w:r>
      <w:r>
        <w:t xml:space="preserve"> </w:t>
      </w:r>
      <w:r>
        <w:t xml:space="preserve">against ρ = 0.43 (0.34 to 0.51) by two-level DerSimonian–Laird and ρ = 0.43 (0.29 to 0.55) by</w:t>
      </w:r>
      <w:r>
        <w:t xml:space="preserve"> </w:t>
      </w:r>
      <w:r>
        <w:t xml:space="preserve">cluster-robust variance with a small-sample correction. The two-level interval is 55% narrower than</w:t>
      </w:r>
      <w:r>
        <w:t xml:space="preserve"> </w:t>
      </w:r>
      <w:r>
        <w:t xml:space="preserve">the three-level one, which is the expected consequence of treating as independent the three GTEx</w:t>
      </w:r>
      <w:r>
        <w:t xml:space="preserve"> </w:t>
      </w:r>
      <w:r>
        <w:t xml:space="preserve">tissues from overlapping donors.</w:t>
      </w:r>
    </w:p>
    <w:bookmarkEnd w:id="53"/>
    <w:bookmarkStart w:id="54" w:name="s2.6-forced-oscillator-model"/>
    <w:p>
      <w:pPr>
        <w:pStyle w:val="Heading2"/>
      </w:pPr>
      <w:r>
        <w:t xml:space="preserve">S2.6 Forced-oscillator model</w:t>
      </w:r>
    </w:p>
    <w:p>
      <w:pPr>
        <w:pStyle w:val="FirstParagraph"/>
      </w:pPr>
      <w:r>
        <w:t xml:space="preserve">Fixed parameters: relaxation rate λ = 0.05 h⁻¹, limit-cycle amplitude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= 1.0, dispersion of</w:t>
      </w:r>
      <w:r>
        <w:t xml:space="preserve"> </w:t>
      </w:r>
      <w:r>
        <w:t xml:space="preserve">intrinsic periods 1.2 to 1.5 h, 40 to 150 cells per tissue, 15 to 30 days of integration, explicit</w:t>
      </w:r>
      <w:r>
        <w:t xml:space="preserve"> </w:t>
      </w:r>
      <w:r>
        <w:t xml:space="preserve">Euler with a step of 0.05 h. Amplitude and synchrony are identical to three decimal places for</w:t>
      </w:r>
      <w:r>
        <w:t xml:space="preserve"> </w:t>
      </w:r>
      <w:r>
        <w:t xml:space="preserve">steps of 0.20, 0.10, 0.05 and 0.02 h. None of these values was fitted to the data analysed here.</w:t>
      </w:r>
      <w:r>
        <w:t xml:space="preserve"> </w:t>
      </w:r>
      <w:r>
        <w:t xml:space="preserve">Synthetic cohorts draw one coupling value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per subject and one sampling hour, integrate the</w:t>
      </w:r>
      <w:r>
        <w:t xml:space="preserve"> </w:t>
      </w:r>
      <w:r>
        <w:t xml:space="preserve">population, and read the mean of the population at that hour; expression is then generated for each</w:t>
      </w:r>
      <w:r>
        <w:t xml:space="preserve"> </w:t>
      </w:r>
      <w:r>
        <w:t xml:space="preserve">clock gene as a sinusoid of the ensemble amplitude at its own template phase, plus Gaussian noise.</w:t>
      </w:r>
      <w:r>
        <w:t xml:space="preserve"> </w:t>
      </w:r>
      <w:r>
        <w:t xml:space="preserve">The level difference between low and high coupling is −0.447 ± 0.028 with a morning window and</w:t>
      </w:r>
      <w:r>
        <w:t xml:space="preserve"> </w:t>
      </w:r>
      <w:r>
        <w:t xml:space="preserve">+0.020 ± 0.025 with uniform sampling hours, across five seeds, while the amplitude difference is</w:t>
      </w:r>
      <w:r>
        <w:t xml:space="preserve"> </w:t>
      </w:r>
      <w:r>
        <w:t xml:space="preserve">−0.657 ± 0.024 and −0.658 ± 0.023.</w:t>
      </w:r>
    </w:p>
    <w:bookmarkEnd w:id="54"/>
    <w:bookmarkStart w:id="55" w:name="Xdc27a31287b3648a49a52ca7f9d14d8d595cca8"/>
    <w:p>
      <w:pPr>
        <w:pStyle w:val="Heading2"/>
      </w:pPr>
      <w:r>
        <w:t xml:space="preserve">S2.6b Sensitivity to the removal of principal components</w:t>
      </w:r>
    </w:p>
    <w:p>
      <w:pPr>
        <w:pStyle w:val="FirstParagraph"/>
      </w:pPr>
      <w:r>
        <w:t xml:space="preserve">Removing the leading principal components of an expression matrix is a standard control against</w:t>
      </w:r>
      <w:r>
        <w:t xml:space="preserve"> </w:t>
      </w:r>
      <w:r>
        <w:t xml:space="preserve">between-sample heterogeneity, but it is not neutral here: a systemic signal that moves many genes</w:t>
      </w:r>
      <w:r>
        <w:t xml:space="preserve"> </w:t>
      </w:r>
      <w:r>
        <w:t xml:space="preserve">together lives in those components by construction, so the adjustment removes the effect it is</w:t>
      </w:r>
      <w:r>
        <w:t xml:space="preserve"> </w:t>
      </w:r>
      <w:r>
        <w:t xml:space="preserve">meant to test along with any confounder. We report it as a sensitivity analysis. Removing three</w:t>
      </w:r>
      <w:r>
        <w:t xml:space="preserve"> </w:t>
      </w:r>
      <w:r>
        <w:t xml:space="preserve">components leaves the association unchanged in skeletal muscle (ρ = 0.270 to 0.264 in GTEx,</w:t>
      </w:r>
      <w:r>
        <w:t xml:space="preserve"> </w:t>
      </w:r>
      <w:r>
        <w:t xml:space="preserve">percentile 98 of the within-tissue null in both cases) and attenuates it in adipose tissue (0.302 to</w:t>
      </w:r>
      <w:r>
        <w:t xml:space="preserve"> </w:t>
      </w:r>
      <w:r>
        <w:t xml:space="preserve">0.133 in GTEx visceral). The attenuation is therefore compatible both with a compositional component</w:t>
      </w:r>
      <w:r>
        <w:t xml:space="preserve"> </w:t>
      </w:r>
      <w:r>
        <w:t xml:space="preserve">in adipose tissue and with over-correction of a systemic signal, and these data do not separate the</w:t>
      </w:r>
      <w:r>
        <w:t xml:space="preserve"> </w:t>
      </w:r>
      <w:r>
        <w:t xml:space="preserve">two. The perturbation results are not affected, because they are within-person comparisons in which</w:t>
      </w:r>
      <w:r>
        <w:t xml:space="preserve"> </w:t>
      </w:r>
      <w:r>
        <w:t xml:space="preserve">the composition of the donor is the same before and after.</w:t>
      </w:r>
    </w:p>
    <w:bookmarkEnd w:id="55"/>
    <w:bookmarkStart w:id="56" w:name="s2.7-dispersion-of-inferred-amplitude"/>
    <w:p>
      <w:pPr>
        <w:pStyle w:val="Heading2"/>
      </w:pPr>
      <w:r>
        <w:t xml:space="preserve">S2.7 Dispersion of inferred amplitude</w:t>
      </w:r>
    </w:p>
    <w:p>
      <w:pPr>
        <w:pStyle w:val="FirstParagraph"/>
      </w:pPr>
      <w:r>
        <w:t xml:space="preserve">Because per-sample amplitude is attenuated, the variance between individuals contains a measurement</w:t>
      </w:r>
      <w:r>
        <w:t xml:space="preserve"> </w:t>
      </w:r>
      <w:r>
        <w:t xml:space="preserve">component. In the cohort with six biopsies per person (GSE129843) the standard deviation of the</w:t>
      </w:r>
      <w:r>
        <w:t xml:space="preserve"> </w:t>
      </w:r>
      <w:r>
        <w:t xml:space="preserve">estimator within a single series is 0.481 against 0.264 between series, so only 38% of the</w:t>
      </w:r>
      <w:r>
        <w:t xml:space="preserve"> </w:t>
      </w:r>
      <w:r>
        <w:t xml:space="preserve">between-person variance is not measurement error. To test whether that error differs between</w:t>
      </w:r>
      <w:r>
        <w:t xml:space="preserve"> </w:t>
      </w:r>
      <w:r>
        <w:t xml:space="preserve">groups, amplitude was re-inferred 80 times per person from random 60% subsets of the clock genes;</w:t>
      </w:r>
      <w:r>
        <w:t xml:space="preserve"> </w:t>
      </w:r>
      <w:r>
        <w:t xml:space="preserve">the dispersion across re-inferences is the measurement noise of that person. In GSE13070 skeletal</w:t>
      </w:r>
      <w:r>
        <w:t xml:space="preserve"> </w:t>
      </w:r>
      <w:r>
        <w:t xml:space="preserve">muscle the noise does not differ between groups (median 0.149 in insulin-resistant against 0.160 in</w:t>
      </w:r>
      <w:r>
        <w:t xml:space="preserve"> </w:t>
      </w:r>
      <w:r>
        <w:t xml:space="preserve">sensitive participants; Mann–Whitney P = 0.99, Levene P = 0.31), while the variance of the</w:t>
      </w:r>
      <w:r>
        <w:t xml:space="preserve"> </w:t>
      </w:r>
      <w:r>
        <w:t xml:space="preserve">person-level amplitude differs by a factor of 2.7 and the 5–95 percentile range by 1.70</w:t>
      </w:r>
      <w:r>
        <w:t xml:space="preserve"> </w:t>
      </w:r>
      <w:r>
        <w:t xml:space="preserve">(P = 0.034 by 3,000 permutations). Constant measurement noise moves the variance ratio away from</w:t>
      </w:r>
      <w:r>
        <w:t xml:space="preserve"> </w:t>
      </w:r>
      <w:r>
        <w:t xml:space="preserve">one rather than towards it, so it does not generate the difference. The variance of the sensitive</w:t>
      </w:r>
      <w:r>
        <w:t xml:space="preserve"> </w:t>
      </w:r>
      <w:r>
        <w:t xml:space="preserve">group is nonetheless smaller than its own squared noise, so what can be claimed is that resistant</w:t>
      </w:r>
      <w:r>
        <w:t xml:space="preserve"> </w:t>
      </w:r>
      <w:r>
        <w:t xml:space="preserve">participants disperse more, not that sensitive participants have a particular dispersion.</w:t>
      </w:r>
    </w:p>
    <w:bookmarkEnd w:id="56"/>
    <w:bookmarkStart w:id="57" w:name="s2.8-software"/>
    <w:p>
      <w:pPr>
        <w:pStyle w:val="Heading2"/>
      </w:pPr>
      <w:r>
        <w:t xml:space="preserve">S2.8 Software</w:t>
      </w:r>
    </w:p>
    <w:p>
      <w:pPr>
        <w:pStyle w:val="FirstParagraph"/>
      </w:pPr>
      <w:r>
        <w:t xml:space="preserve">Python 3.9.0; NumPy, pandas, SciPy, statsmodels, PyDESeq2 0.5.4. Stochastic routines use NumPy</w:t>
      </w:r>
      <w:r>
        <w:t xml:space="preserve"> </w:t>
      </w:r>
      <w:r>
        <w:rPr>
          <w:rStyle w:val="VerbatimChar"/>
        </w:rPr>
        <w:t xml:space="preserve">default_rng</w:t>
      </w:r>
      <w:r>
        <w:t xml:space="preserve"> </w:t>
      </w:r>
      <w:r>
        <w:t xml:space="preserve">with seed 0 unless stated. All results are regenerated from public data by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in the accompanying repository (github.com/Danpc11/tissue_coupling, archived at</w:t>
      </w:r>
      <w:r>
        <w:t xml:space="preserve"> </w:t>
      </w:r>
      <w:r>
        <w:t xml:space="preserve">https://doi.org/10.5281/zenodo.23379059).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2026-10-20T19:16:03Z</dcterms:created>
  <dcterms:modified xsi:type="dcterms:W3CDTF">2026-10-20T19:16:03Z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