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supplementary-methods"/>
    <w:p>
      <w:pPr>
        <w:pStyle w:val="Heading1"/>
      </w:pPr>
      <w:r>
        <w:t xml:space="preserve">Supplementary Methods</w:t>
      </w:r>
    </w:p>
    <w:p>
      <w:pPr>
        <w:pStyle w:val="FirstParagraph"/>
      </w:pPr>
      <w:r>
        <w:rPr>
          <w:bCs/>
          <w:b/>
        </w:rPr>
        <w:t xml:space="preserve">Glucocorticoid signalling, not insulin, tracks circadian output across human metabolic tissues</w:t>
      </w:r>
    </w:p>
    <w:p>
      <w:pPr>
        <w:pStyle w:val="BodyText"/>
      </w:pPr>
      <w:r>
        <w:t xml:space="preserve">This section gives the full account of every procedure summarised in Methods, with the parameter</w:t>
      </w:r>
      <w:r>
        <w:t xml:space="preserve"> </w:t>
      </w:r>
      <w:r>
        <w:t xml:space="preserve">values, the preprocessing decisions and the sensitivity analyses. Section numbers match those of</w:t>
      </w:r>
      <w:r>
        <w:t xml:space="preserve"> </w:t>
      </w:r>
      <w:r>
        <w:t xml:space="preserve">the main Methods.</w:t>
      </w:r>
    </w:p>
    <w:p>
      <w:r>
        <w:pict>
          <v:rect style="width:0;height:1.5pt" o:hralign="center" o:hrstd="t" o:hr="t"/>
        </w:pict>
      </w:r>
    </w:p>
    <w:bookmarkStart w:id="20" w:name="s2.1-cohorts-and-preprocessing"/>
    <w:p>
      <w:pPr>
        <w:pStyle w:val="Heading2"/>
      </w:pPr>
      <w:r>
        <w:t xml:space="preserve">S2.1 Cohorts and preprocessing</w:t>
      </w:r>
    </w:p>
    <w:p>
      <w:pPr>
        <w:pStyle w:val="FirstParagraph"/>
      </w:pPr>
      <w:r>
        <w:rPr>
          <w:bCs/>
          <w:b/>
        </w:rPr>
        <w:t xml:space="preserve">Annotation.</w:t>
      </w:r>
      <w:r>
        <w:t xml:space="preserve"> </w:t>
      </w:r>
      <w:r>
        <w:t xml:space="preserve">Microarray platforms were annotated by resolving each probe to its Entrez</w:t>
      </w:r>
      <w:r>
        <w:t xml:space="preserve"> </w:t>
      </w:r>
      <w:r>
        <w:t xml:space="preserve">identifier and that identifier to the current gene symbol (NCBI GRCh38.p13), rather than using the</w:t>
      </w:r>
      <w:r>
        <w:t xml:space="preserve"> </w:t>
      </w:r>
      <w:r>
        <w:t xml:space="preserve">symbol supplied with the platform file. The platform annotation of GPL570 is dated October 2014; of</w:t>
      </w:r>
      <w:r>
        <w:t xml:space="preserve"> </w:t>
      </w:r>
      <w:r>
        <w:t xml:space="preserve">its 41,177 probes with a single Entrez identifier, 3,413 (8.3%) carry a symbol that has since been</w:t>
      </w:r>
      <w:r>
        <w:t xml:space="preserve"> </w:t>
      </w:r>
      <w:r>
        <w:t xml:space="preserve">retired (ARNTL to BMAL1, ATP5A1 to ATP5F1A, among others). Matching gene sets against the platform</w:t>
      </w:r>
      <w:r>
        <w:t xml:space="preserve"> </w:t>
      </w:r>
      <w:r>
        <w:t xml:space="preserve">symbol loses those genes silently. Where several probes measure the same gene, the probe with the</w:t>
      </w:r>
      <w:r>
        <w:t xml:space="preserve"> </w:t>
      </w:r>
      <w:r>
        <w:t xml:space="preserve">highest mean expression among those measuring it exclusively was used; where no probe measures it</w:t>
      </w:r>
      <w:r>
        <w:t xml:space="preserve"> </w:t>
      </w:r>
      <w:r>
        <w:t xml:space="preserve">exclusively, the best multi-gene probe containing it was used. Two genes of the positive-control</w:t>
      </w:r>
      <w:r>
        <w:t xml:space="preserve"> </w:t>
      </w:r>
      <w:r>
        <w:t xml:space="preserve">sets, GSTT1 and HLA-DRB4, have no current Entrez identifier because they are absent from the</w:t>
      </w:r>
      <w:r>
        <w:t xml:space="preserve"> </w:t>
      </w:r>
      <w:r>
        <w:t xml:space="preserve">primary assembly, and were retained by symbol.</w:t>
      </w:r>
    </w:p>
    <w:p>
      <w:pPr>
        <w:pStyle w:val="BodyText"/>
      </w:pPr>
      <w:r>
        <w:rPr>
          <w:bCs/>
          <w:b/>
        </w:rPr>
        <w:t xml:space="preserve">Sample centring.</w:t>
      </w:r>
      <w:r>
        <w:t xml:space="preserve"> </w:t>
      </w:r>
      <w:r>
        <w:t xml:space="preserve">Every expression matrix was centred per sample, subtracting from each column</w:t>
      </w:r>
      <w:r>
        <w:t xml:space="preserve"> </w:t>
      </w:r>
      <w:r>
        <w:t xml:space="preserve">its mean across all measured genes, before any score was computed. Without centring, in RNA-seq the</w:t>
      </w:r>
      <w:r>
        <w:t xml:space="preserve"> </w:t>
      </w:r>
      <w:r>
        <w:t xml:space="preserve">median Spearman correlation of a randomly chosen gene with the clock-output score is 0.44 rather</w:t>
      </w:r>
      <w:r>
        <w:t xml:space="preserve"> </w:t>
      </w:r>
      <w:r>
        <w:t xml:space="preserve">than zero in pancreatic islets and 0.12 to 0.26 in the three GTEx tissues, because the number of</w:t>
      </w:r>
      <w:r>
        <w:t xml:space="preserve"> </w:t>
      </w:r>
      <w:r>
        <w:t xml:space="preserve">detected genes per sample correlates 0.85 with the score. Any subsequent correlation is then</w:t>
      </w:r>
      <w:r>
        <w:t xml:space="preserve"> </w:t>
      </w:r>
      <w:r>
        <w:t xml:space="preserve">inflated by that common component. In quantile-normalised microarray data the effect is negligible</w:t>
      </w:r>
      <w:r>
        <w:t xml:space="preserve"> </w:t>
      </w:r>
      <w:r>
        <w:t xml:space="preserve">(null median 0.002 in AAGMEx). The effect of centring on each cohort–tissue matrix is in</w:t>
      </w:r>
      <w:r>
        <w:t xml:space="preserve"> </w:t>
      </w:r>
      <w:r>
        <w:t xml:space="preserve">Supplementary Table S13.</w:t>
      </w:r>
    </w:p>
    <w:p>
      <w:pPr>
        <w:pStyle w:val="BodyText"/>
      </w:pPr>
      <w:r>
        <w:rPr>
          <w:bCs/>
          <w:b/>
        </w:rPr>
        <w:t xml:space="preserve">GTEx covariates.</w:t>
      </w:r>
      <w:r>
        <w:t xml:space="preserve"> </w:t>
      </w:r>
      <w:r>
        <w:t xml:space="preserve">For GTEx v11, residuals were taken against sex, age (mid-point of the</w:t>
      </w:r>
      <w:r>
        <w:t xml:space="preserve"> </w:t>
      </w:r>
      <w:r>
        <w:t xml:space="preserve">reported bracket), Hardy scale, ischaemic time (SMTSISCH) and RNA integrity (SMRIN), with</w:t>
      </w:r>
      <w:r>
        <w:t xml:space="preserve"> </w:t>
      </w:r>
      <w:r>
        <w:t xml:space="preserve">median imputation of the few missing values. Both technical covariates correlate with the</w:t>
      </w:r>
      <w:r>
        <w:t xml:space="preserve"> </w:t>
      </w:r>
      <w:r>
        <w:t xml:space="preserve">clock-output score (ρ = 0.21 to 0.29 for ischaemic time; −0.19 for RIN in visceral adipose tissue),</w:t>
      </w:r>
      <w:r>
        <w:t xml:space="preserve"> </w:t>
      </w:r>
      <w:r>
        <w:t xml:space="preserve">which is why the adjustment is reported.</w:t>
      </w:r>
    </w:p>
    <w:bookmarkEnd w:id="20"/>
    <w:bookmarkStart w:id="21" w:name="Xc63f4b929bb67349dc109734e2a57fef2812616"/>
    <w:p>
      <w:pPr>
        <w:pStyle w:val="Heading2"/>
      </w:pPr>
      <w:r>
        <w:t xml:space="preserve">S2.3 Single-sample estimation of phase and amplitude</w:t>
      </w:r>
    </w:p>
    <w:p>
      <w:pPr>
        <w:pStyle w:val="FirstParagraph"/>
      </w:pPr>
      <w:r>
        <w:rPr>
          <w:bCs/>
          <w:b/>
        </w:rPr>
        <w:t xml:space="preserve">Ordering.</w:t>
      </w:r>
      <w:r>
        <w:t xml:space="preserve"> </w:t>
      </w:r>
      <w:r>
        <w:t xml:space="preserve">Samples are placed on the unit circle from the standardised clock-gene matrix. Two</w:t>
      </w:r>
      <w:r>
        <w:t xml:space="preserve"> </w:t>
      </w:r>
      <w:r>
        <w:t xml:space="preserve">variants were used. The</w:t>
      </w:r>
      <w:r>
        <w:t xml:space="preserve"> </w:t>
      </w:r>
      <w:r>
        <w:rPr>
          <w:iCs/>
          <w:i/>
        </w:rPr>
        <w:t xml:space="preserve">free</w:t>
      </w:r>
      <w:r>
        <w:t xml:space="preserve"> </w:t>
      </w:r>
      <w:r>
        <w:t xml:space="preserve">variant, used throughout unless stated, fits the waveform to the</w:t>
      </w:r>
      <w:r>
        <w:t xml:space="preserve"> </w:t>
      </w:r>
      <w:r>
        <w:t xml:space="preserve">data of the cohort itself, so the projection basis is that tissue’s own and amplitude is resolved,</w:t>
      </w:r>
      <w:r>
        <w:t xml:space="preserve"> </w:t>
      </w:r>
      <w:r>
        <w:t xml:space="preserve">but it does not fix the period: if the dominant cycle is the 12-h harmonic in one tissue and the</w:t>
      </w:r>
      <w:r>
        <w:t xml:space="preserve"> </w:t>
      </w:r>
      <w:r>
        <w:t xml:space="preserve">24-h fundamental in the other, the two phases are on different scales. The</w:t>
      </w:r>
      <w:r>
        <w:t xml:space="preserve"> </w:t>
      </w:r>
      <w:r>
        <w:rPr>
          <w:iCs/>
          <w:i/>
        </w:rPr>
        <w:t xml:space="preserve">anchored</w:t>
      </w:r>
      <w:r>
        <w:t xml:space="preserve"> </w:t>
      </w:r>
      <w:r>
        <w:t xml:space="preserve">variant fixes</w:t>
      </w:r>
      <w:r>
        <w:t xml:space="preserve"> </w:t>
      </w:r>
      <w:r>
        <w:t xml:space="preserve">the period by projecting onto a template of relative phases obtained by cosinor in cohorts with</w:t>
      </w:r>
      <w:r>
        <w:t xml:space="preserve"> </w:t>
      </w:r>
      <w:r>
        <w:t xml:space="preserve">recorded sampling times, which resolves phase but degrades amplitude. Measured stability ranges</w:t>
      </w:r>
      <w:r>
        <w:t xml:space="preserve"> </w:t>
      </w:r>
      <w:r>
        <w:t xml:space="preserve">across template sizes of 13 to 200 genes: phase 0.32 to 0.47 anchored and 0.21 to 0.62 free;</w:t>
      </w:r>
      <w:r>
        <w:t xml:space="preserve"> </w:t>
      </w:r>
      <w:r>
        <w:t xml:space="preserve">amplitude 0.30 to 0.37 free and 0.07 to 0.38 anchored. Using one variant for both quantities gives</w:t>
      </w:r>
      <w:r>
        <w:t xml:space="preserve"> </w:t>
      </w:r>
      <w:r>
        <w:t xml:space="preserve">one of them wrong. The default template is the 60 most rhythmic genes; with 13 genes a residual</w:t>
      </w:r>
      <w:r>
        <w:t xml:space="preserve"> </w:t>
      </w:r>
      <w:r>
        <w:t xml:space="preserve">period ambiguity remains (double-angle statistic 0.23 against 0.06 with 60).</w:t>
      </w:r>
    </w:p>
    <w:p>
      <w:pPr>
        <w:pStyle w:val="BodyText"/>
      </w:pPr>
      <w:r>
        <w:rPr>
          <w:bCs/>
          <w:b/>
        </w:rPr>
        <w:t xml:space="preserve">Signed projection.</w:t>
      </w:r>
      <w:r>
        <w:t xml:space="preserve"> </w:t>
      </w:r>
      <w:r>
        <w:t xml:space="preserve">Phase is assigned by the signed projection onto the circadian basis, not by</w:t>
      </w:r>
      <w:r>
        <w:t xml:space="preserve"> </w:t>
      </w:r>
      <w:r>
        <w:t xml:space="preserve">the absolute value. With a single harmonic, phase and antiphase give the same absolute projection</w:t>
      </w:r>
      <w:r>
        <w:t xml:space="preserve"> </w:t>
      </w:r>
      <w:r>
        <w:t xml:space="preserve">and the tie is broken by noise: on real data the absolute rule reassigns 34 to 36% of samples by</w:t>
      </w:r>
      <w:r>
        <w:t xml:space="preserve"> </w:t>
      </w:r>
      <w:r>
        <w:t xml:space="preserve">more than 9 h.</w:t>
      </w:r>
    </w:p>
    <w:p>
      <w:pPr>
        <w:pStyle w:val="BodyText"/>
      </w:pPr>
      <w:r>
        <w:rPr>
          <w:bCs/>
          <w:b/>
        </w:rPr>
        <w:t xml:space="preserve">Validation.</w:t>
      </w:r>
      <w:r>
        <w:t xml:space="preserve"> </w:t>
      </w:r>
      <w:r>
        <w:t xml:space="preserve">Validation was leave-one-out at two levels. For each retained sample, (i) the</w:t>
      </w:r>
      <w:r>
        <w:t xml:space="preserve"> </w:t>
      </w:r>
      <w:r>
        <w:t xml:space="preserve">cosinor fit of its donor was computed from that donor’s remaining time points only, and (ii) the</w:t>
      </w:r>
      <w:r>
        <w:t xml:space="preserve"> </w:t>
      </w:r>
      <w:r>
        <w:t xml:space="preserve">donor as a whole was excluded from the ordering and from the template used to infer the retained</w:t>
      </w:r>
      <w:r>
        <w:t xml:space="preserve"> </w:t>
      </w:r>
      <w:r>
        <w:t xml:space="preserve">sample. In synchronised myotubes (GSE182117, 11 donors × 2 conditions × 8 time points, 170 retained</w:t>
      </w:r>
      <w:r>
        <w:t xml:space="preserve"> </w:t>
      </w:r>
      <w:r>
        <w:t xml:space="preserve">samples) the agreement is ρ = 0.28 in control and 0.34 in high-glucose conditions; averaging the</w:t>
      </w:r>
      <w:r>
        <w:t xml:space="preserve"> </w:t>
      </w:r>
      <w:r>
        <w:t xml:space="preserve">eight independent out-of-sample inferences of each donor raises it to 0.97 and 0.94. In skeletal</w:t>
      </w:r>
      <w:r>
        <w:t xml:space="preserve"> </w:t>
      </w:r>
      <w:r>
        <w:t xml:space="preserve">muscle in vivo (GSE129843, 117 retained samples) the figures are 0.17 and 0.82. The cohorts</w:t>
      </w:r>
      <w:r>
        <w:t xml:space="preserve"> </w:t>
      </w:r>
      <w:r>
        <w:t xml:space="preserve">analysed in Results contribute one sample per person, so the single-sample figure is the one that</w:t>
      </w:r>
      <w:r>
        <w:t xml:space="preserve"> </w:t>
      </w:r>
      <w:r>
        <w:t xml:space="preserve">applies to them.</w:t>
      </w:r>
    </w:p>
    <w:p>
      <w:pPr>
        <w:pStyle w:val="BodyText"/>
      </w:pPr>
      <w:r>
        <w:rPr>
          <w:bCs/>
          <w:b/>
        </w:rPr>
        <w:t xml:space="preserve">Relation to published methods.</w:t>
      </w:r>
      <w:r>
        <w:t xml:space="preserve"> </w:t>
      </w:r>
      <w:r>
        <w:t xml:space="preserve">CHIRAL, CYCLOPS, ZeitZeiger and TimeSignature all infer</w:t>
      </w:r>
      <w:r>
        <w:t xml:space="preserve"> </w:t>
      </w:r>
      <w:r>
        <w:t xml:space="preserve">circadian phase from a single sample; none returns a per-sample amplitude. We therefore used</w:t>
      </w:r>
      <w:r>
        <w:t xml:space="preserve"> </w:t>
      </w:r>
      <w:r>
        <w:t xml:space="preserve">published phase inference as a concordance control rather than as a replacement. Computing the</w:t>
      </w:r>
      <w:r>
        <w:t xml:space="preserve"> </w:t>
      </w:r>
      <w:r>
        <w:t xml:space="preserve">concentration of the muscle-to-adipose phase difference across donors,</w:t>
      </w:r>
      <w:r>
        <w:t xml:space="preserve"> </w:t>
      </w:r>
      <w:r>
        <w:t xml:space="preserve">R = |mean_i exp(i(φ_muscle,i − φ_adipose,i))|, gives R = 0.19 with our estimator and 0.15 with</w:t>
      </w:r>
      <w:r>
        <w:t xml:space="preserve"> </w:t>
      </w:r>
      <w:r>
        <w:t xml:space="preserve">CHIRAL in AAGMEx (232 donors), and 0.46 and 0.29 in GTEx (647 donors), all with P ≤ 0.007 by</w:t>
      </w:r>
      <w:r>
        <w:t xml:space="preserve"> </w:t>
      </w:r>
      <w:r>
        <w:t xml:space="preserve">permutation of the donor correspondence. The coupling is detected in both cohorts with both</w:t>
      </w:r>
      <w:r>
        <w:t xml:space="preserve"> </w:t>
      </w:r>
      <w:r>
        <w:t xml:space="preserve">estimators; its magnitude depends on the implementation. CHIRAL’s expectation–maximisation</w:t>
      </w:r>
      <w:r>
        <w:t xml:space="preserve"> </w:t>
      </w:r>
      <w:r>
        <w:t xml:space="preserve">converges to one of two optima depending on initialisation, so the NumPy global seed was fixed</w:t>
      </w:r>
      <w:r>
        <w:t xml:space="preserve"> </w:t>
      </w:r>
      <w:r>
        <w:t xml:space="preserve">before each call; the values above are for seed 0. A benchmark of phase error against recorded</w:t>
      </w:r>
      <w:r>
        <w:t xml:space="preserve"> </w:t>
      </w:r>
      <w:r>
        <w:t xml:space="preserve">sampling times, for completeness: supervised methods reach 1.0 to 1.2 h and unsupervised methods,</w:t>
      </w:r>
      <w:r>
        <w:t xml:space="preserve"> </w:t>
      </w:r>
      <w:r>
        <w:t xml:space="preserve">including ours, 2.1 to 2.9 h. Our estimator is not proposed as a better phase estimator.</w:t>
      </w:r>
    </w:p>
    <w:bookmarkEnd w:id="21"/>
    <w:bookmarkStart w:id="22" w:name="s2.4-differential-expression"/>
    <w:p>
      <w:pPr>
        <w:pStyle w:val="Heading2"/>
      </w:pPr>
      <w:r>
        <w:t xml:space="preserve">S2.4 Differential expression</w:t>
      </w:r>
    </w:p>
    <w:p>
      <w:pPr>
        <w:pStyle w:val="FirstParagraph"/>
      </w:pPr>
      <w:r>
        <w:rPr>
          <w:bCs/>
          <w:b/>
        </w:rPr>
        <w:t xml:space="preserve">Moderated t.</w:t>
      </w:r>
      <w:r>
        <w:t xml:space="preserve"> </w:t>
      </w:r>
      <w:r>
        <w:t xml:space="preserve">For microarray cohorts, the prior variance was estimated by moments on log</w:t>
      </w:r>
      <w:r>
        <w:t xml:space="preserve"> </w:t>
      </w:r>
      <w:r>
        <w:rPr>
          <w:iCs/>
          <w:i/>
        </w:rPr>
        <w:t xml:space="preserve">s</w:t>
      </w:r>
      <w:r>
        <w:t xml:space="preserve">²,</w:t>
      </w:r>
      <w:r>
        <w:t xml:space="preserve"> </w:t>
      </w:r>
      <w:r>
        <w:t xml:space="preserve">each gene variance was shrunk towards it, and the degrees of freedom were augmented accordingly. In</w:t>
      </w:r>
      <w:r>
        <w:t xml:space="preserve"> </w:t>
      </w:r>
      <w:r>
        <w:t xml:space="preserve">a null simulation (4,000 genes, 25 samples) the procedure holds the type-I error at 5.1% against</w:t>
      </w:r>
      <w:r>
        <w:t xml:space="preserve"> </w:t>
      </w:r>
      <w:r>
        <w:t xml:space="preserve">4.9% for the classical t and returns no gene at FDR 0.1; with 200 genes shifted by one log2 unit it</w:t>
      </w:r>
      <w:r>
        <w:t xml:space="preserve"> </w:t>
      </w:r>
      <w:r>
        <w:t xml:space="preserve">detects 91 with 10 false positives, the same as the classical t at this sample size. Its advantage</w:t>
      </w:r>
      <w:r>
        <w:t xml:space="preserve"> </w:t>
      </w:r>
      <w:r>
        <w:t xml:space="preserve">is in the designs with 5 to 10 samples per group.</w:t>
      </w:r>
    </w:p>
    <w:p>
      <w:pPr>
        <w:pStyle w:val="BodyText"/>
      </w:pPr>
      <w:r>
        <w:rPr>
          <w:bCs/>
          <w:b/>
        </w:rPr>
        <w:t xml:space="preserve">RNA-seq.</w:t>
      </w:r>
      <w:r>
        <w:t xml:space="preserve"> </w:t>
      </w:r>
      <w:r>
        <w:t xml:space="preserve">Raw counts, genes with more than 5 counts in at least 10 samples, PyDESeq2 with the</w:t>
      </w:r>
      <w:r>
        <w:t xml:space="preserve"> </w:t>
      </w:r>
      <w:r>
        <w:t xml:space="preserve">cohort covariates in the design and shrunken log fold changes.</w:t>
      </w:r>
    </w:p>
    <w:p>
      <w:pPr>
        <w:pStyle w:val="BodyText"/>
      </w:pPr>
      <w:r>
        <w:rPr>
          <w:bCs/>
          <w:b/>
        </w:rPr>
        <w:t xml:space="preserve">Within-person designs.</w:t>
      </w:r>
      <w:r>
        <w:t xml:space="preserve"> </w:t>
      </w:r>
      <w:r>
        <w:t xml:space="preserve">The per-person difference, a Wilcoxon signed-rank test, and the number</w:t>
      </w:r>
      <w:r>
        <w:t xml:space="preserve"> </w:t>
      </w:r>
      <w:r>
        <w:t xml:space="preserve">of participants changing in each direction, which is what the figures report.</w:t>
      </w:r>
    </w:p>
    <w:bookmarkEnd w:id="22"/>
    <w:bookmarkStart w:id="23" w:name="s2.5-meta-analysis"/>
    <w:p>
      <w:pPr>
        <w:pStyle w:val="Heading2"/>
      </w:pPr>
      <w:r>
        <w:t xml:space="preserve">S2.5 Meta-analysis</w:t>
      </w:r>
    </w:p>
    <w:p>
      <w:pPr>
        <w:pStyle w:val="FirstParagraph"/>
      </w:pPr>
      <w:r>
        <w:t xml:space="preserve">Spearman correlations were transformed as</w:t>
      </w:r>
      <w:r>
        <w:t xml:space="preserve"> </w:t>
      </w:r>
      <w:r>
        <w:rPr>
          <w:iCs/>
          <w:i/>
        </w:rPr>
        <w:t xml:space="preserve">z</w:t>
      </w:r>
      <w:r>
        <w:t xml:space="preserve"> </w:t>
      </w:r>
      <w:r>
        <w:t xml:space="preserve">= arctanh(ρ) with variance 1/(</w:t>
      </w:r>
      <w:r>
        <w:rPr>
          <w:iCs/>
          <w:i/>
        </w:rPr>
        <w:t xml:space="preserve">n</w:t>
      </w:r>
      <w:r>
        <w:t xml:space="preserve"> </w:t>
      </w:r>
      <w:r>
        <w:t xml:space="preserve">− 3 −</w:t>
      </w:r>
      <w:r>
        <w:t xml:space="preserve"> </w:t>
      </w:r>
      <w:r>
        <w:rPr>
          <w:iCs/>
          <w:i/>
        </w:rPr>
        <w:t xml:space="preserve">k</w:t>
      </w:r>
      <w:r>
        <w:t xml:space="preserve">). The</w:t>
      </w:r>
      <w:r>
        <w:t xml:space="preserve"> </w:t>
      </w:r>
      <w:r>
        <w:t xml:space="preserve">primary estimate is a three-level random-effects model fitted by restricted maximum likelihood,</w:t>
      </w:r>
      <w:r>
        <w:t xml:space="preserve"> </w:t>
      </w:r>
      <w:r>
        <w:t xml:space="preserve">with estimates nested in cohort: V = diag(se² + σ²) + τ²·J, where J is the block-diagonal indicator</w:t>
      </w:r>
      <w:r>
        <w:t xml:space="preserve"> </w:t>
      </w:r>
      <w:r>
        <w:t xml:space="preserve">of shared cohort, τ² the between-cohort variance and σ² the within-cohort variance. For the</w:t>
      </w:r>
      <w:r>
        <w:t xml:space="preserve"> </w:t>
      </w:r>
      <w:r>
        <w:t xml:space="preserve">receptor–clock association this gives ρ = 0.45 (95% CI 0.31 to 0.58), τ² = 0.036 and σ² = 0.011,</w:t>
      </w:r>
      <w:r>
        <w:t xml:space="preserve"> </w:t>
      </w:r>
      <w:r>
        <w:t xml:space="preserve">against ρ = 0.43 (0.34 to 0.51) by two-level DerSimonian–Laird and ρ = 0.43 (0.29 to 0.55) by</w:t>
      </w:r>
      <w:r>
        <w:t xml:space="preserve"> </w:t>
      </w:r>
      <w:r>
        <w:t xml:space="preserve">cluster-robust variance with a small-sample correction. The two-level interval is 55% narrower than</w:t>
      </w:r>
      <w:r>
        <w:t xml:space="preserve"> </w:t>
      </w:r>
      <w:r>
        <w:t xml:space="preserve">the three-level one, which is the expected consequence of treating as independent the three GTEx</w:t>
      </w:r>
      <w:r>
        <w:t xml:space="preserve"> </w:t>
      </w:r>
      <w:r>
        <w:t xml:space="preserve">tissues from overlapping donors.</w:t>
      </w:r>
    </w:p>
    <w:bookmarkEnd w:id="23"/>
    <w:bookmarkStart w:id="24" w:name="s2.6-forced-oscillator-model"/>
    <w:p>
      <w:pPr>
        <w:pStyle w:val="Heading2"/>
      </w:pPr>
      <w:r>
        <w:t xml:space="preserve">S2.6 Forced-oscillator model</w:t>
      </w:r>
    </w:p>
    <w:p>
      <w:pPr>
        <w:pStyle w:val="FirstParagraph"/>
      </w:pPr>
      <w:r>
        <w:t xml:space="preserve">Fixed parameters: relaxation rate λ = 0.05 h⁻¹, limit-cycle amplitude</w:t>
      </w:r>
      <w:r>
        <w:t xml:space="preserve"> </w:t>
      </w:r>
      <w:r>
        <w:rPr>
          <w:iCs/>
          <w:i/>
        </w:rPr>
        <w:t xml:space="preserve">A</w:t>
      </w:r>
      <w:r>
        <w:t xml:space="preserve"> </w:t>
      </w:r>
      <w:r>
        <w:t xml:space="preserve">= 1.0, dispersion of</w:t>
      </w:r>
      <w:r>
        <w:t xml:space="preserve"> </w:t>
      </w:r>
      <w:r>
        <w:t xml:space="preserve">intrinsic periods 1.2 to 1.5 h, 40 to 150 cells per tissue, 15 to 30 days of integration, explicit</w:t>
      </w:r>
      <w:r>
        <w:t xml:space="preserve"> </w:t>
      </w:r>
      <w:r>
        <w:t xml:space="preserve">Euler with a step of 0.05 h. Amplitude and synchrony are identical to three decimal places for</w:t>
      </w:r>
      <w:r>
        <w:t xml:space="preserve"> </w:t>
      </w:r>
      <w:r>
        <w:t xml:space="preserve">steps of 0.20, 0.10, 0.05 and 0.02 h. None of these values was fitted to the data analysed here.</w:t>
      </w:r>
      <w:r>
        <w:t xml:space="preserve"> </w:t>
      </w:r>
      <w:r>
        <w:t xml:space="preserve">Synthetic cohorts draw one coupling value</w:t>
      </w:r>
      <w:r>
        <w:t xml:space="preserve"> </w:t>
      </w:r>
      <w:r>
        <w:rPr>
          <w:iCs/>
          <w:i/>
        </w:rPr>
        <w:t xml:space="preserve">K</w:t>
      </w:r>
      <w:r>
        <w:t xml:space="preserve"> </w:t>
      </w:r>
      <w:r>
        <w:t xml:space="preserve">per subject and one sampling hour, integrate the</w:t>
      </w:r>
      <w:r>
        <w:t xml:space="preserve"> </w:t>
      </w:r>
      <w:r>
        <w:t xml:space="preserve">population, and read the mean of the population at that hour; expression is then generated for each</w:t>
      </w:r>
      <w:r>
        <w:t xml:space="preserve"> </w:t>
      </w:r>
      <w:r>
        <w:t xml:space="preserve">clock gene as a sinusoid of the ensemble amplitude at its own template phase, plus Gaussian noise.</w:t>
      </w:r>
      <w:r>
        <w:t xml:space="preserve"> </w:t>
      </w:r>
      <w:r>
        <w:t xml:space="preserve">The level difference between low and high coupling is −0.447 ± 0.028 with a morning window and</w:t>
      </w:r>
      <w:r>
        <w:t xml:space="preserve"> </w:t>
      </w:r>
      <w:r>
        <w:t xml:space="preserve">+0.020 ± 0.025 with uniform sampling hours, across five seeds, while the amplitude difference is</w:t>
      </w:r>
      <w:r>
        <w:t xml:space="preserve"> </w:t>
      </w:r>
      <w:r>
        <w:t xml:space="preserve">−0.657 ± 0.024 and −0.658 ± 0.023.</w:t>
      </w:r>
    </w:p>
    <w:bookmarkEnd w:id="24"/>
    <w:bookmarkStart w:id="25" w:name="s2.7-dispersion-of-inferred-amplitude"/>
    <w:p>
      <w:pPr>
        <w:pStyle w:val="Heading2"/>
      </w:pPr>
      <w:r>
        <w:t xml:space="preserve">S2.7 Dispersion of inferred amplitude</w:t>
      </w:r>
    </w:p>
    <w:p>
      <w:pPr>
        <w:pStyle w:val="FirstParagraph"/>
      </w:pPr>
      <w:r>
        <w:t xml:space="preserve">Because per-sample amplitude is attenuated, the variance between individuals contains a measurement</w:t>
      </w:r>
      <w:r>
        <w:t xml:space="preserve"> </w:t>
      </w:r>
      <w:r>
        <w:t xml:space="preserve">component. In the cohort with six biopsies per person (GSE129843) the standard deviation of the</w:t>
      </w:r>
      <w:r>
        <w:t xml:space="preserve"> </w:t>
      </w:r>
      <w:r>
        <w:t xml:space="preserve">estimator within a single series is 0.481 against 0.264 between series, so only 38% of the</w:t>
      </w:r>
      <w:r>
        <w:t xml:space="preserve"> </w:t>
      </w:r>
      <w:r>
        <w:t xml:space="preserve">between-person variance is not measurement error. To test whether that error differs between</w:t>
      </w:r>
      <w:r>
        <w:t xml:space="preserve"> </w:t>
      </w:r>
      <w:r>
        <w:t xml:space="preserve">groups, amplitude was re-inferred 80 times per person from random 60% subsets of the clock genes;</w:t>
      </w:r>
      <w:r>
        <w:t xml:space="preserve"> </w:t>
      </w:r>
      <w:r>
        <w:t xml:space="preserve">the dispersion across re-inferences is the measurement noise of that person. In GSE13070 skeletal</w:t>
      </w:r>
      <w:r>
        <w:t xml:space="preserve"> </w:t>
      </w:r>
      <w:r>
        <w:t xml:space="preserve">muscle the noise does not differ between groups (median 0.149 in insulin-resistant against 0.160 in</w:t>
      </w:r>
      <w:r>
        <w:t xml:space="preserve"> </w:t>
      </w:r>
      <w:r>
        <w:t xml:space="preserve">sensitive participants; Mann–Whitney P = 0.99, Levene P = 0.31), while the variance of the</w:t>
      </w:r>
      <w:r>
        <w:t xml:space="preserve"> </w:t>
      </w:r>
      <w:r>
        <w:t xml:space="preserve">person-level amplitude differs by a factor of 2.7 and the 5–95 percentile range by 1.70</w:t>
      </w:r>
      <w:r>
        <w:t xml:space="preserve"> </w:t>
      </w:r>
      <w:r>
        <w:t xml:space="preserve">(P = 0.034 by 3,000 permutations). Constant measurement noise moves the variance ratio away from</w:t>
      </w:r>
      <w:r>
        <w:t xml:space="preserve"> </w:t>
      </w:r>
      <w:r>
        <w:t xml:space="preserve">one rather than towards it, so it does not generate the difference. The variance of the sensitive</w:t>
      </w:r>
      <w:r>
        <w:t xml:space="preserve"> </w:t>
      </w:r>
      <w:r>
        <w:t xml:space="preserve">group is nonetheless smaller than its own squared noise, so what can be claimed is that resistant</w:t>
      </w:r>
      <w:r>
        <w:t xml:space="preserve"> </w:t>
      </w:r>
      <w:r>
        <w:t xml:space="preserve">participants disperse more, not that sensitive participants have a particular dispersion.</w:t>
      </w:r>
    </w:p>
    <w:bookmarkEnd w:id="25"/>
    <w:bookmarkStart w:id="26" w:name="s2.8-software"/>
    <w:p>
      <w:pPr>
        <w:pStyle w:val="Heading2"/>
      </w:pPr>
      <w:r>
        <w:t xml:space="preserve">S2.8 Software</w:t>
      </w:r>
    </w:p>
    <w:p>
      <w:pPr>
        <w:pStyle w:val="FirstParagraph"/>
      </w:pPr>
      <w:r>
        <w:t xml:space="preserve">Python 3.9.0; NumPy, pandas, SciPy, statsmodels, PyDESeq2 0.5.4. Stochastic routines use NumPy</w:t>
      </w:r>
      <w:r>
        <w:t xml:space="preserve"> </w:t>
      </w:r>
      <w:r>
        <w:rPr>
          <w:rStyle w:val="VerbatimChar"/>
        </w:rPr>
        <w:t xml:space="preserve">default_rng</w:t>
      </w:r>
      <w:r>
        <w:t xml:space="preserve"> </w:t>
      </w:r>
      <w:r>
        <w:t xml:space="preserve">with seed 0 unless stated. All results are regenerated from public data by</w:t>
      </w:r>
      <w:r>
        <w:t xml:space="preserve"> </w:t>
      </w:r>
      <w:r>
        <w:rPr>
          <w:rStyle w:val="VerbatimChar"/>
        </w:rPr>
        <w:t xml:space="preserve">run_all.sh</w:t>
      </w:r>
      <w:r>
        <w:t xml:space="preserve"> </w:t>
      </w:r>
      <w:r>
        <w:t xml:space="preserve">in the accompanying repository (github.com/Danpc11/tissue_coupling, archived at</w:t>
      </w:r>
      <w:r>
        <w:t xml:space="preserve"> </w:t>
      </w:r>
      <w:r>
        <w:t xml:space="preserve">https://doi.org/10.5281/zenodo.23379059).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2026-10-20T14:07:24Z</dcterms:created>
  <dcterms:modified xsi:type="dcterms:W3CDTF">2026-10-20T14:07:24Z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