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Per-sample clock amplitude validated out of sample in two human cohorts</w:t>
      </w:r>
    </w:p>
    <w:p>
      <w:pPr>
        <w:numPr>
          <w:ilvl w:val="0"/>
          <w:numId w:val="1001"/>
        </w:numPr>
        <w:pStyle w:val="Compact"/>
      </w:pPr>
      <w:r>
        <w:t xml:space="preserve">Receptor level predicts clock output in 13 estimates from four tissues</w:t>
      </w:r>
    </w:p>
    <w:p>
      <w:pPr>
        <w:numPr>
          <w:ilvl w:val="0"/>
          <w:numId w:val="1001"/>
        </w:numPr>
        <w:pStyle w:val="Compact"/>
      </w:pPr>
      <w:r>
        <w:t xml:space="preserve">Hyperinsulinaemic clamp is indistinguishable from three hours of morning</w:t>
      </w:r>
    </w:p>
    <w:p>
      <w:pPr>
        <w:numPr>
          <w:ilvl w:val="0"/>
          <w:numId w:val="1001"/>
        </w:numPr>
        <w:pStyle w:val="Compact"/>
      </w:pPr>
      <w:r>
        <w:t xml:space="preserve">Hydrocortisone and insulin move PER1 in opposite directions in all ten</w:t>
      </w:r>
    </w:p>
    <w:p>
      <w:pPr>
        <w:numPr>
          <w:ilvl w:val="0"/>
          <w:numId w:val="1001"/>
        </w:numPr>
        <w:pStyle w:val="Compact"/>
      </w:pPr>
      <w:r>
        <w:t xml:space="preserve">Forcing is the cortisol rhythm times receptor availability, not hormone level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2026-10-21T12:28:14Z</dcterms:created>
  <dcterms:modified xsi:type="dcterms:W3CDTF">2026-10-21T12:28:14Z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