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1196" w14:textId="189BCB22" w:rsidR="00DB345C" w:rsidRDefault="00F30013" w:rsidP="00F30013">
      <w:pPr>
        <w:spacing w:line="240" w:lineRule="auto"/>
        <w:rPr>
          <w:b/>
          <w:bCs/>
          <w:u w:val="single"/>
        </w:rPr>
      </w:pPr>
      <w:r w:rsidRPr="00F30013">
        <w:rPr>
          <w:b/>
          <w:bCs/>
          <w:u w:val="single"/>
        </w:rPr>
        <w:t>PYCITYSCHOOLS ANALYSIS:</w:t>
      </w:r>
    </w:p>
    <w:p w14:paraId="214A74C6" w14:textId="6FE6B735" w:rsidR="005C16B6" w:rsidRDefault="00F30013" w:rsidP="00F30013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FFFE96" wp14:editId="39FD1BA7">
            <wp:simplePos x="0" y="0"/>
            <wp:positionH relativeFrom="margin">
              <wp:align>right</wp:align>
            </wp:positionH>
            <wp:positionV relativeFrom="paragraph">
              <wp:posOffset>622935</wp:posOffset>
            </wp:positionV>
            <wp:extent cx="5943600" cy="313055"/>
            <wp:effectExtent l="0" t="0" r="0" b="0"/>
            <wp:wrapTight wrapText="bothSides">
              <wp:wrapPolygon edited="0">
                <wp:start x="0" y="0"/>
                <wp:lineTo x="0" y="19716"/>
                <wp:lineTo x="21531" y="1971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Provided </w:t>
      </w:r>
      <w:proofErr w:type="spellStart"/>
      <w:r>
        <w:t>PyCitySchools</w:t>
      </w:r>
      <w:proofErr w:type="spellEnd"/>
      <w:r>
        <w:t xml:space="preserve"> “</w:t>
      </w:r>
      <w:proofErr w:type="spellStart"/>
      <w:r>
        <w:t>schools_complete</w:t>
      </w:r>
      <w:proofErr w:type="spellEnd"/>
      <w:r>
        <w:t>” and “</w:t>
      </w:r>
      <w:proofErr w:type="spellStart"/>
      <w:r>
        <w:t>students_complete</w:t>
      </w:r>
      <w:proofErr w:type="spellEnd"/>
      <w:r>
        <w:t>” .csv files contained data on the student body as well as various schools, which were combined into a single dataset for analysis. A total summary of the combined school data is as follows:</w:t>
      </w:r>
      <w:r>
        <w:br/>
        <w:t>A more granular cross-sectional analysis of the 15 schools was performed, noting items such as school type, students per school, school budget, and math &amp; reading metrics</w:t>
      </w:r>
      <w:r w:rsidR="0088564A">
        <w:t>:</w:t>
      </w:r>
      <w:r>
        <w:t xml:space="preserve"> </w:t>
      </w:r>
    </w:p>
    <w:p w14:paraId="1F340E5B" w14:textId="0EFBFAF8" w:rsidR="005C16B6" w:rsidRDefault="005C16B6" w:rsidP="005C16B6">
      <w:pPr>
        <w:pStyle w:val="ListParagraph"/>
        <w:numPr>
          <w:ilvl w:val="0"/>
          <w:numId w:val="1"/>
        </w:numPr>
        <w:spacing w:line="240" w:lineRule="auto"/>
      </w:pPr>
      <w:r>
        <w:t xml:space="preserve">In the analysis it was discovered that the school’s spending per student had no bearing on that overall percentage of students that were considered passing, as evidenced by the top 5 highest performing schools all having lower spending per student than the lowest 5 performing schools (~90%+ passing vs ~53% passing). </w:t>
      </w:r>
    </w:p>
    <w:p w14:paraId="4D8EC18B" w14:textId="082623CF" w:rsidR="005C16B6" w:rsidRDefault="005C16B6" w:rsidP="005C16B6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A1A009" wp14:editId="3A3860D7">
            <wp:simplePos x="0" y="0"/>
            <wp:positionH relativeFrom="margin">
              <wp:align>right</wp:align>
            </wp:positionH>
            <wp:positionV relativeFrom="paragraph">
              <wp:posOffset>591820</wp:posOffset>
            </wp:positionV>
            <wp:extent cx="594360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531" y="2121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phenomenon was further explored by analyzing spending per student relative to math &amp; reading scores, which revealed that </w:t>
      </w:r>
      <w:r>
        <w:rPr>
          <w:i/>
          <w:iCs/>
        </w:rPr>
        <w:t>lower</w:t>
      </w:r>
      <w:r>
        <w:t xml:space="preserve"> spending per student resulting in higher scores and a higher overall passing rate. </w:t>
      </w:r>
    </w:p>
    <w:p w14:paraId="5DB52637" w14:textId="7866505E" w:rsidR="005C16B6" w:rsidRDefault="005C16B6" w:rsidP="005C16B6">
      <w:pPr>
        <w:pStyle w:val="ListParagraph"/>
        <w:spacing w:line="240" w:lineRule="auto"/>
      </w:pPr>
    </w:p>
    <w:p w14:paraId="38D66A65" w14:textId="010F57DB" w:rsidR="00F30013" w:rsidRDefault="005C16B6" w:rsidP="00F30013">
      <w:pPr>
        <w:spacing w:line="240" w:lineRule="auto"/>
      </w:pPr>
      <w:r>
        <w:t>Further analysis was performed</w:t>
      </w:r>
      <w:r w:rsidR="0088564A">
        <w:t xml:space="preserve"> by looking at scores and passing rates relative to school size and school type:</w:t>
      </w:r>
    </w:p>
    <w:p w14:paraId="44AA19BE" w14:textId="38433D50" w:rsidR="0088564A" w:rsidRDefault="0088564A" w:rsidP="0088564A">
      <w:pPr>
        <w:pStyle w:val="ListParagraph"/>
        <w:numPr>
          <w:ilvl w:val="0"/>
          <w:numId w:val="2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944AC1" wp14:editId="0693E89A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5943600" cy="797560"/>
            <wp:effectExtent l="0" t="0" r="0" b="2540"/>
            <wp:wrapTight wrapText="bothSides">
              <wp:wrapPolygon edited="0">
                <wp:start x="0" y="0"/>
                <wp:lineTo x="0" y="21153"/>
                <wp:lineTo x="21531" y="2115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the analysis it was discovered that schools with 2000 or less students (small &amp; medium) tended to outperform larger schools (2000 – 5000 students), as evidenced by both scores and pass rates. </w:t>
      </w:r>
    </w:p>
    <w:p w14:paraId="5B02C08A" w14:textId="6277D7E7" w:rsidR="0088564A" w:rsidRPr="00F30013" w:rsidRDefault="0088564A" w:rsidP="0088564A">
      <w:pPr>
        <w:pStyle w:val="ListParagraph"/>
        <w:numPr>
          <w:ilvl w:val="0"/>
          <w:numId w:val="2"/>
        </w:numPr>
        <w:spacing w:line="240" w:lineRule="auto"/>
      </w:pPr>
      <w:r>
        <w:t xml:space="preserve">Additionally, Charter schools vastly outperform District schools with respect to the percentage of passing students, though only some minor differenced in average reading scores is noted. </w:t>
      </w:r>
    </w:p>
    <w:p w14:paraId="6A7C8418" w14:textId="3CE74B7D" w:rsidR="00F30013" w:rsidRDefault="0088564A" w:rsidP="00F30013">
      <w:pPr>
        <w:spacing w:line="240" w:lineRule="auto"/>
      </w:pPr>
      <w:r>
        <w:rPr>
          <w:noProof/>
        </w:rPr>
        <w:drawing>
          <wp:inline distT="0" distB="0" distL="0" distR="0" wp14:anchorId="1047DBE5" wp14:editId="068E5589">
            <wp:extent cx="5943600" cy="822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CCFC" w14:textId="77777777" w:rsidR="00F30013" w:rsidRDefault="00F30013" w:rsidP="00F30013">
      <w:pPr>
        <w:spacing w:line="240" w:lineRule="auto"/>
      </w:pPr>
    </w:p>
    <w:sectPr w:rsidR="00F3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7E75"/>
    <w:multiLevelType w:val="hybridMultilevel"/>
    <w:tmpl w:val="BF84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E748E"/>
    <w:multiLevelType w:val="hybridMultilevel"/>
    <w:tmpl w:val="5FF2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769931">
    <w:abstractNumId w:val="1"/>
  </w:num>
  <w:num w:numId="2" w16cid:durableId="145321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13"/>
    <w:rsid w:val="005C16B6"/>
    <w:rsid w:val="0088564A"/>
    <w:rsid w:val="00DB345C"/>
    <w:rsid w:val="00F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E5DD"/>
  <w15:chartTrackingRefBased/>
  <w15:docId w15:val="{6C5C32DE-431A-4BDB-9609-5EBF86CF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Danqest d</dc:creator>
  <cp:keywords/>
  <dc:description/>
  <cp:lastModifiedBy>Danqest d</cp:lastModifiedBy>
  <cp:revision>1</cp:revision>
  <dcterms:created xsi:type="dcterms:W3CDTF">2023-02-26T16:38:00Z</dcterms:created>
  <dcterms:modified xsi:type="dcterms:W3CDTF">2023-02-26T17:03:00Z</dcterms:modified>
</cp:coreProperties>
</file>