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20"/>
      </w:pPr>
      <w:r>
        <w:rPr>
          <w:rFonts w:ascii="Arial" w:hAnsi="Arial"/>
          <w:b/>
          <w:color w:val="E07A5F"/>
          <w:sz w:val="22"/>
        </w:rPr>
        <w:t>TRUEPLACE™ ENGINEERING HANDOFF SUITE</w:t>
      </w:r>
    </w:p>
    <w:p>
      <w:pPr>
        <w:spacing w:before="120" w:after="160"/>
      </w:pPr>
      <w:r>
        <w:rPr>
          <w:rFonts w:ascii="Arial" w:hAnsi="Arial"/>
          <w:b/>
          <w:color w:val="004D40"/>
          <w:sz w:val="48"/>
        </w:rPr>
        <w:t>The 10 Essential Developer Documents &amp;</w:t>
        <w:br/>
        <w:t>13-Step Implementation Roadmap</w:t>
      </w:r>
    </w:p>
    <w:p>
      <w:pPr>
        <w:spacing w:before="80" w:after="480"/>
      </w:pPr>
      <w:r>
        <w:rPr>
          <w:rFonts w:ascii="Calibri" w:hAnsi="Calibri"/>
          <w:color w:val="555555"/>
          <w:sz w:val="26"/>
        </w:rPr>
        <w:t>Complete technical and architectural handoff package for building TruePlace: from zero to a production-ready MVP and Phase 2 enterprise scale.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3D3D3"/>
          <w:left w:val="none"/>
          <w:bottom w:val="single" w:sz="8" w:space="0" w:color="004D40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004D40"/>
                <w:sz w:val="18"/>
              </w:rPr>
              <w:t>Doc 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sz w:val="17"/>
              </w:rPr>
              <w:t>Product Requirements Document (PRD)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Core problem, user personas, functional &amp; non-functional scope.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  <w:shd w:fill="F4F7F6"/>
          </w:tcPr>
          <w:p>
            <w:r>
              <w:rPr>
                <w:rFonts w:ascii="Arial" w:hAnsi="Arial"/>
                <w:b/>
                <w:color w:val="004D40"/>
                <w:sz w:val="18"/>
              </w:rPr>
              <w:t>Doc 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  <w:shd w:fill="F4F7F6"/>
          </w:tcPr>
          <w:p>
            <w:r>
              <w:rPr>
                <w:rFonts w:ascii="Arial" w:hAnsi="Arial"/>
                <w:b/>
                <w:sz w:val="17"/>
              </w:rPr>
              <w:t>Software Requirements Specification (SRS)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  <w:shd w:fill="F4F7F6"/>
          </w:tcPr>
          <w:p>
            <w:r>
              <w:rPr>
                <w:rFonts w:ascii="Calibri" w:hAnsi="Calibri"/>
                <w:sz w:val="17"/>
              </w:rPr>
              <w:t>Epics 1 through 12 + Phase 2 specs with Gherkin acceptance criteria.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004D40"/>
                <w:sz w:val="18"/>
              </w:rPr>
              <w:t>Doc 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sz w:val="17"/>
              </w:rPr>
              <w:t>System Architecture Document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Microservices, API Gateway, Docker Compose, Kubernetes EKS/AKS topology.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  <w:shd w:fill="F4F7F6"/>
          </w:tcPr>
          <w:p>
            <w:r>
              <w:rPr>
                <w:rFonts w:ascii="Arial" w:hAnsi="Arial"/>
                <w:b/>
                <w:color w:val="004D40"/>
                <w:sz w:val="18"/>
              </w:rPr>
              <w:t>Doc 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  <w:shd w:fill="F4F7F6"/>
          </w:tcPr>
          <w:p>
            <w:r>
              <w:rPr>
                <w:rFonts w:ascii="Arial" w:hAnsi="Arial"/>
                <w:b/>
                <w:sz w:val="17"/>
              </w:rPr>
              <w:t>Database Schema Document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  <w:shd w:fill="F4F7F6"/>
          </w:tcPr>
          <w:p>
            <w:r>
              <w:rPr>
                <w:rFonts w:ascii="Calibri" w:hAnsi="Calibri"/>
                <w:sz w:val="17"/>
              </w:rPr>
              <w:t>PostgreSQL 16 + PostGIS 3.4 DDL, Feature Store, and spatial indexes.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004D40"/>
                <w:sz w:val="18"/>
              </w:rPr>
              <w:t>Doc 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sz w:val="17"/>
              </w:rPr>
              <w:t>API Specification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OpenAPI 3.1 catalog for Auth, Search, Valuation, What-If, and Admin.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  <w:shd w:fill="F4F7F6"/>
          </w:tcPr>
          <w:p>
            <w:r>
              <w:rPr>
                <w:rFonts w:ascii="Arial" w:hAnsi="Arial"/>
                <w:b/>
                <w:color w:val="004D40"/>
                <w:sz w:val="18"/>
              </w:rPr>
              <w:t>Doc 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  <w:shd w:fill="F4F7F6"/>
          </w:tcPr>
          <w:p>
            <w:r>
              <w:rPr>
                <w:rFonts w:ascii="Arial" w:hAnsi="Arial"/>
                <w:b/>
                <w:sz w:val="17"/>
              </w:rPr>
              <w:t>UI/UX Wireframes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  <w:shd w:fill="F4F7F6"/>
          </w:tcPr>
          <w:p>
            <w:r>
              <w:rPr>
                <w:rFonts w:ascii="Calibri" w:hAnsi="Calibri"/>
                <w:sz w:val="17"/>
              </w:rPr>
              <w:t>TrueValue Card, 6-section Explainability, What-If Simulator, Admin.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004D40"/>
                <w:sz w:val="18"/>
              </w:rPr>
              <w:t>Doc 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sz w:val="17"/>
              </w:rPr>
              <w:t>Design System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Deep Teal (#004D40), Warm Sand (#F5EDE1), Terracotta, 8pt grid tokens.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  <w:shd w:fill="F4F7F6"/>
          </w:tcPr>
          <w:p>
            <w:r>
              <w:rPr>
                <w:rFonts w:ascii="Arial" w:hAnsi="Arial"/>
                <w:b/>
                <w:color w:val="004D40"/>
                <w:sz w:val="18"/>
              </w:rPr>
              <w:t>Doc 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  <w:shd w:fill="F4F7F6"/>
          </w:tcPr>
          <w:p>
            <w:r>
              <w:rPr>
                <w:rFonts w:ascii="Arial" w:hAnsi="Arial"/>
                <w:b/>
                <w:sz w:val="17"/>
              </w:rPr>
              <w:t>AI/ML Specification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  <w:shd w:fill="F4F7F6"/>
          </w:tcPr>
          <w:p>
            <w:r>
              <w:rPr>
                <w:rFonts w:ascii="Calibri" w:hAnsi="Calibri"/>
                <w:sz w:val="17"/>
              </w:rPr>
              <w:t>LightGBM regressor, TreeSHAP additivity, Prompt v2.4, Confidence &amp; Truth.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004D40"/>
                <w:sz w:val="18"/>
              </w:rPr>
              <w:t>Doc 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sz w:val="17"/>
              </w:rPr>
              <w:t>Data Integration Specification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RESO Web API, County Deeds, Municipal Permits, FEMA Risk, Mapbox GL.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  <w:shd w:fill="F4F7F6"/>
          </w:tcPr>
          <w:p>
            <w:r>
              <w:rPr>
                <w:rFonts w:ascii="Arial" w:hAnsi="Arial"/>
                <w:b/>
                <w:color w:val="004D40"/>
                <w:sz w:val="18"/>
              </w:rPr>
              <w:t>Doc 10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  <w:shd w:fill="F4F7F6"/>
          </w:tcPr>
          <w:p>
            <w:r>
              <w:rPr>
                <w:rFonts w:ascii="Arial" w:hAnsi="Arial"/>
                <w:b/>
                <w:sz w:val="17"/>
              </w:rPr>
              <w:t>Development Roadmap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  <w:shd w:fill="F4F7F6"/>
          </w:tcPr>
          <w:p>
            <w:r>
              <w:rPr>
                <w:rFonts w:ascii="Calibri" w:hAnsi="Calibri"/>
                <w:sz w:val="17"/>
              </w:rPr>
              <w:t>13-step sequential engineering implementation path with DoD.</w:t>
            </w:r>
          </w:p>
        </w:tc>
      </w:tr>
    </w:tbl>
    <w:p>
      <w:r>
        <w:br w:type="page"/>
      </w:r>
    </w:p>
    <w:p>
      <w:pPr>
        <w:keepNext/>
        <w:spacing w:before="480" w:after="80"/>
      </w:pPr>
      <w:r>
        <w:rPr>
          <w:rFonts w:ascii="Arial" w:hAnsi="Arial"/>
          <w:b/>
          <w:color w:val="004D40"/>
          <w:sz w:val="34"/>
        </w:rPr>
        <w:t>DOCUMENT 1: PRODUCT REQUIREMENTS DOCUMENT (PRD)</w:t>
      </w:r>
    </w:p>
    <w:p>
      <w:pPr>
        <w:keepNext/>
        <w:spacing w:before="0" w:after="160"/>
      </w:pPr>
      <w:r>
        <w:rPr>
          <w:color w:val="E07A5F"/>
          <w:sz w:val="16"/>
        </w:rPr>
        <w:t>―――――――――――――――――――――――――――――――――――――――――――――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Product Name: TruePlace™ | Target Market: US Residential Real Estate | Core Promise: Real Homes. Real Data. Real Peace of Mind.</w:t>
      </w:r>
    </w:p>
    <w:p>
      <w:pPr>
        <w:keepNext/>
        <w:spacing w:before="280" w:after="80"/>
      </w:pPr>
      <w:r>
        <w:rPr>
          <w:rFonts w:ascii="Arial" w:hAnsi="Arial"/>
          <w:b/>
          <w:color w:val="004D40"/>
          <w:sz w:val="24"/>
        </w:rPr>
        <w:t>1.1 Executive Summary &amp; Problem Definition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Incumbents monetize user friction and data arbitrage. Zillow and Realtor.com trap users in opaque valuation algorithms (Zestimates with 7-12% error), stale ghost inventory, and aggressive lead sales to Premier Agents. TruePlace solves this through 48-hour verified inventory, hybrid AI+Human TrueValue valuations (MAPE &lt;= 3.5%), Ghost Mode zero-tracking privacy, and mathematical explainability.</w:t>
      </w:r>
    </w:p>
    <w:p>
      <w:pPr>
        <w:keepNext/>
        <w:spacing w:before="280" w:after="80"/>
      </w:pPr>
      <w:r>
        <w:rPr>
          <w:rFonts w:ascii="Arial" w:hAnsi="Arial"/>
          <w:b/>
          <w:color w:val="004D40"/>
          <w:sz w:val="24"/>
        </w:rPr>
        <w:t>1.2 User Personas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• The High-Trust Homebuyer: Needs accurate price benchmarks, zero spam phone calls, and honest neighborhood data.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• The Transparent Seller: Wants accurate pre-listing valuations, low days-on-market, and direct access to verified buyers.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• The Collaborative Agent: Rejects predatory 35-40% referral cuts in favor of flat monthly zip code partner subscriptions.</w:t>
      </w:r>
    </w:p>
    <w:p>
      <w:pPr>
        <w:keepNext/>
        <w:spacing w:before="280" w:after="80"/>
      </w:pPr>
      <w:r>
        <w:rPr>
          <w:rFonts w:ascii="Arial" w:hAnsi="Arial"/>
          <w:b/>
          <w:color w:val="004D40"/>
          <w:sz w:val="24"/>
        </w:rPr>
        <w:t>1.3 Core Functional Scope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Verified Active search, TrueValue Engine (point estimate + dynamic range), SHAP explainability breakdown, What-If simulation studio, downloadable 6-page Truth Report PDF, and Ghost Mode privacy browsing.</w:t>
      </w:r>
    </w:p>
    <w:p>
      <w:pPr>
        <w:keepNext/>
        <w:spacing w:before="480" w:after="80"/>
      </w:pPr>
      <w:r>
        <w:rPr>
          <w:rFonts w:ascii="Arial" w:hAnsi="Arial"/>
          <w:b/>
          <w:color w:val="004D40"/>
          <w:sz w:val="34"/>
        </w:rPr>
        <w:t>DOCUMENT 2: SOFTWARE REQUIREMENTS SPECIFICATION (SRS)</w:t>
      </w:r>
    </w:p>
    <w:p>
      <w:pPr>
        <w:keepNext/>
        <w:spacing w:before="0" w:after="160"/>
      </w:pPr>
      <w:r>
        <w:rPr>
          <w:color w:val="E07A5F"/>
          <w:sz w:val="16"/>
        </w:rPr>
        <w:t>―――――――――――――――――――――――――――――――――――――――――――――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Covers functional specifications for Epics 1 through 12, plus Phase 2 post-MVP enhancements.</w:t>
      </w:r>
    </w:p>
    <w:p>
      <w:pPr>
        <w:keepNext/>
        <w:spacing w:before="280" w:after="80"/>
      </w:pPr>
      <w:r>
        <w:rPr>
          <w:rFonts w:ascii="Arial" w:hAnsi="Arial"/>
          <w:b/>
          <w:color w:val="004D40"/>
          <w:sz w:val="24"/>
        </w:rPr>
        <w:t>Epic 8: Explainability UI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• Story 8.1 TrueValue Card: Main card displaying TrueValue ($711,400), Range ($692k-$731k), Confidence Meter (91%), Truth Score (94), and SVG mini-donut chart.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• Story 8.2 Full Explainability Screen: Six dedicated sections: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 xml:space="preserve">  Section 1: Value Summary &amp; Range | Section 2: SHAP Donut Chart (6 categories) | Section 3: Top Value Drivers (+$41.2k kitchen)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 xml:space="preserve">  Section 4: Negative Drivers (-$12.5k roof) | Section 5: Plain-English Explanation | Section 6: Comparable Sales Ledger.</w:t>
      </w:r>
    </w:p>
    <w:p>
      <w:pPr>
        <w:keepNext/>
        <w:spacing w:before="280" w:after="80"/>
      </w:pPr>
      <w:r>
        <w:rPr>
          <w:rFonts w:ascii="Arial" w:hAnsi="Arial"/>
          <w:b/>
          <w:color w:val="004D40"/>
          <w:sz w:val="24"/>
        </w:rPr>
        <w:t>Epic 9: What-If Simulator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• Story 9.1 Counterfactual Simulations: Real-time UI toggles for Kitchen (Original/Updated/Luxury), Roof (Current/New), and Garage (None/1-Car/2-Car). Backend creates mutated feature vector, executes LightGBM + Interventional TreeSHAP, and returns {"new_value": 768900, "change": 57500} in &lt; 150ms.</w:t>
      </w:r>
    </w:p>
    <w:p>
      <w:pPr>
        <w:keepNext/>
        <w:spacing w:before="280" w:after="80"/>
      </w:pPr>
      <w:r>
        <w:rPr>
          <w:rFonts w:ascii="Arial" w:hAnsi="Arial"/>
          <w:b/>
          <w:color w:val="004D40"/>
          <w:sz w:val="24"/>
        </w:rPr>
        <w:t>Epic 10: Truth Report PDF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• Story 10.1 Generate Report: Headless Chromium worker generating 6-page audit PDF: Page 1 (Summary) | Page 2 (Value Drivers) | Page 3 (Natural Language Explanation) | Page 4 (Comparables Map &amp; Matrix) | Page 5 (Saved What-If Scenarios) | Page 6 (SHAP Methodology &amp; Disclosures).</w:t>
      </w:r>
    </w:p>
    <w:p>
      <w:pPr>
        <w:keepNext/>
        <w:spacing w:before="280" w:after="80"/>
      </w:pPr>
      <w:r>
        <w:rPr>
          <w:rFonts w:ascii="Arial" w:hAnsi="Arial"/>
          <w:b/>
          <w:color w:val="004D40"/>
          <w:sz w:val="24"/>
        </w:rPr>
        <w:t>Epic 11: External Data Integrations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MLS feeds via RESO Web API; County Assessor deed and assessment webhooks; Local Municipal Building Permit registries; FEMA National Flood Hazard Layer; Mapbox GL custom vector tile engine.</w:t>
      </w:r>
    </w:p>
    <w:p>
      <w:pPr>
        <w:keepNext/>
        <w:spacing w:before="280" w:after="80"/>
      </w:pPr>
      <w:r>
        <w:rPr>
          <w:rFonts w:ascii="Arial" w:hAnsi="Arial"/>
          <w:b/>
          <w:color w:val="004D40"/>
          <w:sz w:val="24"/>
        </w:rPr>
        <w:t>Epic 12: Admin Platform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Internal administrative dashboard: User Management (view/disable), Listing Verification (48h audit/remove), Model Observability (MAPE tracking/retraining), and Explainability Audit (SHAP inspection &amp; appraiser override approvals).</w:t>
      </w:r>
    </w:p>
    <w:p>
      <w:pPr>
        <w:keepNext/>
        <w:spacing w:before="280" w:after="80"/>
      </w:pPr>
      <w:r>
        <w:rPr>
          <w:rFonts w:ascii="Arial" w:hAnsi="Arial"/>
          <w:b/>
          <w:color w:val="004D40"/>
          <w:sz w:val="24"/>
        </w:rPr>
        <w:t>Phase 2 (Post-MVP Specifications)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• Computer Vision Module: Swin Transformer / ResNet-50 inspecting listing photos to classify and grade kitchen, bath, roof, and HVAC wear.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• Human Expert Review Workflow: Low-confidence valuations (&lt; 75%) automatically route to a certified local appraiser review queue. Appraisers audit comps and input transparent manual overrides before publication.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• Personalized Explanations: Dual-persona generation (Homebuyer sees lifestyle and school commute fits; Investor sees cap rate, rent yield, and appreciation velocity).</w:t>
      </w:r>
    </w:p>
    <w:p>
      <w:pPr>
        <w:keepNext/>
        <w:spacing w:before="480" w:after="80"/>
      </w:pPr>
      <w:r>
        <w:rPr>
          <w:rFonts w:ascii="Arial" w:hAnsi="Arial"/>
          <w:b/>
          <w:color w:val="004D40"/>
          <w:sz w:val="34"/>
        </w:rPr>
        <w:t>DOCUMENT 3: SYSTEM ARCHITECTURE DOCUMENT</w:t>
      </w:r>
    </w:p>
    <w:p>
      <w:pPr>
        <w:keepNext/>
        <w:spacing w:before="0" w:after="160"/>
      </w:pPr>
      <w:r>
        <w:rPr>
          <w:color w:val="E07A5F"/>
          <w:sz w:val="16"/>
        </w:rPr>
        <w:t>―――――――――――――――――――――――――――――――――――――――――――――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TruePlace is structured as an event-driven microservices architecture containerized with Docker and deployed via Kubernetes (AWS EKS or Azure AKS).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B2D4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onsolas" w:hAnsi="Consolas"/>
                <w:b/>
                <w:color w:val="8D99AE"/>
                <w:sz w:val="16"/>
              </w:rPr>
              <w:t>// SYSTEM ARCHITECTURE SPECIFICATION</w:t>
              <w:br/>
            </w:r>
            <w:r>
              <w:rPr>
                <w:rFonts w:ascii="Consolas" w:hAnsi="Consolas"/>
                <w:color w:val="EDF2F4"/>
                <w:sz w:val="16"/>
              </w:rPr>
              <w:t>- Frontend: Next.js 15 (App Router, Tailwind CSS v4, TypeScript 5.5) + React Native (Expo 52).</w:t>
              <w:br/>
              <w:t>- Gateway: Node.js Fastify API Gateway (Reverse proxy, JWT verification, Redis token-bucket rate limiter).</w:t>
              <w:br/>
              <w:t>- AI Engine: Python 3.11 FastAPI microservice running LightGBM 4.x and TreeSHAP.</w:t>
              <w:br/>
              <w:t>- Ingestion: Go / Python async workers consuming RESO Web API and County deed queues.</w:t>
              <w:br/>
              <w:t>- Reporting: Node.js Puppeteer PDF generation microservice.</w:t>
              <w:br/>
              <w:t>- Storage: PostgreSQL 16 with PostGIS 3.4, TimescaleDB time-series, and Redis 7.2 cluster.</w:t>
            </w:r>
          </w:p>
        </w:tc>
      </w:tr>
    </w:tbl>
    <w:p>
      <w:pPr>
        <w:spacing w:after="80"/>
      </w:pPr>
    </w:p>
    <w:p>
      <w:pPr>
        <w:keepNext/>
        <w:spacing w:before="480" w:after="80"/>
      </w:pPr>
      <w:r>
        <w:rPr>
          <w:rFonts w:ascii="Arial" w:hAnsi="Arial"/>
          <w:b/>
          <w:color w:val="004D40"/>
          <w:sz w:val="34"/>
        </w:rPr>
        <w:t>DOCUMENT 4: DATABASE SCHEMA DOCUMENT (POSTGRESQL 16 + POSTGIS)</w:t>
      </w:r>
    </w:p>
    <w:p>
      <w:pPr>
        <w:keepNext/>
        <w:spacing w:before="0" w:after="160"/>
      </w:pPr>
      <w:r>
        <w:rPr>
          <w:color w:val="E07A5F"/>
          <w:sz w:val="16"/>
        </w:rPr>
        <w:t>―――――――――――――――――――――――――――――――――――――――――――――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Complete DDL definitions for the core operational, property, feature store, and audit schemas: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B2D4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onsolas" w:hAnsi="Consolas"/>
                <w:b/>
                <w:color w:val="8D99AE"/>
                <w:sz w:val="16"/>
              </w:rPr>
              <w:t>// DATABASE DDL: PostGIS Core</w:t>
              <w:br/>
            </w:r>
            <w:r>
              <w:rPr>
                <w:rFonts w:ascii="Consolas" w:hAnsi="Consolas"/>
                <w:color w:val="EDF2F4"/>
                <w:sz w:val="16"/>
              </w:rPr>
              <w:t>-- Core Operational Schema</w:t>
              <w:br/>
              <w:t>CREATE TABLE users (</w:t>
              <w:br/>
              <w:t xml:space="preserve">    id UUID PRIMARY KEY DEFAULT gen_random_uuid(),</w:t>
              <w:br/>
              <w:t xml:space="preserve">    email VARCHAR(255) UNIQUE NOT NULL,</w:t>
              <w:br/>
              <w:t xml:space="preserve">    password_hash VARCHAR(255) NOT NULL,</w:t>
              <w:br/>
              <w:t xml:space="preserve">    full_name VARCHAR(150) NOT NULL,</w:t>
              <w:br/>
              <w:t xml:space="preserve">    ghost_mode BOOLEAN NOT NULL DEFAULT FALSE,</w:t>
              <w:br/>
              <w:t xml:space="preserve">    mfa_enabled BOOLEAN NOT NULL DEFAULT FALSE,</w:t>
              <w:br/>
              <w:t xml:space="preserve">    created_at TIMESTAMP WITH TIME ZONE DEFAULT NOW()</w:t>
              <w:br/>
              <w:t>);</w:t>
              <w:br/>
              <w:br/>
              <w:t>CREATE TABLE properties (</w:t>
              <w:br/>
              <w:t xml:space="preserve">    id UUID PRIMARY KEY DEFAULT gen_random_uuid(),</w:t>
              <w:br/>
              <w:t xml:space="preserve">    mls_id VARCHAR(64) UNIQUE,</w:t>
              <w:br/>
              <w:t xml:space="preserve">    title VARCHAR(255) NOT NULL,</w:t>
              <w:br/>
              <w:t xml:space="preserve">    list_price INTEGER NOT NULL,</w:t>
              <w:br/>
              <w:t xml:space="preserve">    location GEOMETRY(Point, 4326) NOT NULL,</w:t>
              <w:br/>
              <w:t xml:space="preserve">    bedrooms SMALLINT NOT NULL,</w:t>
              <w:br/>
              <w:t xml:space="preserve">    bathrooms NUMERIC(3,1) NOT NULL,</w:t>
              <w:br/>
              <w:t xml:space="preserve">    living_area_sqft INTEGER NOT NULL,</w:t>
              <w:br/>
              <w:t xml:space="preserve">    lot_size_sqft INTEGER NOT NULL,</w:t>
              <w:br/>
              <w:t xml:space="preserve">    year_built SMALLINT NOT NULL,</w:t>
              <w:br/>
              <w:t xml:space="preserve">    status VARCHAR(32) DEFAULT 'active',</w:t>
              <w:br/>
              <w:t xml:space="preserve">    last_verified_at TIMESTAMP WITH TIME ZONE DEFAULT NOW()</w:t>
              <w:br/>
              <w:t>);</w:t>
              <w:br/>
              <w:t>CREATE INDEX idx_prop_loc ON properties USING GIST(location);</w:t>
              <w:br/>
              <w:br/>
              <w:t>CREATE TABLE property_features (</w:t>
              <w:br/>
              <w:t xml:space="preserve">    property_id UUID PRIMARY KEY REFERENCES properties(id),</w:t>
              <w:br/>
              <w:t xml:space="preserve">    living_area_sqft INTEGER NOT NULL,</w:t>
              <w:br/>
              <w:t xml:space="preserve">    bedrooms SMALLINT NOT NULL,</w:t>
              <w:br/>
              <w:t xml:space="preserve">    bathrooms NUMERIC(3,1) NOT NULL,</w:t>
              <w:br/>
              <w:t xml:space="preserve">    micro_comp_median_price_0_5mi INTEGER NOT NULL,</w:t>
              <w:br/>
              <w:t xml:space="preserve">    school_district_rating_avg NUMERIC(3,1) NOT NULL,</w:t>
              <w:br/>
              <w:t xml:space="preserve">    fema_flood_risk_category VARCHAR(16) NOT NULL,</w:t>
              <w:br/>
              <w:t xml:space="preserve">    kitchen_condition_cv NUMERIC(3,2) DEFAULT 3.00</w:t>
              <w:br/>
              <w:t>);</w:t>
              <w:br/>
              <w:br/>
              <w:t>CREATE TABLE valuations (</w:t>
              <w:br/>
              <w:t xml:space="preserve">    id UUID PRIMARY KEY DEFAULT gen_random_uuid(),</w:t>
              <w:br/>
              <w:t xml:space="preserve">    property_id UUID REFERENCES properties(id),</w:t>
              <w:br/>
              <w:t xml:space="preserve">    true_value INTEGER NOT NULL,</w:t>
              <w:br/>
              <w:t xml:space="preserve">    confidence SMALLINT NOT NULL,</w:t>
              <w:br/>
              <w:t xml:space="preserve">    range_low INTEGER NOT NULL,</w:t>
              <w:br/>
              <w:t xml:space="preserve">    range_high INTEGER NOT NULL,</w:t>
              <w:br/>
              <w:t xml:space="preserve">    created_at TIMESTAMP WITH TIME ZONE DEFAULT NOW()</w:t>
              <w:br/>
              <w:t>);</w:t>
            </w:r>
          </w:p>
        </w:tc>
      </w:tr>
    </w:tbl>
    <w:p>
      <w:pPr>
        <w:spacing w:after="80"/>
      </w:pPr>
    </w:p>
    <w:p>
      <w:pPr>
        <w:keepNext/>
        <w:spacing w:before="480" w:after="80"/>
      </w:pPr>
      <w:r>
        <w:rPr>
          <w:rFonts w:ascii="Arial" w:hAnsi="Arial"/>
          <w:b/>
          <w:color w:val="004D40"/>
          <w:sz w:val="34"/>
        </w:rPr>
        <w:t>DOCUMENT 5: API SPECIFICATION (OPENAPI 3.1 CATALOG)</w:t>
      </w:r>
    </w:p>
    <w:p>
      <w:pPr>
        <w:keepNext/>
        <w:spacing w:before="0" w:after="160"/>
      </w:pPr>
      <w:r>
        <w:rPr>
          <w:color w:val="E07A5F"/>
          <w:sz w:val="16"/>
        </w:rPr>
        <w:t>―――――――――――――――――――――――――――――――――――――――――――――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Key microservice contracts governing external and inter-service communication: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B2D4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onsolas" w:hAnsi="Consolas"/>
                <w:b/>
                <w:color w:val="8D99AE"/>
                <w:sz w:val="16"/>
              </w:rPr>
              <w:t>// OPENAPI 3.1 ENDPOINT ROUTING</w:t>
              <w:br/>
            </w:r>
            <w:r>
              <w:rPr>
                <w:rFonts w:ascii="Consolas" w:hAnsi="Consolas"/>
                <w:color w:val="EDF2F4"/>
                <w:sz w:val="16"/>
              </w:rPr>
              <w:t>POST /api/v1/auth/register          -&gt; Ingests email/pass/name; returns JWT + Refresh Token</w:t>
              <w:br/>
              <w:t>POST /api/v1/auth/ghost-mode/toggle -&gt; Activates Ghost Mode cookie &amp; telemetry suppression</w:t>
              <w:br/>
              <w:t>GET  /api/v1/properties/search      -&gt; 10-filter spatial search (price, beds, school, climate)</w:t>
              <w:br/>
              <w:t>POST /api/v1/properties/spatial     -&gt; GeoJSON boundary search using PostGIS ST_Contains</w:t>
              <w:br/>
              <w:t>GET  /api/v1/properties/{id}        -&gt; Hydrated details (Header, Specs, Neighborhood)</w:t>
              <w:br/>
              <w:t>POST /api/v1/valuation/predict      -&gt; LightGBM valuation (true_value, confidence, range)</w:t>
              <w:br/>
              <w:t>POST /api/v1/valuation/what-if      -&gt; Interventional TreeSHAP (new_value, change, delta)</w:t>
              <w:br/>
              <w:t>POST /api/v1/reports/generate       -&gt; Asynchronous 6-page Truth Report PDF generator</w:t>
              <w:br/>
              <w:t>GET  /api/v1/admin/models/metrics   -&gt; Admin model accuracy metrics (MAPE, RMSE, Drift)</w:t>
            </w:r>
          </w:p>
        </w:tc>
      </w:tr>
    </w:tbl>
    <w:p>
      <w:pPr>
        <w:spacing w:after="80"/>
      </w:pPr>
    </w:p>
    <w:p>
      <w:pPr>
        <w:keepNext/>
        <w:spacing w:before="480" w:after="80"/>
      </w:pPr>
      <w:r>
        <w:rPr>
          <w:rFonts w:ascii="Arial" w:hAnsi="Arial"/>
          <w:b/>
          <w:color w:val="004D40"/>
          <w:sz w:val="34"/>
        </w:rPr>
        <w:t>DOCUMENT 6: UI/UX WIREFRAMES (KEY COMPONENT LAYOUTS)</w:t>
      </w:r>
    </w:p>
    <w:p>
      <w:pPr>
        <w:keepNext/>
        <w:spacing w:before="0" w:after="160"/>
      </w:pPr>
      <w:r>
        <w:rPr>
          <w:color w:val="E07A5F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004D40"/>
          <w:sz w:val="24"/>
        </w:rPr>
        <w:t>TrueValue Card &amp; Explainability Screen Wireframe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B2D4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onsolas" w:hAnsi="Consolas"/>
                <w:b/>
                <w:color w:val="8D99AE"/>
                <w:sz w:val="16"/>
              </w:rPr>
              <w:t>// ASCII WIREFRAME: Explainability Components</w:t>
              <w:br/>
            </w:r>
            <w:r>
              <w:rPr>
                <w:rFonts w:ascii="Consolas" w:hAnsi="Consolas"/>
                <w:color w:val="EDF2F4"/>
                <w:sz w:val="16"/>
              </w:rPr>
              <w:t>+-------------------------------------------------------+</w:t>
              <w:br/>
              <w:t>| TRUEVALUE ESTIMATE: $711,400                          |</w:t>
              <w:br/>
              <w:t>| Range: $692,000 - $731,000 | Confidence: 91% (High)   |</w:t>
              <w:br/>
              <w:t>| Truth Score: 94/100        | Freshness: MLS 2h ago    |</w:t>
              <w:br/>
              <w:t>| [ Mini Donut: 42% Comps | 23% Specs | 15% Reno ]      |</w:t>
              <w:br/>
              <w:t>+-------------------------------------------------------+</w:t>
              <w:br/>
              <w:t>| 6-SECTION EXPLAINABILITY SCREEN:                      |</w:t>
              <w:br/>
              <w:t>| Sec 1: Value Summary ($711.4k, +$50k vs Neighborhood) |</w:t>
              <w:br/>
              <w:t>| Sec 2: SHAP Donut Breakdown (6 interactive slices)    |</w:t>
              <w:br/>
              <w:t>| Sec 3: Top Drivers: Kitchen Renovated (+$41,200)      |</w:t>
              <w:br/>
              <w:t>| Sec 4: Negative Drivers: Roof Age 18y (-$12,500)      |</w:t>
              <w:br/>
              <w:t>| Sec 5: NL Text: 'This home is valued at $711,400...'  |</w:t>
              <w:br/>
              <w:t>| Sec 6: Comparable Sales Ledger (12 micro-comps map)   |</w:t>
              <w:br/>
              <w:t>+-------------------------------------------------------+</w:t>
            </w:r>
          </w:p>
        </w:tc>
      </w:tr>
    </w:tbl>
    <w:p>
      <w:pPr>
        <w:spacing w:after="80"/>
      </w:pPr>
    </w:p>
    <w:p>
      <w:pPr>
        <w:keepNext/>
        <w:spacing w:before="480" w:after="80"/>
      </w:pPr>
      <w:r>
        <w:rPr>
          <w:rFonts w:ascii="Arial" w:hAnsi="Arial"/>
          <w:b/>
          <w:color w:val="004D40"/>
          <w:sz w:val="34"/>
        </w:rPr>
        <w:t>DOCUMENT 7: DESIGN SYSTEM &amp; COMPONENT TOKENS</w:t>
      </w:r>
    </w:p>
    <w:p>
      <w:pPr>
        <w:keepNext/>
        <w:spacing w:before="0" w:after="160"/>
      </w:pPr>
      <w:r>
        <w:rPr>
          <w:color w:val="E07A5F"/>
          <w:sz w:val="16"/>
        </w:rPr>
        <w:t>―――――――――――――――――――――――――――――――――――――――――――――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• Color Palette: Deep Teal #004D40 (Primary), Warm Sand #F5EDE1 (Canvas), Terracotta #E07A5F (Accent), Sage Green #2A9D8F (Positive Uplift), Coral #E76F51 (Deductions).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• Typography: Headings in SF Pro Display / Inter Bold; Body in Inter Regular (15px); Tabular figures enabled for pricing.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• Layout Grid: 8pt modular spacing grid; 16px mobile card padding; 24px desktop container margins; 8px border radius.</w:t>
      </w:r>
    </w:p>
    <w:p>
      <w:pPr>
        <w:keepNext/>
        <w:spacing w:before="480" w:after="80"/>
      </w:pPr>
      <w:r>
        <w:rPr>
          <w:rFonts w:ascii="Arial" w:hAnsi="Arial"/>
          <w:b/>
          <w:color w:val="004D40"/>
          <w:sz w:val="34"/>
        </w:rPr>
        <w:t>DOCUMENT 8: AI/ML SPECIFICATION (TRUEVALUE ENGINE)</w:t>
      </w:r>
    </w:p>
    <w:p>
      <w:pPr>
        <w:keepNext/>
        <w:spacing w:before="0" w:after="160"/>
      </w:pPr>
      <w:r>
        <w:rPr>
          <w:color w:val="E07A5F"/>
          <w:sz w:val="16"/>
        </w:rPr>
        <w:t>―――――――――――――――――――――――――――――――――――――――――――――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• Primary Model: LightGBM Regressor (1,200 estimators, learning rate 0.03, num_leaves 45, max_depth 8). Target: MAPE &lt;= 6.0% (MVP) -&gt; &lt;= 3.5% (V2).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• TreeSHAP Explainer: Exact polynomial time tree traversal. Strict additivity invariant: |true_value - (base_value + sum(shap))| &lt; $1.00 USD.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• System Prompt v2.4: Temperature locked at 0.2. Strict numerical regex verification. Forbidden words: ['stunning', 'gorgeous', 'steal', 'dream home'].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• Confidence Formula: 0.25*Data + 0.30*Comps + 0.20*Agreement + 0.15*Stability + 0.10*Human Review.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• Truth Score Formula: 0.30*Freshness + 0.25*Photo Quality + 0.25*Comp Quality + 0.20*Model Agreement.</w:t>
      </w:r>
    </w:p>
    <w:p>
      <w:pPr>
        <w:keepNext/>
        <w:spacing w:before="480" w:after="80"/>
      </w:pPr>
      <w:r>
        <w:rPr>
          <w:rFonts w:ascii="Arial" w:hAnsi="Arial"/>
          <w:b/>
          <w:color w:val="004D40"/>
          <w:sz w:val="34"/>
        </w:rPr>
        <w:t>DOCUMENT 9: DATA INTEGRATION SPECIFICATION</w:t>
      </w:r>
    </w:p>
    <w:p>
      <w:pPr>
        <w:keepNext/>
        <w:spacing w:before="0" w:after="160"/>
      </w:pPr>
      <w:r>
        <w:rPr>
          <w:color w:val="E07A5F"/>
          <w:sz w:val="16"/>
        </w:rPr>
        <w:t>―――――――――――――――――――――――――――――――――――――――――――――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• RESO Web API: Ingests OData standard payloads (Property, Member, Media resources) over HTTPS webhooks.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• County Deed Registries: Automated parsing of transfer stamps, recording dates, and parcel boundaries.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• Municipal Building Permits: Ingests permit type, stated capital expenditure, and final sign-off inspection dates.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• FEMA / First Street Risk APIs: Syncs 100-year flood zone codes (AE, VE, X) and 30-year wildfire exposure scores.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• Mapbox GL: Custom vector tile endpoints serving PostGIS geometry via ST_AsMVT().</w:t>
      </w:r>
    </w:p>
    <w:p>
      <w:pPr>
        <w:keepNext/>
        <w:spacing w:before="480" w:after="80"/>
      </w:pPr>
      <w:r>
        <w:rPr>
          <w:rFonts w:ascii="Arial" w:hAnsi="Arial"/>
          <w:b/>
          <w:color w:val="004D40"/>
          <w:sz w:val="34"/>
        </w:rPr>
        <w:t>DOCUMENT 10: DEVELOPMENT ROADMAP (13-STEP IMPLEMENTATION PATH)</w:t>
      </w:r>
    </w:p>
    <w:p>
      <w:pPr>
        <w:keepNext/>
        <w:spacing w:before="0" w:after="160"/>
      </w:pPr>
      <w:r>
        <w:rPr>
          <w:color w:val="E07A5F"/>
          <w:sz w:val="16"/>
        </w:rPr>
        <w:t>―――――――――――――――――――――――――――――――――――――――――――――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The sequential engineering execution order to take TruePlace from zero to a production-ready MVP and Phase 2 scale: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3D3D3"/>
          <w:left w:val="none"/>
          <w:bottom w:val="single" w:sz="8" w:space="0" w:color="004D40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004D40"/>
                <w:sz w:val="18"/>
              </w:rPr>
              <w:t>Step 1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sz w:val="17"/>
              </w:rPr>
              <w:t>User / Auth System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Registration, login, Argon2id, JWT, MFA, and Ghost Mode session cookie.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  <w:shd w:fill="F4F7F6"/>
          </w:tcPr>
          <w:p>
            <w:r>
              <w:rPr>
                <w:rFonts w:ascii="Arial" w:hAnsi="Arial"/>
                <w:b/>
                <w:color w:val="004D40"/>
                <w:sz w:val="18"/>
              </w:rPr>
              <w:t>Step 2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  <w:shd w:fill="F4F7F6"/>
          </w:tcPr>
          <w:p>
            <w:r>
              <w:rPr>
                <w:rFonts w:ascii="Arial" w:hAnsi="Arial"/>
                <w:b/>
                <w:sz w:val="17"/>
              </w:rPr>
              <w:t>Property Search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  <w:shd w:fill="F4F7F6"/>
          </w:tcPr>
          <w:p>
            <w:r>
              <w:rPr>
                <w:rFonts w:ascii="Calibri" w:hAnsi="Calibri"/>
                <w:sz w:val="17"/>
              </w:rPr>
              <w:t>PostgreSQL B-Tree and GiST indexes, 10 multi-parametric search filters.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004D40"/>
                <w:sz w:val="18"/>
              </w:rPr>
              <w:t>Step 3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sz w:val="17"/>
              </w:rPr>
              <w:t>Property Details Page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Next.js SSR page with Property Header, structural specs grid, neighborhood intel.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  <w:shd w:fill="F4F7F6"/>
          </w:tcPr>
          <w:p>
            <w:r>
              <w:rPr>
                <w:rFonts w:ascii="Arial" w:hAnsi="Arial"/>
                <w:b/>
                <w:color w:val="004D40"/>
                <w:sz w:val="18"/>
              </w:rPr>
              <w:t>Step 4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  <w:shd w:fill="F4F7F6"/>
          </w:tcPr>
          <w:p>
            <w:r>
              <w:rPr>
                <w:rFonts w:ascii="Arial" w:hAnsi="Arial"/>
                <w:b/>
                <w:sz w:val="17"/>
              </w:rPr>
              <w:t>TrueValue Engine MVP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  <w:shd w:fill="F4F7F6"/>
          </w:tcPr>
          <w:p>
            <w:r>
              <w:rPr>
                <w:rFonts w:ascii="Calibri" w:hAnsi="Calibri"/>
                <w:sz w:val="17"/>
              </w:rPr>
              <w:t>Feature store tables, LightGBM model training, MAPE &lt;= 6% validation.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004D40"/>
                <w:sz w:val="18"/>
              </w:rPr>
              <w:t>Step 5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sz w:val="17"/>
              </w:rPr>
              <w:t>SHAP Explainability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TreeSHAP integration, strict dollar additivity verification, category mapping.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  <w:shd w:fill="F4F7F6"/>
          </w:tcPr>
          <w:p>
            <w:r>
              <w:rPr>
                <w:rFonts w:ascii="Arial" w:hAnsi="Arial"/>
                <w:b/>
                <w:color w:val="004D40"/>
                <w:sz w:val="18"/>
              </w:rPr>
              <w:t>Step 6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  <w:shd w:fill="F4F7F6"/>
          </w:tcPr>
          <w:p>
            <w:r>
              <w:rPr>
                <w:rFonts w:ascii="Arial" w:hAnsi="Arial"/>
                <w:b/>
                <w:sz w:val="17"/>
              </w:rPr>
              <w:t>Confidence Score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  <w:shd w:fill="F4F7F6"/>
          </w:tcPr>
          <w:p>
            <w:r>
              <w:rPr>
                <w:rFonts w:ascii="Calibri" w:hAnsi="Calibri"/>
                <w:sz w:val="17"/>
              </w:rPr>
              <w:t>5-variable weighted confidence rubric (0-100%) and rating tier meters.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004D40"/>
                <w:sz w:val="18"/>
              </w:rPr>
              <w:t>Step 7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sz w:val="17"/>
              </w:rPr>
              <w:t>Truth Score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4-factor empirical transparency scoring and 48-hour freshness triggers.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  <w:shd w:fill="F4F7F6"/>
          </w:tcPr>
          <w:p>
            <w:r>
              <w:rPr>
                <w:rFonts w:ascii="Arial" w:hAnsi="Arial"/>
                <w:b/>
                <w:color w:val="004D40"/>
                <w:sz w:val="18"/>
              </w:rPr>
              <w:t>Step 8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  <w:shd w:fill="F4F7F6"/>
          </w:tcPr>
          <w:p>
            <w:r>
              <w:rPr>
                <w:rFonts w:ascii="Arial" w:hAnsi="Arial"/>
                <w:b/>
                <w:sz w:val="17"/>
              </w:rPr>
              <w:t>Explainability UI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  <w:shd w:fill="F4F7F6"/>
          </w:tcPr>
          <w:p>
            <w:r>
              <w:rPr>
                <w:rFonts w:ascii="Calibri" w:hAnsi="Calibri"/>
                <w:sz w:val="17"/>
              </w:rPr>
              <w:t>TrueValue Card and 6-section Explainability Screen with interactive donut chart.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004D40"/>
                <w:sz w:val="18"/>
              </w:rPr>
              <w:t>Step 9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sz w:val="17"/>
              </w:rPr>
              <w:t>What-If Simulator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Interventional TreeSHAP counterfactual engine with real-time renovation toggles.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  <w:shd w:fill="F4F7F6"/>
          </w:tcPr>
          <w:p>
            <w:r>
              <w:rPr>
                <w:rFonts w:ascii="Arial" w:hAnsi="Arial"/>
                <w:b/>
                <w:color w:val="004D40"/>
                <w:sz w:val="18"/>
              </w:rPr>
              <w:t>Step 10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  <w:shd w:fill="F4F7F6"/>
          </w:tcPr>
          <w:p>
            <w:r>
              <w:rPr>
                <w:rFonts w:ascii="Arial" w:hAnsi="Arial"/>
                <w:b/>
                <w:sz w:val="17"/>
              </w:rPr>
              <w:t>PDF Truth Reports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  <w:shd w:fill="F4F7F6"/>
          </w:tcPr>
          <w:p>
            <w:r>
              <w:rPr>
                <w:rFonts w:ascii="Calibri" w:hAnsi="Calibri"/>
                <w:sz w:val="17"/>
              </w:rPr>
              <w:t>Node.js Puppeteer worker generating the 6-page vector audit PDF.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004D40"/>
                <w:sz w:val="18"/>
              </w:rPr>
              <w:t>Step 11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sz w:val="17"/>
              </w:rPr>
              <w:t>Admin Portal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Internal dashboard for user management, listing verification, and model metrics.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  <w:shd w:fill="F4F7F6"/>
          </w:tcPr>
          <w:p>
            <w:r>
              <w:rPr>
                <w:rFonts w:ascii="Arial" w:hAnsi="Arial"/>
                <w:b/>
                <w:color w:val="004D40"/>
                <w:sz w:val="18"/>
              </w:rPr>
              <w:t>Step 12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  <w:shd w:fill="F4F7F6"/>
          </w:tcPr>
          <w:p>
            <w:r>
              <w:rPr>
                <w:rFonts w:ascii="Arial" w:hAnsi="Arial"/>
                <w:b/>
                <w:sz w:val="17"/>
              </w:rPr>
              <w:t>Computer Vision (Phase 2)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  <w:shd w:fill="F4F7F6"/>
          </w:tcPr>
          <w:p>
            <w:r>
              <w:rPr>
                <w:rFonts w:ascii="Calibri" w:hAnsi="Calibri"/>
                <w:sz w:val="17"/>
              </w:rPr>
              <w:t>Swin Transformer photo grading for kitchen, bath, roof, and HVAC finishes.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004D40"/>
                <w:sz w:val="18"/>
              </w:rPr>
              <w:t>Step 13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sz w:val="17"/>
              </w:rPr>
              <w:t>Human Review Network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Appraiser queue for low-confidence valuations (&lt; 75%) and manual override logs.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