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</w:pPr>
      <w:r>
        <w:rPr>
          <w:rFonts w:ascii="Arial" w:hAnsi="Arial"/>
          <w:b/>
          <w:color w:val="E07A5F"/>
          <w:sz w:val="22"/>
        </w:rPr>
        <w:t>TRUEPLACE MACHINE LEARNING &amp; AI SPECIFICATION</w:t>
      </w:r>
    </w:p>
    <w:p>
      <w:pPr>
        <w:spacing w:before="120" w:after="160"/>
      </w:pPr>
      <w:r>
        <w:rPr>
          <w:rFonts w:ascii="Arial" w:hAnsi="Arial"/>
          <w:b/>
          <w:color w:val="004D40"/>
          <w:sz w:val="44"/>
        </w:rPr>
        <w:t>Software Requirements Specification (SRS) &amp; Epic Backlog</w:t>
        <w:br/>
        <w:t>Epics 4, 5, 6 &amp; 7: TrueValue™ AI Engine &amp; Explainability Core</w:t>
      </w:r>
    </w:p>
    <w:p>
      <w:pPr>
        <w:spacing w:before="80" w:after="400"/>
      </w:pPr>
      <w:r>
        <w:rPr>
          <w:rFonts w:ascii="Calibri" w:hAnsi="Calibri"/>
          <w:color w:val="555555"/>
          <w:sz w:val="24"/>
        </w:rPr>
        <w:t>Technical Requirements for Epic 4 (TrueValue LightGBM Model &amp; Feature Store), Epic 5 (TreeSHAP Explainability &amp; System Prompt v2.4), Epic 6 (Multi-Factor Confidence Scoring), and Epic 7 (Transparency Truth Score)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3D3D3"/>
          <w:left w:val="none"/>
          <w:bottom w:val="single" w:sz="8" w:space="0" w:color="004D40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4F7F6"/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Specification Version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v1.2.0-PROD (TrueValue AI Core Baseline)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4F7F6"/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Epics Covered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Epic 4: TrueValue MVP | Epic 5: Explainability | Epic 6: Confidence | Epic 7: Truth Score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4F7F6"/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Model Frameworks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LightGBM Regressor (MAE), TreeSHAP Explainer, LLM Prompt v2.4 (Temp 0.2)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4F7F6"/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Target Accuracy Goal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Median Absolute Percentage Error (MAPE) &lt;= 6.0% (MVP) -&gt; &lt;= 3.5% (V2)</w:t>
            </w:r>
          </w:p>
        </w:tc>
      </w:tr>
    </w:tbl>
    <w:p>
      <w:pPr>
        <w:spacing w:after="240"/>
      </w:pPr>
    </w:p>
    <w:p>
      <w:pPr>
        <w:keepNext/>
        <w:spacing w:before="400" w:after="80"/>
      </w:pPr>
      <w:r>
        <w:rPr>
          <w:rFonts w:ascii="Arial" w:hAnsi="Arial"/>
          <w:b/>
          <w:color w:val="004D40"/>
          <w:sz w:val="32"/>
        </w:rPr>
        <w:t>1. Feature Store Schema Specification (5 Tables)</w:t>
      </w:r>
    </w:p>
    <w:p>
      <w:pPr>
        <w:keepNext/>
        <w:spacing w:before="0" w:after="160"/>
      </w:pPr>
      <w:r>
        <w:rPr>
          <w:color w:val="E07A5F"/>
          <w:sz w:val="16"/>
        </w:rPr>
        <w:t>――――――――――――――――――――――――――――――――――――――――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The Feature Store unifies MLS characteristics, county deed records, municipal permits, and computer-vision photos into normalized tabular matrices for model inference: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B2D4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onsolas" w:hAnsi="Consolas"/>
                <w:b/>
                <w:color w:val="8D99AE"/>
                <w:sz w:val="16"/>
              </w:rPr>
              <w:t>// SQL DDL: 5 Feature Store Tables</w:t>
              <w:br/>
            </w:r>
            <w:r>
              <w:rPr>
                <w:rFonts w:ascii="Consolas" w:hAnsi="Consolas"/>
                <w:color w:val="EDF2F4"/>
                <w:sz w:val="16"/>
              </w:rPr>
              <w:t>-- 1. Property Features</w:t>
              <w:br/>
              <w:t>CREATE TABLE property_features (</w:t>
              <w:br/>
              <w:t xml:space="preserve">    property_id UUID PRIMARY KEY,</w:t>
              <w:br/>
              <w:t xml:space="preserve">    living_area_sqft INTEGER NOT NULL,</w:t>
              <w:br/>
              <w:t xml:space="preserve">    bedrooms SMALLINT NOT NULL,</w:t>
              <w:br/>
              <w:t xml:space="preserve">    bathrooms NUMERIC(3,1) NOT NULL,</w:t>
              <w:br/>
              <w:t xml:space="preserve">    year_built SMALLINT NOT NULL,</w:t>
              <w:br/>
              <w:t xml:space="preserve">    lot_size_sqft INTEGER NOT NULL,</w:t>
              <w:br/>
              <w:t xml:space="preserve">    micro_comp_median_price_0_5mi INTEGER NOT NULL,</w:t>
              <w:br/>
              <w:t xml:space="preserve">    days_on_market_neighborhood_avg SMALLINT NOT NULL,</w:t>
              <w:br/>
              <w:t xml:space="preserve">    school_district_rating_avg NUMERIC(3,1) NOT NULL,</w:t>
              <w:br/>
              <w:t xml:space="preserve">    fema_flood_risk_category VARCHAR(16) NOT NULL,</w:t>
              <w:br/>
              <w:t xml:space="preserve">    kitchen_condition_cv NUMERIC(3,2) DEFAULT 3.00,</w:t>
              <w:br/>
              <w:t xml:space="preserve">    updated_at TIMESTAMP WITH TIME ZONE DEFAULT NOW()</w:t>
              <w:br/>
              <w:t>);</w:t>
              <w:br/>
              <w:br/>
              <w:t>-- 2. Property History</w:t>
              <w:br/>
              <w:t>CREATE TABLE property_history (</w:t>
              <w:br/>
              <w:t xml:space="preserve">    id UUID PRIMARY KEY DEFAULT gen_random_uuid(),</w:t>
              <w:br/>
              <w:t xml:space="preserve">    property_id UUID NOT NULL,</w:t>
              <w:br/>
              <w:t xml:space="preserve">    event_type VARCHAR(32) NOT NULL, -- sold, listed, assessed</w:t>
              <w:br/>
              <w:t xml:space="preserve">    event_date DATE NOT NULL,</w:t>
              <w:br/>
              <w:t xml:space="preserve">    price_usd INTEGER NOT NULL,</w:t>
              <w:br/>
              <w:t xml:space="preserve">    source_agency VARCHAR(64) NOT NULL</w:t>
              <w:br/>
              <w:t>);</w:t>
              <w:br/>
              <w:br/>
              <w:t>-- 3. Property Photos (CV Analyzed)</w:t>
              <w:br/>
              <w:t>CREATE TABLE property_photos (</w:t>
              <w:br/>
              <w:t xml:space="preserve">    id UUID PRIMARY KEY DEFAULT gen_random_uuid(),</w:t>
              <w:br/>
              <w:t xml:space="preserve">    property_id UUID NOT NULL,</w:t>
              <w:br/>
              <w:t xml:space="preserve">    photo_url VARCHAR(512) NOT NULL,</w:t>
              <w:br/>
              <w:t xml:space="preserve">    room_classification VARCHAR(64) NOT NULL,</w:t>
              <w:br/>
              <w:t xml:space="preserve">    quality_resolution_score NUMERIC(3,2) NOT NULL</w:t>
              <w:br/>
              <w:t>);</w:t>
              <w:br/>
              <w:br/>
              <w:t>-- 4. Permits</w:t>
              <w:br/>
              <w:t>CREATE TABLE permits (</w:t>
              <w:br/>
              <w:t xml:space="preserve">    id UUID PRIMARY KEY DEFAULT gen_random_uuid(),</w:t>
              <w:br/>
              <w:t xml:space="preserve">    property_id UUID NOT NULL,</w:t>
              <w:br/>
              <w:t xml:space="preserve">    permit_type VARCHAR(64) NOT NULL, -- kitchen_remodel, addition, roof</w:t>
              <w:br/>
              <w:t xml:space="preserve">    declared_job_cost INTEGER NOT NULL,</w:t>
              <w:br/>
              <w:t xml:space="preserve">    issue_date DATE NOT NULL</w:t>
              <w:br/>
              <w:t>);</w:t>
              <w:br/>
              <w:br/>
              <w:t>-- 5. Comparable Sales</w:t>
              <w:br/>
              <w:t>CREATE TABLE comparable_sales (</w:t>
              <w:br/>
              <w:t xml:space="preserve">    id UUID PRIMARY KEY DEFAULT gen_random_uuid(),</w:t>
              <w:br/>
              <w:t xml:space="preserve">    target_property_id UUID NOT NULL,</w:t>
              <w:br/>
              <w:t xml:space="preserve">    comp_property_id UUID NOT NULL,</w:t>
              <w:br/>
              <w:t xml:space="preserve">    sale_price INTEGER NOT NULL,</w:t>
              <w:br/>
              <w:t xml:space="preserve">    distance_miles NUMERIC(4,2) NOT NULL,</w:t>
              <w:br/>
              <w:t xml:space="preserve">    similarity_index NUMERIC(3,2) NOT NULL</w:t>
              <w:br/>
              <w:t>);</w:t>
            </w:r>
          </w:p>
        </w:tc>
      </w:tr>
    </w:tbl>
    <w:p>
      <w:pPr>
        <w:spacing w:after="80"/>
      </w:pPr>
    </w:p>
    <w:p>
      <w:pPr>
        <w:keepNext/>
        <w:spacing w:before="400" w:after="80"/>
      </w:pPr>
      <w:r>
        <w:rPr>
          <w:rFonts w:ascii="Arial" w:hAnsi="Arial"/>
          <w:b/>
          <w:color w:val="004D40"/>
          <w:sz w:val="32"/>
        </w:rPr>
        <w:t>2. Epic 4: TrueValue Engine MVP</w:t>
      </w:r>
    </w:p>
    <w:p>
      <w:pPr>
        <w:keepNext/>
        <w:spacing w:before="0" w:after="160"/>
      </w:pPr>
      <w:r>
        <w:rPr>
          <w:color w:val="E07A5F"/>
          <w:sz w:val="16"/>
        </w:rPr>
        <w:t>――――――――――――――――――――――――――――――――――――――――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The TrueValue Engine MVP executes LightGBM gradient boosted decision trees against the Feature Store to generate point estimates, confidence scores, and dynamic error bands.</w:t>
      </w:r>
    </w:p>
    <w:p>
      <w:pPr>
        <w:keepNext/>
        <w:spacing w:before="280" w:after="80"/>
      </w:pPr>
      <w:r>
        <w:rPr>
          <w:rFonts w:ascii="Arial" w:hAnsi="Arial"/>
          <w:b/>
          <w:color w:val="004D40"/>
          <w:sz w:val="24"/>
        </w:rPr>
        <w:t>Target Output JSON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B2D4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onsolas" w:hAnsi="Consolas"/>
                <w:b/>
                <w:color w:val="8D99AE"/>
                <w:sz w:val="16"/>
              </w:rPr>
              <w:t>// JSON OUTPUT: TrueValue Prediction Payload</w:t>
              <w:br/>
            </w:r>
            <w:r>
              <w:rPr>
                <w:rFonts w:ascii="Consolas" w:hAnsi="Consolas"/>
                <w:color w:val="EDF2F4"/>
                <w:sz w:val="16"/>
              </w:rPr>
              <w:t>{</w:t>
              <w:br/>
              <w:t xml:space="preserve">  "true_value": 711400,</w:t>
              <w:br/>
              <w:t xml:space="preserve">  "confidence": 91,</w:t>
              <w:br/>
              <w:t xml:space="preserve">  "range": {</w:t>
              <w:br/>
              <w:t xml:space="preserve">    "low": 692000,</w:t>
              <w:br/>
              <w:t xml:space="preserve">    "high": 731000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04D40"/>
          <w:sz w:val="24"/>
        </w:rPr>
        <w:t>User Story 4.1: Feature Store Ingestion &amp; LightGBM Model</w:t>
      </w:r>
    </w:p>
    <w:p>
      <w:pPr>
        <w:spacing w:before="40" w:after="120" w:line="276" w:lineRule="auto"/>
      </w:pPr>
      <w:r>
        <w:rPr>
          <w:rFonts w:ascii="Calibri" w:hAnsi="Calibri"/>
          <w:b/>
          <w:color w:val="1A1A1A"/>
          <w:sz w:val="20"/>
        </w:rPr>
        <w:t xml:space="preserve">Acceptance Criteria: </w:t>
      </w:r>
      <w:r>
        <w:rPr>
          <w:rFonts w:ascii="Calibri" w:hAnsi="Calibri"/>
          <w:color w:val="1A1A1A"/>
          <w:sz w:val="20"/>
        </w:rPr>
        <w:t>Given valid feature vectors in the Feature Store,</w:t>
        <w:br/>
        <w:t>When the FastAPI inference service receives a valuation request,</w:t>
        <w:br/>
        <w:t>Then LightGBM executes and returns true_value, confidence, and range in &lt; 40ms,</w:t>
        <w:br/>
        <w:t>And the evaluation pipeline verifies MAPE &lt;= 6.0% and logs RMSE to MLflow.</w:t>
      </w:r>
    </w:p>
    <w:p>
      <w:pPr>
        <w:keepNext/>
        <w:spacing w:before="400" w:after="80"/>
      </w:pPr>
      <w:r>
        <w:rPr>
          <w:rFonts w:ascii="Arial" w:hAnsi="Arial"/>
          <w:b/>
          <w:color w:val="004D40"/>
          <w:sz w:val="32"/>
        </w:rPr>
        <w:t>3. Epic 5: Explainability Layer (SHAP &amp; NL Generation)</w:t>
      </w:r>
    </w:p>
    <w:p>
      <w:pPr>
        <w:keepNext/>
        <w:spacing w:before="0" w:after="160"/>
      </w:pPr>
      <w:r>
        <w:rPr>
          <w:color w:val="E07A5F"/>
          <w:sz w:val="16"/>
        </w:rPr>
        <w:t>――――――――――――――――――――――――――――――――――――――――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Enforces the TruePlace mandate: 'No valuation may be shown without an explanation.'</w:t>
      </w:r>
    </w:p>
    <w:p>
      <w:pPr>
        <w:keepNext/>
        <w:spacing w:before="280" w:after="80"/>
      </w:pPr>
      <w:r>
        <w:rPr>
          <w:rFonts w:ascii="Arial" w:hAnsi="Arial"/>
          <w:b/>
          <w:color w:val="004D40"/>
          <w:sz w:val="24"/>
        </w:rPr>
        <w:t>User Story 5.1: Mathematical SHAP Attribution</w:t>
      </w:r>
    </w:p>
    <w:p>
      <w:pPr>
        <w:spacing w:before="40" w:after="120" w:line="276" w:lineRule="auto"/>
      </w:pPr>
      <w:r>
        <w:rPr>
          <w:rFonts w:ascii="Calibri" w:hAnsi="Calibri"/>
          <w:b/>
          <w:color w:val="1A1A1A"/>
          <w:sz w:val="20"/>
        </w:rPr>
        <w:t xml:space="preserve">Acceptance Criteria: </w:t>
      </w:r>
      <w:r>
        <w:rPr>
          <w:rFonts w:ascii="Calibri" w:hAnsi="Calibri"/>
          <w:color w:val="1A1A1A"/>
          <w:sz w:val="20"/>
        </w:rPr>
        <w:t>Given a property valuation prediction,</w:t>
        <w:br/>
        <w:t>When TreeSHAP processes the model trees,</w:t>
        <w:br/>
        <w:t>Then every active feature receives an exact dollar contribution,</w:t>
        <w:br/>
        <w:t>And the sum of all SHAP values plus market base value equals the true_value within $1.00 USD,</w:t>
        <w:br/>
        <w:t>And the top drivers return in structured format: {"driver": "Kitchen Renovation", "impact": 41200}.</w:t>
      </w:r>
    </w:p>
    <w:p>
      <w:pPr>
        <w:keepNext/>
        <w:spacing w:before="280" w:after="80"/>
      </w:pPr>
      <w:r>
        <w:rPr>
          <w:rFonts w:ascii="Arial" w:hAnsi="Arial"/>
          <w:b/>
          <w:color w:val="004D40"/>
          <w:sz w:val="24"/>
        </w:rPr>
        <w:t>User Story 5.2: Natural Language Explanations (System Prompt v2.4)</w:t>
      </w:r>
    </w:p>
    <w:p>
      <w:pPr>
        <w:spacing w:before="40" w:after="120" w:line="276" w:lineRule="auto"/>
      </w:pPr>
      <w:r>
        <w:rPr>
          <w:rFonts w:ascii="Calibri" w:hAnsi="Calibri"/>
          <w:b/>
          <w:color w:val="1A1A1A"/>
          <w:sz w:val="20"/>
        </w:rPr>
        <w:t xml:space="preserve">Acceptance Criteria: </w:t>
      </w:r>
      <w:r>
        <w:rPr>
          <w:rFonts w:ascii="Calibri" w:hAnsi="Calibri"/>
          <w:color w:val="1A1A1A"/>
          <w:sz w:val="20"/>
        </w:rPr>
        <w:t>Given SHAP values, confidence score, and property facts,</w:t>
        <w:br/>
        <w:t>When the LLM executes with System Prompt v2.4 at temperature 0.2,</w:t>
        <w:br/>
        <w:t>Then plain-English text is generated starting with: 'This home is valued at $711,400...',</w:t>
        <w:br/>
        <w:t>And all dollar amounts match the SHAP values exactly with zero forbidden marketing buzzwords.</w:t>
      </w:r>
    </w:p>
    <w:p>
      <w:pPr>
        <w:keepNext/>
        <w:spacing w:before="400" w:after="80"/>
      </w:pPr>
      <w:r>
        <w:rPr>
          <w:rFonts w:ascii="Arial" w:hAnsi="Arial"/>
          <w:b/>
          <w:color w:val="004D40"/>
          <w:sz w:val="32"/>
        </w:rPr>
        <w:t>4. Epic 6: Confidence Score System</w:t>
      </w:r>
    </w:p>
    <w:p>
      <w:pPr>
        <w:keepNext/>
        <w:spacing w:before="0" w:after="160"/>
      </w:pPr>
      <w:r>
        <w:rPr>
          <w:color w:val="E07A5F"/>
          <w:sz w:val="16"/>
        </w:rPr>
        <w:t>――――――――――――――――――――――――――――――――――――――――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Calculates a 0-100% confidence rating based on 5 weighted variables: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1. Data Completeness (25%): Non-null count across 28 required property attributes.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2. Comp Quality (30%): Density and proximity of arms-length comps within 0.5 miles over the past 6 months.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3. Model Agreement (20%): Percent divergence between LightGBM and secondary validation model.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4. Market Stability (15%): Low coefficient of variation in census tract 90-day price trends.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5. Human Review (10%): Certified appraiser audit status (verified = 100).</w:t>
      </w:r>
    </w:p>
    <w:p>
      <w:pPr>
        <w:spacing w:before="40" w:after="120" w:line="276" w:lineRule="auto"/>
      </w:pPr>
      <w:r>
        <w:rPr>
          <w:rFonts w:ascii="Calibri" w:hAnsi="Calibri"/>
          <w:b/>
          <w:color w:val="1A1A1A"/>
          <w:sz w:val="20"/>
        </w:rPr>
        <w:t xml:space="preserve">Output: </w:t>
      </w:r>
      <w:r>
        <w:rPr>
          <w:rFonts w:ascii="Calibri" w:hAnsi="Calibri"/>
          <w:color w:val="1A1A1A"/>
          <w:sz w:val="20"/>
        </w:rPr>
        <w:t>Output Format: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91% | Very High (Green Meter)</w:t>
      </w:r>
    </w:p>
    <w:p>
      <w:pPr>
        <w:keepNext/>
        <w:spacing w:before="400" w:after="80"/>
      </w:pPr>
      <w:r>
        <w:rPr>
          <w:rFonts w:ascii="Arial" w:hAnsi="Arial"/>
          <w:b/>
          <w:color w:val="004D40"/>
          <w:sz w:val="32"/>
        </w:rPr>
        <w:t>5. Epic 7: Truth Score Engine</w:t>
      </w:r>
    </w:p>
    <w:p>
      <w:pPr>
        <w:keepNext/>
        <w:spacing w:before="0" w:after="160"/>
      </w:pPr>
      <w:r>
        <w:rPr>
          <w:color w:val="E07A5F"/>
          <w:sz w:val="16"/>
        </w:rPr>
        <w:t>――――――――――――――――――――――――――――――――――――――――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Measures overall data freshness and objective empirical integrity: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Formula: Truth Score = 0.30*(Data Freshness) + 0.25*(Photo Quality) + 0.25*(Comp Quality) + 0.20*(Model Agreement)</w:t>
      </w:r>
    </w:p>
    <w:p>
      <w:pPr>
        <w:spacing w:before="40" w:after="240" w:line="276" w:lineRule="auto"/>
      </w:pPr>
      <w:r>
        <w:rPr>
          <w:rFonts w:ascii="Calibri" w:hAnsi="Calibri"/>
          <w:color w:val="1A1A1A"/>
          <w:sz w:val="20"/>
        </w:rPr>
        <w:t>Output Example: 'Truth Score = 94' (displayed as a trust badge on listing cards). If MLS updates lag beyond 48 hours, the Truth Score automatically drops below 70, prompting a freshness warning banner.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