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r>
        <w:rPr>
          <w:rFonts w:ascii="Arial" w:hAnsi="Arial"/>
          <w:b/>
          <w:color w:val="E07A5F"/>
          <w:sz w:val="24"/>
        </w:rPr>
        <w:t>TRUEPLACE STRATEGIC MASTER BLUEPRINT</w:t>
      </w:r>
    </w:p>
    <w:p>
      <w:pPr>
        <w:spacing w:before="240" w:after="240"/>
      </w:pPr>
      <w:r>
        <w:rPr>
          <w:rFonts w:ascii="Arial" w:hAnsi="Arial"/>
          <w:b/>
          <w:color w:val="004D40"/>
          <w:sz w:val="52"/>
        </w:rPr>
        <w:t>TruePlace™</w:t>
        <w:br/>
        <w:t>Comprehensive Product Strategy,</w:t>
        <w:br/>
        <w:t>AI Technical Specification &amp;</w:t>
        <w:br/>
        <w:t>Valuation Explainability Engine</w:t>
      </w:r>
    </w:p>
    <w:p>
      <w:pPr>
        <w:spacing w:before="160" w:after="480"/>
      </w:pPr>
      <w:r>
        <w:rPr>
          <w:rFonts w:ascii="Calibri" w:hAnsi="Calibri"/>
          <w:color w:val="555555"/>
          <w:sz w:val="28"/>
        </w:rPr>
        <w:t>How TruePlace Exceeds Zillow and Realtor.com Through Radical Trust, 48-Hour Verified Active Inventory, the 7-Layer TrueValue™ Hybrid AI Engine, and Mathematical Explainability (SHAP)</w:t>
      </w:r>
    </w:p>
    <w:tbl>
      <w:tblPr>
        <w:tblW w:type="auto" w:w="0"/>
        <w:jc w:val="center"/>
        <w:tblLayout w:type="fixed"/>
        <w:tblLook w:firstColumn="1" w:firstRow="1" w:lastColumn="0" w:lastRow="0" w:noHBand="0" w:noVBand="1" w:val="04A0"/>
        <w:tblBorders>
          <w:top w:val="single" w:sz="6" w:space="0" w:color="CCCCCC"/>
          <w:left w:val="none"/>
          <w:bottom w:val="single" w:sz="8" w:space="0" w:color="004D40"/>
          <w:right w:val="none"/>
          <w:insideH w:val="single" w:sz="4" w:space="0" w:color="CCCCCC"/>
          <w:insideV w:val="none"/>
        </w:tblBorders>
      </w:tblPr>
      <w:tblGrid>
        <w:gridCol w:w="4680"/>
        <w:gridCol w:w="4680"/>
      </w:tblGrid>
      <w:tr>
        <w:tc>
          <w:tcPr>
            <w:tcW w:type="dxa" w:w="3168"/>
            <w:shd w:fill="F4F7F6"/>
            <w:tcMar>
              <w:top w:w="80" w:type="dxa"/>
              <w:bottom w:w="80" w:type="dxa"/>
              <w:left w:w="100" w:type="dxa"/>
              <w:right w:w="100" w:type="dxa"/>
            </w:tcMar>
          </w:tcPr>
          <w:p>
            <w:r>
              <w:rPr>
                <w:rFonts w:ascii="Arial" w:hAnsi="Arial"/>
                <w:b/>
                <w:color w:val="004D40"/>
                <w:sz w:val="19"/>
              </w:rPr>
              <w:t>Brand &amp; Product Name</w:t>
            </w:r>
          </w:p>
        </w:tc>
        <w:tc>
          <w:tcPr>
            <w:tcW w:type="dxa" w:w="6192"/>
            <w:tcMar>
              <w:top w:w="80" w:type="dxa"/>
              <w:bottom w:w="80" w:type="dxa"/>
              <w:left w:w="100" w:type="dxa"/>
              <w:right w:w="100" w:type="dxa"/>
            </w:tcMar>
          </w:tcPr>
          <w:p>
            <w:r>
              <w:rPr>
                <w:rFonts w:ascii="Calibri" w:hAnsi="Calibri"/>
                <w:sz w:val="19"/>
              </w:rPr>
              <w:t>TruePlace™ (TruePlace, Inc.)</w:t>
            </w:r>
          </w:p>
        </w:tc>
      </w:tr>
      <w:tr>
        <w:tc>
          <w:tcPr>
            <w:tcW w:type="dxa" w:w="3168"/>
            <w:shd w:fill="F4F7F6"/>
            <w:tcMar>
              <w:top w:w="80" w:type="dxa"/>
              <w:bottom w:w="80" w:type="dxa"/>
              <w:left w:w="100" w:type="dxa"/>
              <w:right w:w="100" w:type="dxa"/>
            </w:tcMar>
          </w:tcPr>
          <w:p>
            <w:r>
              <w:rPr>
                <w:rFonts w:ascii="Arial" w:hAnsi="Arial"/>
                <w:b/>
                <w:color w:val="004D40"/>
                <w:sz w:val="19"/>
              </w:rPr>
              <w:t>Brand Promise</w:t>
            </w:r>
          </w:p>
        </w:tc>
        <w:tc>
          <w:tcPr>
            <w:tcW w:type="dxa" w:w="6192"/>
            <w:tcMar>
              <w:top w:w="80" w:type="dxa"/>
              <w:bottom w:w="80" w:type="dxa"/>
              <w:left w:w="100" w:type="dxa"/>
              <w:right w:w="100" w:type="dxa"/>
            </w:tcMar>
          </w:tcPr>
          <w:p>
            <w:r>
              <w:rPr>
                <w:rFonts w:ascii="Calibri" w:hAnsi="Calibri"/>
                <w:sz w:val="19"/>
              </w:rPr>
              <w:t>Real Homes. Real Data. Real Peace of Mind.</w:t>
            </w:r>
          </w:p>
        </w:tc>
      </w:tr>
      <w:tr>
        <w:tc>
          <w:tcPr>
            <w:tcW w:type="dxa" w:w="3168"/>
            <w:shd w:fill="F4F7F6"/>
            <w:tcMar>
              <w:top w:w="80" w:type="dxa"/>
              <w:bottom w:w="80" w:type="dxa"/>
              <w:left w:w="100" w:type="dxa"/>
              <w:right w:w="100" w:type="dxa"/>
            </w:tcMar>
          </w:tcPr>
          <w:p>
            <w:r>
              <w:rPr>
                <w:rFonts w:ascii="Arial" w:hAnsi="Arial"/>
                <w:b/>
                <w:color w:val="004D40"/>
                <w:sz w:val="19"/>
              </w:rPr>
              <w:t>Architecture Version</w:t>
            </w:r>
          </w:p>
        </w:tc>
        <w:tc>
          <w:tcPr>
            <w:tcW w:type="dxa" w:w="6192"/>
            <w:tcMar>
              <w:top w:w="80" w:type="dxa"/>
              <w:bottom w:w="80" w:type="dxa"/>
              <w:left w:w="100" w:type="dxa"/>
              <w:right w:w="100" w:type="dxa"/>
            </w:tcMar>
          </w:tcPr>
          <w:p>
            <w:r>
              <w:rPr>
                <w:rFonts w:ascii="Calibri" w:hAnsi="Calibri"/>
                <w:sz w:val="19"/>
              </w:rPr>
              <w:t>v2.4 Production Baseline (7-Layer Hybrid Valuation + Interventional TreeSHAP)</w:t>
            </w:r>
          </w:p>
        </w:tc>
      </w:tr>
      <w:tr>
        <w:tc>
          <w:tcPr>
            <w:tcW w:type="dxa" w:w="3168"/>
            <w:shd w:fill="F4F7F6"/>
            <w:tcMar>
              <w:top w:w="80" w:type="dxa"/>
              <w:bottom w:w="80" w:type="dxa"/>
              <w:left w:w="100" w:type="dxa"/>
              <w:right w:w="100" w:type="dxa"/>
            </w:tcMar>
          </w:tcPr>
          <w:p>
            <w:r>
              <w:rPr>
                <w:rFonts w:ascii="Arial" w:hAnsi="Arial"/>
                <w:b/>
                <w:color w:val="004D40"/>
                <w:sz w:val="19"/>
              </w:rPr>
              <w:t>Target Market</w:t>
            </w:r>
          </w:p>
        </w:tc>
        <w:tc>
          <w:tcPr>
            <w:tcW w:type="dxa" w:w="6192"/>
            <w:tcMar>
              <w:top w:w="80" w:type="dxa"/>
              <w:bottom w:w="80" w:type="dxa"/>
              <w:left w:w="100" w:type="dxa"/>
              <w:right w:w="100" w:type="dxa"/>
            </w:tcMar>
          </w:tcPr>
          <w:p>
            <w:r>
              <w:rPr>
                <w:rFonts w:ascii="Calibri" w:hAnsi="Calibri"/>
                <w:sz w:val="19"/>
              </w:rPr>
              <w:t>US Residential Real Estate (Buyers, Verified Sellers, Collaborative Agents, Lenders)</w:t>
            </w:r>
          </w:p>
        </w:tc>
      </w:tr>
    </w:tbl>
    <w:p>
      <w:r>
        <w:br w:type="page"/>
      </w:r>
    </w:p>
    <w:p>
      <w:pPr>
        <w:keepNext/>
        <w:spacing w:before="440" w:after="120"/>
      </w:pPr>
      <w:r>
        <w:rPr>
          <w:rFonts w:ascii="Arial" w:hAnsi="Arial"/>
          <w:b/>
          <w:color w:val="004D40"/>
          <w:sz w:val="36"/>
        </w:rPr>
        <w:t>Executive Summary &amp; Document Organization</w:t>
      </w:r>
    </w:p>
    <w:p>
      <w:pPr>
        <w:keepNext/>
        <w:spacing w:before="0" w:after="160"/>
      </w:pPr>
      <w:r>
        <w:rPr>
          <w:rFonts w:ascii="Arial" w:hAnsi="Arial"/>
          <w:color w:val="E07A5F"/>
          <w:sz w:val="16"/>
        </w:rPr>
        <w:t>―――――――――――――――――――――――――――――――――――――――――――――</w:t>
      </w:r>
    </w:p>
    <w:p>
      <w:pPr>
        <w:spacing w:before="40" w:after="120" w:line="276" w:lineRule="auto"/>
      </w:pPr>
      <w:r>
        <w:rPr>
          <w:rFonts w:ascii="Calibri" w:hAnsi="Calibri"/>
          <w:color w:val="1A1A1A"/>
          <w:sz w:val="21"/>
        </w:rPr>
        <w:t>This master document serves as the comprehensive strategic, operational, product, and engineering blueprint for TruePlace™. It unifies all research, technical specifications, machine learning architectures, UI/UX wireframes, and mathematical explainability designs into a single cohesive reference for product executives, engineering leads, and investors.</w:t>
      </w:r>
    </w:p>
    <w:tbl>
      <w:tblPr>
        <w:tblW w:type="auto" w:w="0"/>
        <w:jc w:val="center"/>
        <w:tblLayout w:type="fixed"/>
        <w:tblLook w:firstColumn="1" w:firstRow="1" w:lastColumn="0" w:lastRow="0" w:noHBand="0" w:noVBand="1" w:val="04A0"/>
        <w:tblBorders>
          <w:top w:val="single" w:sz="6" w:space="0" w:color="D3D3D3"/>
          <w:left w:val="none"/>
          <w:bottom w:val="single" w:sz="8" w:space="0" w:color="004D40"/>
          <w:right w:val="none"/>
          <w:insideH w:val="single" w:sz="4" w:space="0" w:color="D3D3D3"/>
          <w:insideV w:val="none"/>
        </w:tblBorders>
      </w:tblPr>
      <w:tblGrid>
        <w:gridCol w:w="4680"/>
        <w:gridCol w:w="4680"/>
      </w:tblGrid>
      <w:tr>
        <w:tc>
          <w:tcPr>
            <w:tcW w:type="dxa" w:w="2160"/>
            <w:tcMar>
              <w:top w:w="60" w:type="dxa"/>
              <w:bottom w:w="60" w:type="dxa"/>
              <w:left w:w="80" w:type="dxa"/>
              <w:right w:w="80" w:type="dxa"/>
            </w:tcMar>
          </w:tcPr>
          <w:p>
            <w:r>
              <w:rPr>
                <w:rFonts w:ascii="Arial" w:hAnsi="Arial"/>
                <w:b/>
                <w:color w:val="004D40"/>
                <w:sz w:val="19"/>
              </w:rPr>
              <w:t>Section 1</w:t>
            </w:r>
          </w:p>
        </w:tc>
        <w:tc>
          <w:tcPr>
            <w:tcW w:type="dxa" w:w="7200"/>
            <w:tcMar>
              <w:top w:w="60" w:type="dxa"/>
              <w:bottom w:w="60" w:type="dxa"/>
              <w:left w:w="80" w:type="dxa"/>
              <w:right w:w="80" w:type="dxa"/>
            </w:tcMar>
          </w:tcPr>
          <w:p>
            <w:r>
              <w:rPr>
                <w:rFonts w:ascii="Calibri" w:hAnsi="Calibri"/>
                <w:sz w:val="19"/>
              </w:rPr>
              <w:t>Strategic Vision &amp; Brand Foundation: Radical Trust + Radical Experience</w:t>
            </w:r>
          </w:p>
        </w:tc>
      </w:tr>
      <w:tr>
        <w:tc>
          <w:tcPr>
            <w:tcW w:type="dxa" w:w="2160"/>
            <w:tcMar>
              <w:top w:w="60" w:type="dxa"/>
              <w:bottom w:w="60" w:type="dxa"/>
              <w:left w:w="80" w:type="dxa"/>
              <w:right w:w="80" w:type="dxa"/>
            </w:tcMar>
            <w:shd w:fill="F4F7F6"/>
          </w:tcPr>
          <w:p>
            <w:r>
              <w:rPr>
                <w:rFonts w:ascii="Arial" w:hAnsi="Arial"/>
                <w:b/>
                <w:color w:val="004D40"/>
                <w:sz w:val="19"/>
              </w:rPr>
              <w:t>Section 2</w:t>
            </w:r>
          </w:p>
        </w:tc>
        <w:tc>
          <w:tcPr>
            <w:tcW w:type="dxa" w:w="7200"/>
            <w:tcMar>
              <w:top w:w="60" w:type="dxa"/>
              <w:bottom w:w="60" w:type="dxa"/>
              <w:left w:w="80" w:type="dxa"/>
              <w:right w:w="80" w:type="dxa"/>
            </w:tcMar>
            <w:shd w:fill="F4F7F6"/>
          </w:tcPr>
          <w:p>
            <w:r>
              <w:rPr>
                <w:rFonts w:ascii="Calibri" w:hAnsi="Calibri"/>
                <w:sz w:val="19"/>
              </w:rPr>
              <w:t>Competitive Moat: Outperforming Zillow &amp; Realtor.com</w:t>
            </w:r>
          </w:p>
        </w:tc>
      </w:tr>
      <w:tr>
        <w:tc>
          <w:tcPr>
            <w:tcW w:type="dxa" w:w="2160"/>
            <w:tcMar>
              <w:top w:w="60" w:type="dxa"/>
              <w:bottom w:w="60" w:type="dxa"/>
              <w:left w:w="80" w:type="dxa"/>
              <w:right w:w="80" w:type="dxa"/>
            </w:tcMar>
          </w:tcPr>
          <w:p>
            <w:r>
              <w:rPr>
                <w:rFonts w:ascii="Arial" w:hAnsi="Arial"/>
                <w:b/>
                <w:color w:val="004D40"/>
                <w:sz w:val="19"/>
              </w:rPr>
              <w:t>Section 3</w:t>
            </w:r>
          </w:p>
        </w:tc>
        <w:tc>
          <w:tcPr>
            <w:tcW w:type="dxa" w:w="7200"/>
            <w:tcMar>
              <w:top w:w="60" w:type="dxa"/>
              <w:bottom w:w="60" w:type="dxa"/>
              <w:left w:w="80" w:type="dxa"/>
              <w:right w:w="80" w:type="dxa"/>
            </w:tcMar>
          </w:tcPr>
          <w:p>
            <w:r>
              <w:rPr>
                <w:rFonts w:ascii="Calibri" w:hAnsi="Calibri"/>
                <w:sz w:val="19"/>
              </w:rPr>
              <w:t>Product Roadmap &amp; Phased Execution (MVP, V1, V2)</w:t>
            </w:r>
          </w:p>
        </w:tc>
      </w:tr>
      <w:tr>
        <w:tc>
          <w:tcPr>
            <w:tcW w:type="dxa" w:w="2160"/>
            <w:tcMar>
              <w:top w:w="60" w:type="dxa"/>
              <w:bottom w:w="60" w:type="dxa"/>
              <w:left w:w="80" w:type="dxa"/>
              <w:right w:w="80" w:type="dxa"/>
            </w:tcMar>
            <w:shd w:fill="F4F7F6"/>
          </w:tcPr>
          <w:p>
            <w:r>
              <w:rPr>
                <w:rFonts w:ascii="Arial" w:hAnsi="Arial"/>
                <w:b/>
                <w:color w:val="004D40"/>
                <w:sz w:val="19"/>
              </w:rPr>
              <w:t>Section 4</w:t>
            </w:r>
          </w:p>
        </w:tc>
        <w:tc>
          <w:tcPr>
            <w:tcW w:type="dxa" w:w="7200"/>
            <w:tcMar>
              <w:top w:w="60" w:type="dxa"/>
              <w:bottom w:w="60" w:type="dxa"/>
              <w:left w:w="80" w:type="dxa"/>
              <w:right w:w="80" w:type="dxa"/>
            </w:tcMar>
            <w:shd w:fill="F4F7F6"/>
          </w:tcPr>
          <w:p>
            <w:r>
              <w:rPr>
                <w:rFonts w:ascii="Calibri" w:hAnsi="Calibri"/>
                <w:sz w:val="19"/>
              </w:rPr>
              <w:t>Business &amp; Monetization Model: Sustainable, Agent-Friendly Economics</w:t>
            </w:r>
          </w:p>
        </w:tc>
      </w:tr>
      <w:tr>
        <w:tc>
          <w:tcPr>
            <w:tcW w:type="dxa" w:w="2160"/>
            <w:tcMar>
              <w:top w:w="60" w:type="dxa"/>
              <w:bottom w:w="60" w:type="dxa"/>
              <w:left w:w="80" w:type="dxa"/>
              <w:right w:w="80" w:type="dxa"/>
            </w:tcMar>
          </w:tcPr>
          <w:p>
            <w:r>
              <w:rPr>
                <w:rFonts w:ascii="Arial" w:hAnsi="Arial"/>
                <w:b/>
                <w:color w:val="004D40"/>
                <w:sz w:val="19"/>
              </w:rPr>
              <w:t>Section 5</w:t>
            </w:r>
          </w:p>
        </w:tc>
        <w:tc>
          <w:tcPr>
            <w:tcW w:type="dxa" w:w="7200"/>
            <w:tcMar>
              <w:top w:w="60" w:type="dxa"/>
              <w:bottom w:w="60" w:type="dxa"/>
              <w:left w:w="80" w:type="dxa"/>
              <w:right w:w="80" w:type="dxa"/>
            </w:tcMar>
          </w:tcPr>
          <w:p>
            <w:r>
              <w:rPr>
                <w:rFonts w:ascii="Calibri" w:hAnsi="Calibri"/>
                <w:sz w:val="19"/>
              </w:rPr>
              <w:t>System Architecture &amp; Engineering Technology Stack</w:t>
            </w:r>
          </w:p>
        </w:tc>
      </w:tr>
      <w:tr>
        <w:tc>
          <w:tcPr>
            <w:tcW w:type="dxa" w:w="2160"/>
            <w:tcMar>
              <w:top w:w="60" w:type="dxa"/>
              <w:bottom w:w="60" w:type="dxa"/>
              <w:left w:w="80" w:type="dxa"/>
              <w:right w:w="80" w:type="dxa"/>
            </w:tcMar>
            <w:shd w:fill="F4F7F6"/>
          </w:tcPr>
          <w:p>
            <w:r>
              <w:rPr>
                <w:rFonts w:ascii="Arial" w:hAnsi="Arial"/>
                <w:b/>
                <w:color w:val="004D40"/>
                <w:sz w:val="19"/>
              </w:rPr>
              <w:t>Section 6</w:t>
            </w:r>
          </w:p>
        </w:tc>
        <w:tc>
          <w:tcPr>
            <w:tcW w:type="dxa" w:w="7200"/>
            <w:tcMar>
              <w:top w:w="60" w:type="dxa"/>
              <w:bottom w:w="60" w:type="dxa"/>
              <w:left w:w="80" w:type="dxa"/>
              <w:right w:w="80" w:type="dxa"/>
            </w:tcMar>
            <w:shd w:fill="F4F7F6"/>
          </w:tcPr>
          <w:p>
            <w:r>
              <w:rPr>
                <w:rFonts w:ascii="Calibri" w:hAnsi="Calibri"/>
                <w:sz w:val="19"/>
              </w:rPr>
              <w:t>TrueValue™ Valuation Engine: 7-Layer Deep Dive</w:t>
            </w:r>
          </w:p>
        </w:tc>
      </w:tr>
      <w:tr>
        <w:tc>
          <w:tcPr>
            <w:tcW w:type="dxa" w:w="2160"/>
            <w:tcMar>
              <w:top w:w="60" w:type="dxa"/>
              <w:bottom w:w="60" w:type="dxa"/>
              <w:left w:w="80" w:type="dxa"/>
              <w:right w:w="80" w:type="dxa"/>
            </w:tcMar>
          </w:tcPr>
          <w:p>
            <w:r>
              <w:rPr>
                <w:rFonts w:ascii="Arial" w:hAnsi="Arial"/>
                <w:b/>
                <w:color w:val="004D40"/>
                <w:sz w:val="19"/>
              </w:rPr>
              <w:t>Section 7</w:t>
            </w:r>
          </w:p>
        </w:tc>
        <w:tc>
          <w:tcPr>
            <w:tcW w:type="dxa" w:w="7200"/>
            <w:tcMar>
              <w:top w:w="60" w:type="dxa"/>
              <w:bottom w:w="60" w:type="dxa"/>
              <w:left w:w="80" w:type="dxa"/>
              <w:right w:w="80" w:type="dxa"/>
            </w:tcMar>
          </w:tcPr>
          <w:p>
            <w:r>
              <w:rPr>
                <w:rFonts w:ascii="Calibri" w:hAnsi="Calibri"/>
                <w:sz w:val="19"/>
              </w:rPr>
              <w:t>Data Ingestion Hierarchy, RESO APIs &amp; Feature Stores</w:t>
            </w:r>
          </w:p>
        </w:tc>
      </w:tr>
      <w:tr>
        <w:tc>
          <w:tcPr>
            <w:tcW w:type="dxa" w:w="2160"/>
            <w:tcMar>
              <w:top w:w="60" w:type="dxa"/>
              <w:bottom w:w="60" w:type="dxa"/>
              <w:left w:w="80" w:type="dxa"/>
              <w:right w:w="80" w:type="dxa"/>
            </w:tcMar>
            <w:shd w:fill="F4F7F6"/>
          </w:tcPr>
          <w:p>
            <w:r>
              <w:rPr>
                <w:rFonts w:ascii="Arial" w:hAnsi="Arial"/>
                <w:b/>
                <w:color w:val="004D40"/>
                <w:sz w:val="19"/>
              </w:rPr>
              <w:t>Section 8</w:t>
            </w:r>
          </w:p>
        </w:tc>
        <w:tc>
          <w:tcPr>
            <w:tcW w:type="dxa" w:w="7200"/>
            <w:tcMar>
              <w:top w:w="60" w:type="dxa"/>
              <w:bottom w:w="60" w:type="dxa"/>
              <w:left w:w="80" w:type="dxa"/>
              <w:right w:w="80" w:type="dxa"/>
            </w:tcMar>
            <w:shd w:fill="F4F7F6"/>
          </w:tcPr>
          <w:p>
            <w:r>
              <w:rPr>
                <w:rFonts w:ascii="Calibri" w:hAnsi="Calibri"/>
                <w:sz w:val="19"/>
              </w:rPr>
              <w:t>Explainability Layer (Layer 7): Mathematical Foundations &amp; SHAP Integration</w:t>
            </w:r>
          </w:p>
        </w:tc>
      </w:tr>
      <w:tr>
        <w:tc>
          <w:tcPr>
            <w:tcW w:type="dxa" w:w="2160"/>
            <w:tcMar>
              <w:top w:w="60" w:type="dxa"/>
              <w:bottom w:w="60" w:type="dxa"/>
              <w:left w:w="80" w:type="dxa"/>
              <w:right w:w="80" w:type="dxa"/>
            </w:tcMar>
          </w:tcPr>
          <w:p>
            <w:r>
              <w:rPr>
                <w:rFonts w:ascii="Arial" w:hAnsi="Arial"/>
                <w:b/>
                <w:color w:val="004D40"/>
                <w:sz w:val="19"/>
              </w:rPr>
              <w:t>Section 9</w:t>
            </w:r>
          </w:p>
        </w:tc>
        <w:tc>
          <w:tcPr>
            <w:tcW w:type="dxa" w:w="7200"/>
            <w:tcMar>
              <w:top w:w="60" w:type="dxa"/>
              <w:bottom w:w="60" w:type="dxa"/>
              <w:left w:w="80" w:type="dxa"/>
              <w:right w:w="80" w:type="dxa"/>
            </w:tcMar>
          </w:tcPr>
          <w:p>
            <w:r>
              <w:rPr>
                <w:rFonts w:ascii="Calibri" w:hAnsi="Calibri"/>
                <w:sz w:val="19"/>
              </w:rPr>
              <w:t>Production System Prompt v2.4 for Natural Language Generation</w:t>
            </w:r>
          </w:p>
        </w:tc>
      </w:tr>
      <w:tr>
        <w:tc>
          <w:tcPr>
            <w:tcW w:type="dxa" w:w="2160"/>
            <w:tcMar>
              <w:top w:w="60" w:type="dxa"/>
              <w:bottom w:w="60" w:type="dxa"/>
              <w:left w:w="80" w:type="dxa"/>
              <w:right w:w="80" w:type="dxa"/>
            </w:tcMar>
            <w:shd w:fill="F4F7F6"/>
          </w:tcPr>
          <w:p>
            <w:r>
              <w:rPr>
                <w:rFonts w:ascii="Arial" w:hAnsi="Arial"/>
                <w:b/>
                <w:color w:val="004D40"/>
                <w:sz w:val="19"/>
              </w:rPr>
              <w:t>Section 10</w:t>
            </w:r>
          </w:p>
        </w:tc>
        <w:tc>
          <w:tcPr>
            <w:tcW w:type="dxa" w:w="7200"/>
            <w:tcMar>
              <w:top w:w="60" w:type="dxa"/>
              <w:bottom w:w="60" w:type="dxa"/>
              <w:left w:w="80" w:type="dxa"/>
              <w:right w:w="80" w:type="dxa"/>
            </w:tcMar>
            <w:shd w:fill="F4F7F6"/>
          </w:tcPr>
          <w:p>
            <w:r>
              <w:rPr>
                <w:rFonts w:ascii="Calibri" w:hAnsi="Calibri"/>
                <w:sz w:val="19"/>
              </w:rPr>
              <w:t>What-If Simulator: Counterfactual Engine &amp; Technical Constraints</w:t>
            </w:r>
          </w:p>
        </w:tc>
      </w:tr>
      <w:tr>
        <w:tc>
          <w:tcPr>
            <w:tcW w:type="dxa" w:w="2160"/>
            <w:tcMar>
              <w:top w:w="60" w:type="dxa"/>
              <w:bottom w:w="60" w:type="dxa"/>
              <w:left w:w="80" w:type="dxa"/>
              <w:right w:w="80" w:type="dxa"/>
            </w:tcMar>
          </w:tcPr>
          <w:p>
            <w:r>
              <w:rPr>
                <w:rFonts w:ascii="Arial" w:hAnsi="Arial"/>
                <w:b/>
                <w:color w:val="004D40"/>
                <w:sz w:val="19"/>
              </w:rPr>
              <w:t>Section 11</w:t>
            </w:r>
          </w:p>
        </w:tc>
        <w:tc>
          <w:tcPr>
            <w:tcW w:type="dxa" w:w="7200"/>
            <w:tcMar>
              <w:top w:w="60" w:type="dxa"/>
              <w:bottom w:w="60" w:type="dxa"/>
              <w:left w:w="80" w:type="dxa"/>
              <w:right w:w="80" w:type="dxa"/>
            </w:tcMar>
          </w:tcPr>
          <w:p>
            <w:r>
              <w:rPr>
                <w:rFonts w:ascii="Calibri" w:hAnsi="Calibri"/>
                <w:sz w:val="19"/>
              </w:rPr>
              <w:t>TreeSHAP Performance Optimization &amp; Real-Time Caching Strategy</w:t>
            </w:r>
          </w:p>
        </w:tc>
      </w:tr>
      <w:tr>
        <w:tc>
          <w:tcPr>
            <w:tcW w:type="dxa" w:w="2160"/>
            <w:tcMar>
              <w:top w:w="60" w:type="dxa"/>
              <w:bottom w:w="60" w:type="dxa"/>
              <w:left w:w="80" w:type="dxa"/>
              <w:right w:w="80" w:type="dxa"/>
            </w:tcMar>
            <w:shd w:fill="F4F7F6"/>
          </w:tcPr>
          <w:p>
            <w:r>
              <w:rPr>
                <w:rFonts w:ascii="Arial" w:hAnsi="Arial"/>
                <w:b/>
                <w:color w:val="004D40"/>
                <w:sz w:val="19"/>
              </w:rPr>
              <w:t>Section 12</w:t>
            </w:r>
          </w:p>
        </w:tc>
        <w:tc>
          <w:tcPr>
            <w:tcW w:type="dxa" w:w="7200"/>
            <w:tcMar>
              <w:top w:w="60" w:type="dxa"/>
              <w:bottom w:w="60" w:type="dxa"/>
              <w:left w:w="80" w:type="dxa"/>
              <w:right w:w="80" w:type="dxa"/>
            </w:tcMar>
            <w:shd w:fill="F4F7F6"/>
          </w:tcPr>
          <w:p>
            <w:r>
              <w:rPr>
                <w:rFonts w:ascii="Calibri" w:hAnsi="Calibri"/>
                <w:sz w:val="19"/>
              </w:rPr>
              <w:t>Complete UI/UX Wireframes &amp; Component Design System</w:t>
            </w:r>
          </w:p>
        </w:tc>
      </w:tr>
      <w:tr>
        <w:tc>
          <w:tcPr>
            <w:tcW w:type="dxa" w:w="2160"/>
            <w:tcMar>
              <w:top w:w="60" w:type="dxa"/>
              <w:bottom w:w="60" w:type="dxa"/>
              <w:left w:w="80" w:type="dxa"/>
              <w:right w:w="80" w:type="dxa"/>
            </w:tcMar>
          </w:tcPr>
          <w:p>
            <w:r>
              <w:rPr>
                <w:rFonts w:ascii="Arial" w:hAnsi="Arial"/>
                <w:b/>
                <w:color w:val="004D40"/>
                <w:sz w:val="19"/>
              </w:rPr>
              <w:t>Section 13</w:t>
            </w:r>
          </w:p>
        </w:tc>
        <w:tc>
          <w:tcPr>
            <w:tcW w:type="dxa" w:w="7200"/>
            <w:tcMar>
              <w:top w:w="60" w:type="dxa"/>
              <w:bottom w:w="60" w:type="dxa"/>
              <w:left w:w="80" w:type="dxa"/>
              <w:right w:w="80" w:type="dxa"/>
            </w:tcMar>
          </w:tcPr>
          <w:p>
            <w:r>
              <w:rPr>
                <w:rFonts w:ascii="Calibri" w:hAnsi="Calibri"/>
                <w:sz w:val="19"/>
              </w:rPr>
              <w:t>The 'Truth Report' Audit-Ready PDF Specification</w:t>
            </w:r>
          </w:p>
        </w:tc>
      </w:tr>
    </w:tbl>
    <w:p>
      <w:pPr>
        <w:spacing w:before="40" w:after="240" w:line="276" w:lineRule="auto"/>
      </w:pPr>
      <w:r>
        <w:rPr>
          <w:rFonts w:ascii="Calibri" w:hAnsi="Calibri"/>
          <w:color w:val="1A1A1A"/>
          <w:sz w:val="21"/>
        </w:rPr>
      </w:r>
    </w:p>
    <w:p>
      <w:pPr>
        <w:keepNext/>
        <w:spacing w:before="440" w:after="120"/>
      </w:pPr>
      <w:r>
        <w:rPr>
          <w:rFonts w:ascii="Arial" w:hAnsi="Arial"/>
          <w:b/>
          <w:color w:val="004D40"/>
          <w:sz w:val="36"/>
        </w:rPr>
        <w:t>1. Strategic Vision &amp; Brand Foundation</w:t>
      </w:r>
    </w:p>
    <w:p>
      <w:pPr>
        <w:keepNext/>
        <w:spacing w:before="0" w:after="160"/>
      </w:pPr>
      <w:r>
        <w:rPr>
          <w:rFonts w:ascii="Arial" w:hAnsi="Arial"/>
          <w:color w:val="E07A5F"/>
          <w:sz w:val="16"/>
        </w:rPr>
        <w:t>―――――――――――――――――――――――――――――――――――――――――――――</w:t>
      </w:r>
    </w:p>
    <w:p>
      <w:pPr>
        <w:spacing w:before="40" w:after="120" w:line="276" w:lineRule="auto"/>
      </w:pPr>
      <w:r>
        <w:rPr>
          <w:rFonts w:ascii="Calibri" w:hAnsi="Calibri"/>
          <w:b/>
          <w:color w:val="1A1A1A"/>
          <w:sz w:val="21"/>
        </w:rPr>
        <w:t xml:space="preserve">The Market Problem: </w:t>
      </w:r>
      <w:r>
        <w:rPr>
          <w:rFonts w:ascii="Calibri" w:hAnsi="Calibri"/>
          <w:color w:val="1A1A1A"/>
          <w:sz w:val="21"/>
        </w:rPr>
        <w:t>Modern real estate marketplaces are broken. Incumbents like Zillow and Realtor.com have maximized lead arbitrage at the expense of data integrity and consumer trust. Their business models monetize buyer frustration: listings remain active long after homes go under contract, valuation algorithms ('Zestimates') act as opaque black boxes with volatile error rates, and consumer contact information is aggressively sold as leads to the highest-bidding agents.</w:t>
      </w:r>
    </w:p>
    <w:p>
      <w:pPr>
        <w:spacing w:before="40" w:after="120" w:line="276" w:lineRule="auto"/>
      </w:pPr>
      <w:r>
        <w:rPr>
          <w:rFonts w:ascii="Calibri" w:hAnsi="Calibri"/>
          <w:b/>
          <w:color w:val="1A1A1A"/>
          <w:sz w:val="21"/>
        </w:rPr>
        <w:t xml:space="preserve">The TruePlace Solution: </w:t>
      </w:r>
      <w:r>
        <w:rPr>
          <w:rFonts w:ascii="Calibri" w:hAnsi="Calibri"/>
          <w:color w:val="1A1A1A"/>
          <w:sz w:val="21"/>
        </w:rPr>
        <w:t>TruePlace is engineered from the ground up on the philosophy of 'Radical Trust + Radical Experience'. By prioritizing verified active inventory, transparent valuation math, zero-spam buyer privacy, and calm, delightful software design, TruePlace creates an unassailable competitive moat.</w:t>
      </w:r>
    </w:p>
    <w:tbl>
      <w:tblPr>
        <w:tblW w:type="auto" w:w="0"/>
        <w:jc w:val="center"/>
        <w:tblLayout w:type="fixed"/>
        <w:tblLook w:firstColumn="1" w:firstRow="1" w:lastColumn="0" w:lastRow="0" w:noHBand="0" w:noVBand="1" w:val="04A0"/>
      </w:tblPr>
      <w:tblGrid>
        <w:gridCol w:w="9360"/>
      </w:tblGrid>
      <w:tr>
        <w:tc>
          <w:tcPr>
            <w:tcW w:type="dxa" w:w="9360"/>
            <w:shd w:fill="F4F7F6"/>
            <w:tcMar>
              <w:top w:w="160" w:type="dxa"/>
              <w:bottom w:w="160" w:type="dxa"/>
              <w:left w:w="220" w:type="dxa"/>
              <w:right w:w="200" w:type="dxa"/>
            </w:tcMar>
            <w:tcBorders>
              <w:left w:val="single" w:sz="36" w:space="0" w:color="004D40"/>
              <w:top w:val="none"/>
              <w:right w:val="none"/>
              <w:bottom w:val="none"/>
            </w:tcBorders>
          </w:tcPr>
          <w:p>
            <w:pPr>
              <w:spacing w:before="40" w:after="80"/>
            </w:pPr>
            <w:r>
              <w:rPr>
                <w:rFonts w:ascii="Arial" w:hAnsi="Arial"/>
                <w:b/>
                <w:color w:val="004D40"/>
                <w:sz w:val="20"/>
              </w:rPr>
              <w:t>■ TRUEPLACE BRAND IDENTITY</w:t>
              <w:br/>
            </w:r>
          </w:p>
          <w:p>
            <w:pPr>
              <w:spacing w:before="40" w:after="40"/>
            </w:pPr>
            <w:r>
              <w:rPr>
                <w:rFonts w:ascii="Calibri" w:hAnsi="Calibri"/>
                <w:color w:val="1A1A1A"/>
                <w:sz w:val="20"/>
              </w:rPr>
              <w:t>Name: TruePlace™</w:t>
            </w:r>
          </w:p>
          <w:p>
            <w:pPr>
              <w:spacing w:before="40" w:after="40"/>
            </w:pPr>
            <w:r>
              <w:rPr>
                <w:rFonts w:ascii="Calibri" w:hAnsi="Calibri"/>
                <w:color w:val="1A1A1A"/>
                <w:sz w:val="20"/>
              </w:rPr>
              <w:t>Tagline: 'Real Homes. Real Data. Real Peace of Mind.'</w:t>
            </w:r>
          </w:p>
          <w:p>
            <w:pPr>
              <w:spacing w:before="40" w:after="40"/>
            </w:pPr>
            <w:r>
              <w:rPr>
                <w:rFonts w:ascii="Calibri" w:hAnsi="Calibri"/>
                <w:color w:val="1A1A1A"/>
                <w:sz w:val="20"/>
              </w:rPr>
              <w:t>Brand Promise: The only real estate platform that prioritizes truth, transparency, and extraordinary experience over advertising and lead generation.</w:t>
            </w:r>
          </w:p>
          <w:p>
            <w:pPr>
              <w:spacing w:before="40" w:after="40"/>
            </w:pPr>
            <w:r>
              <w:rPr>
                <w:rFonts w:ascii="Calibri" w:hAnsi="Calibri"/>
                <w:color w:val="1A1A1A"/>
                <w:sz w:val="20"/>
              </w:rPr>
              <w:t>Visual Direction: Deep Teal (#004D40), Warm Sand (#F5EDE1), and Terracotta (#E07A5F). Calm, premium, trustworthy, and human-centric.</w:t>
            </w:r>
          </w:p>
        </w:tc>
      </w:tr>
    </w:tbl>
    <w:p>
      <w:pPr>
        <w:spacing w:after="120"/>
      </w:pPr>
    </w:p>
    <w:p>
      <w:pPr>
        <w:keepNext/>
        <w:spacing w:before="280" w:after="80"/>
      </w:pPr>
      <w:r>
        <w:rPr>
          <w:rFonts w:ascii="Arial" w:hAnsi="Arial"/>
          <w:b/>
          <w:color w:val="004D40"/>
          <w:sz w:val="26"/>
        </w:rPr>
        <w:t>Core Operating Values</w:t>
      </w:r>
    </w:p>
    <w:p>
      <w:pPr>
        <w:spacing w:before="40" w:after="80" w:line="276" w:lineRule="auto"/>
      </w:pPr>
      <w:r>
        <w:rPr>
          <w:rFonts w:ascii="Calibri" w:hAnsi="Calibri"/>
          <w:color w:val="1A1A1A"/>
          <w:sz w:val="21"/>
        </w:rPr>
        <w:t>Every decision in the product, algorithm design, and business model adheres strictly to four core values:</w:t>
      </w:r>
    </w:p>
    <w:p>
      <w:pPr>
        <w:spacing w:before="40" w:after="60" w:line="276" w:lineRule="auto"/>
      </w:pPr>
      <w:r>
        <w:rPr>
          <w:rFonts w:ascii="Calibri" w:hAnsi="Calibri"/>
          <w:color w:val="1A1A1A"/>
          <w:sz w:val="21"/>
        </w:rPr>
        <w:t>1. Radical Transparency: Never show an estimate, ranking, or fee without explaining the underlying factors in plain, audit-ready English.</w:t>
      </w:r>
    </w:p>
    <w:p>
      <w:pPr>
        <w:spacing w:before="40" w:after="60" w:line="276" w:lineRule="auto"/>
      </w:pPr>
      <w:r>
        <w:rPr>
          <w:rFonts w:ascii="Calibri" w:hAnsi="Calibri"/>
          <w:color w:val="1A1A1A"/>
          <w:sz w:val="21"/>
        </w:rPr>
        <w:t>2. Intelligent Simplicity: Transform complex multi-variate statistical models into intuitive, calm, and actionable digital experiences.</w:t>
      </w:r>
    </w:p>
    <w:p>
      <w:pPr>
        <w:spacing w:before="40" w:after="60" w:line="276" w:lineRule="auto"/>
      </w:pPr>
      <w:r>
        <w:rPr>
          <w:rFonts w:ascii="Calibri" w:hAnsi="Calibri"/>
          <w:color w:val="1A1A1A"/>
          <w:sz w:val="21"/>
        </w:rPr>
        <w:t>3. Human + AI Excellence: Blend state-of-the-art predictive machine learning with certified appraiser and local market human review.</w:t>
      </w:r>
    </w:p>
    <w:p>
      <w:pPr>
        <w:spacing w:before="40" w:after="240" w:line="276" w:lineRule="auto"/>
      </w:pPr>
      <w:r>
        <w:rPr>
          <w:rFonts w:ascii="Calibri" w:hAnsi="Calibri"/>
          <w:color w:val="1A1A1A"/>
          <w:sz w:val="21"/>
        </w:rPr>
        <w:t>4. Absolute Respect for Time &amp; Privacy: Zero ghost listings, zero forced lead selling, zero unsolicited agent spam.</w:t>
      </w:r>
    </w:p>
    <w:p>
      <w:pPr>
        <w:keepNext/>
        <w:spacing w:before="440" w:after="120"/>
      </w:pPr>
      <w:r>
        <w:rPr>
          <w:rFonts w:ascii="Arial" w:hAnsi="Arial"/>
          <w:b/>
          <w:color w:val="004D40"/>
          <w:sz w:val="36"/>
        </w:rPr>
        <w:t>2. Competitive Moat: Outperforming Zillow &amp; Realtor.com</w:t>
      </w:r>
    </w:p>
    <w:p>
      <w:pPr>
        <w:keepNext/>
        <w:spacing w:before="0" w:after="160"/>
      </w:pPr>
      <w:r>
        <w:rPr>
          <w:rFonts w:ascii="Arial" w:hAnsi="Arial"/>
          <w:color w:val="E07A5F"/>
          <w:sz w:val="16"/>
        </w:rPr>
        <w:t>―――――――――――――――――――――――――――――――――――――――――――――</w:t>
      </w:r>
    </w:p>
    <w:p>
      <w:pPr>
        <w:spacing w:before="40" w:after="120" w:line="276" w:lineRule="auto"/>
      </w:pPr>
      <w:r>
        <w:rPr>
          <w:rFonts w:ascii="Calibri" w:hAnsi="Calibri"/>
          <w:color w:val="1A1A1A"/>
          <w:sz w:val="21"/>
        </w:rPr>
        <w:t>Zillow and Realtor.com dominate aggregate traffic, but suffer from critical structural weaknesses that create massive churn and consumer dissatisfaction. TruePlace directly addresses these vulnerabilities.</w:t>
      </w:r>
    </w:p>
    <w:tbl>
      <w:tblPr>
        <w:tblW w:type="auto" w:w="0"/>
        <w:jc w:val="center"/>
        <w:tblLayout w:type="fixed"/>
        <w:tblLook w:firstColumn="1" w:firstRow="1" w:lastColumn="0" w:lastRow="0" w:noHBand="0" w:noVBand="1" w:val="04A0"/>
        <w:tblBorders>
          <w:top w:val="single" w:sz="6" w:space="0" w:color="D3D3D3"/>
          <w:left w:val="none"/>
          <w:bottom w:val="single" w:sz="8" w:space="0" w:color="004D40"/>
          <w:right w:val="none"/>
          <w:insideH w:val="single" w:sz="4" w:space="0" w:color="D3D3D3"/>
          <w:insideV w:val="none"/>
        </w:tblBorders>
      </w:tblPr>
      <w:tblGrid>
        <w:gridCol w:w="3120"/>
        <w:gridCol w:w="3120"/>
        <w:gridCol w:w="3120"/>
      </w:tblGrid>
      <w:tr>
        <w:tc>
          <w:tcPr>
            <w:tcW w:type="dxa" w:w="1872"/>
            <w:tcMar>
              <w:top w:w="80" w:type="dxa"/>
              <w:bottom w:w="80" w:type="dxa"/>
              <w:left w:w="90" w:type="dxa"/>
              <w:right w:w="90" w:type="dxa"/>
            </w:tcMar>
            <w:shd w:fill="004D40"/>
          </w:tcPr>
          <w:p>
            <w:r>
              <w:rPr>
                <w:rFonts w:ascii="Arial" w:hAnsi="Arial"/>
                <w:b/>
                <w:color w:val="FFFFFF"/>
                <w:sz w:val="19"/>
              </w:rPr>
              <w:t>Area</w:t>
            </w:r>
          </w:p>
        </w:tc>
        <w:tc>
          <w:tcPr>
            <w:tcW w:type="dxa" w:w="3744"/>
            <w:tcMar>
              <w:top w:w="80" w:type="dxa"/>
              <w:bottom w:w="80" w:type="dxa"/>
              <w:left w:w="90" w:type="dxa"/>
              <w:right w:w="90" w:type="dxa"/>
            </w:tcMar>
            <w:shd w:fill="004D40"/>
          </w:tcPr>
          <w:p>
            <w:r>
              <w:rPr>
                <w:rFonts w:ascii="Arial" w:hAnsi="Arial"/>
                <w:b/>
                <w:color w:val="FFFFFF"/>
                <w:sz w:val="19"/>
              </w:rPr>
              <w:t>Zillow / Realtor.com Weakness</w:t>
            </w:r>
          </w:p>
        </w:tc>
        <w:tc>
          <w:tcPr>
            <w:tcW w:type="dxa" w:w="3744"/>
            <w:tcMar>
              <w:top w:w="80" w:type="dxa"/>
              <w:bottom w:w="80" w:type="dxa"/>
              <w:left w:w="90" w:type="dxa"/>
              <w:right w:w="90" w:type="dxa"/>
            </w:tcMar>
            <w:shd w:fill="004D40"/>
          </w:tcPr>
          <w:p>
            <w:r>
              <w:rPr>
                <w:rFonts w:ascii="Arial" w:hAnsi="Arial"/>
                <w:b/>
                <w:color w:val="FFFFFF"/>
                <w:sz w:val="19"/>
              </w:rPr>
              <w:t>TruePlace Superior Approach</w:t>
            </w:r>
          </w:p>
        </w:tc>
      </w:tr>
      <w:tr>
        <w:tc>
          <w:tcPr>
            <w:tcW w:type="dxa" w:w="1872"/>
            <w:tcMar>
              <w:top w:w="80" w:type="dxa"/>
              <w:bottom w:w="80" w:type="dxa"/>
              <w:left w:w="90" w:type="dxa"/>
              <w:right w:w="90" w:type="dxa"/>
            </w:tcMar>
            <w:shd w:fill="F4F7F6"/>
          </w:tcPr>
          <w:p>
            <w:r>
              <w:rPr>
                <w:rFonts w:ascii="Calibri" w:hAnsi="Calibri"/>
                <w:color w:val="1A1A1A"/>
                <w:sz w:val="18"/>
              </w:rPr>
              <w:t>Home Valuation</w:t>
            </w:r>
          </w:p>
        </w:tc>
        <w:tc>
          <w:tcPr>
            <w:tcW w:type="dxa" w:w="3744"/>
            <w:tcMar>
              <w:top w:w="80" w:type="dxa"/>
              <w:bottom w:w="80" w:type="dxa"/>
              <w:left w:w="90" w:type="dxa"/>
              <w:right w:w="90" w:type="dxa"/>
            </w:tcMar>
            <w:shd w:fill="F4F7F6"/>
          </w:tcPr>
          <w:p>
            <w:r>
              <w:rPr>
                <w:rFonts w:ascii="Calibri" w:hAnsi="Calibri"/>
                <w:color w:val="1A1A1A"/>
                <w:sz w:val="18"/>
              </w:rPr>
              <w:t>Zestimate / automated models are opaque black boxes with 7-12% median error rates.</w:t>
            </w:r>
          </w:p>
        </w:tc>
        <w:tc>
          <w:tcPr>
            <w:tcW w:type="dxa" w:w="3744"/>
            <w:tcMar>
              <w:top w:w="80" w:type="dxa"/>
              <w:bottom w:w="80" w:type="dxa"/>
              <w:left w:w="90" w:type="dxa"/>
              <w:right w:w="90" w:type="dxa"/>
            </w:tcMar>
            <w:shd w:fill="F4F7F6"/>
          </w:tcPr>
          <w:p>
            <w:r>
              <w:rPr>
                <w:rFonts w:ascii="Calibri" w:hAnsi="Calibri"/>
                <w:color w:val="1A1A1A"/>
                <w:sz w:val="18"/>
              </w:rPr>
              <w:t>TrueValue™ Hybrid AI + Human appraisal layer with strict MAPE &lt;= 3.5% and SHAP explainability.</w:t>
            </w:r>
          </w:p>
        </w:tc>
      </w:tr>
      <w:tr>
        <w:tc>
          <w:tcPr>
            <w:tcW w:type="dxa" w:w="1872"/>
            <w:tcMar>
              <w:top w:w="80" w:type="dxa"/>
              <w:bottom w:w="80" w:type="dxa"/>
              <w:left w:w="90" w:type="dxa"/>
              <w:right w:w="90" w:type="dxa"/>
            </w:tcMar>
          </w:tcPr>
          <w:p>
            <w:r>
              <w:rPr>
                <w:rFonts w:ascii="Calibri" w:hAnsi="Calibri"/>
                <w:color w:val="1A1A1A"/>
                <w:sz w:val="18"/>
              </w:rPr>
              <w:t>Listing Freshness</w:t>
            </w:r>
          </w:p>
        </w:tc>
        <w:tc>
          <w:tcPr>
            <w:tcW w:type="dxa" w:w="3744"/>
            <w:tcMar>
              <w:top w:w="80" w:type="dxa"/>
              <w:bottom w:w="80" w:type="dxa"/>
              <w:left w:w="90" w:type="dxa"/>
              <w:right w:w="90" w:type="dxa"/>
            </w:tcMar>
          </w:tcPr>
          <w:p>
            <w:r>
              <w:rPr>
                <w:rFonts w:ascii="Calibri" w:hAnsi="Calibri"/>
                <w:color w:val="1A1A1A"/>
                <w:sz w:val="18"/>
              </w:rPr>
              <w:t>Ghost listings and stale data remain online for weeks to generate fake lead volume.</w:t>
            </w:r>
          </w:p>
        </w:tc>
        <w:tc>
          <w:tcPr>
            <w:tcW w:type="dxa" w:w="3744"/>
            <w:tcMar>
              <w:top w:w="80" w:type="dxa"/>
              <w:bottom w:w="80" w:type="dxa"/>
              <w:left w:w="90" w:type="dxa"/>
              <w:right w:w="90" w:type="dxa"/>
            </w:tcMar>
          </w:tcPr>
          <w:p>
            <w:r>
              <w:rPr>
                <w:rFonts w:ascii="Calibri" w:hAnsi="Calibri"/>
                <w:color w:val="1A1A1A"/>
                <w:sz w:val="18"/>
              </w:rPr>
              <w:t>Verified Active Only: mandatory 48-hour automated &amp; broker confirmation or listing is deprioritized.</w:t>
            </w:r>
          </w:p>
        </w:tc>
      </w:tr>
      <w:tr>
        <w:tc>
          <w:tcPr>
            <w:tcW w:type="dxa" w:w="1872"/>
            <w:tcMar>
              <w:top w:w="80" w:type="dxa"/>
              <w:bottom w:w="80" w:type="dxa"/>
              <w:left w:w="90" w:type="dxa"/>
              <w:right w:w="90" w:type="dxa"/>
            </w:tcMar>
            <w:shd w:fill="F4F7F6"/>
          </w:tcPr>
          <w:p>
            <w:r>
              <w:rPr>
                <w:rFonts w:ascii="Calibri" w:hAnsi="Calibri"/>
                <w:color w:val="1A1A1A"/>
                <w:sz w:val="18"/>
              </w:rPr>
              <w:t>Agent Model</w:t>
            </w:r>
          </w:p>
        </w:tc>
        <w:tc>
          <w:tcPr>
            <w:tcW w:type="dxa" w:w="3744"/>
            <w:tcMar>
              <w:top w:w="80" w:type="dxa"/>
              <w:bottom w:w="80" w:type="dxa"/>
              <w:left w:w="90" w:type="dxa"/>
              <w:right w:w="90" w:type="dxa"/>
            </w:tcMar>
            <w:shd w:fill="F4F7F6"/>
          </w:tcPr>
          <w:p>
            <w:r>
              <w:rPr>
                <w:rFonts w:ascii="Calibri" w:hAnsi="Calibri"/>
                <w:color w:val="1A1A1A"/>
                <w:sz w:val="18"/>
              </w:rPr>
              <w:t>Predatory lead auctions charging 30-40% referral cuts or $100+ per unqualified phone lead.</w:t>
            </w:r>
          </w:p>
        </w:tc>
        <w:tc>
          <w:tcPr>
            <w:tcW w:type="dxa" w:w="3744"/>
            <w:tcMar>
              <w:top w:w="80" w:type="dxa"/>
              <w:bottom w:w="80" w:type="dxa"/>
              <w:left w:w="90" w:type="dxa"/>
              <w:right w:w="90" w:type="dxa"/>
            </w:tcMar>
            <w:shd w:fill="F4F7F6"/>
          </w:tcPr>
          <w:p>
            <w:r>
              <w:rPr>
                <w:rFonts w:ascii="Calibri" w:hAnsi="Calibri"/>
                <w:color w:val="1A1A1A"/>
                <w:sz w:val="18"/>
              </w:rPr>
              <w:t>Flat monthly zip code subscription and performance-based verified partner network.</w:t>
            </w:r>
          </w:p>
        </w:tc>
      </w:tr>
      <w:tr>
        <w:tc>
          <w:tcPr>
            <w:tcW w:type="dxa" w:w="1872"/>
            <w:tcMar>
              <w:top w:w="80" w:type="dxa"/>
              <w:bottom w:w="80" w:type="dxa"/>
              <w:left w:w="90" w:type="dxa"/>
              <w:right w:w="90" w:type="dxa"/>
            </w:tcMar>
          </w:tcPr>
          <w:p>
            <w:r>
              <w:rPr>
                <w:rFonts w:ascii="Calibri" w:hAnsi="Calibri"/>
                <w:color w:val="1A1A1A"/>
                <w:sz w:val="18"/>
              </w:rPr>
              <w:t>User Privacy</w:t>
            </w:r>
          </w:p>
        </w:tc>
        <w:tc>
          <w:tcPr>
            <w:tcW w:type="dxa" w:w="3744"/>
            <w:tcMar>
              <w:top w:w="80" w:type="dxa"/>
              <w:bottom w:w="80" w:type="dxa"/>
              <w:left w:w="90" w:type="dxa"/>
              <w:right w:w="90" w:type="dxa"/>
            </w:tcMar>
          </w:tcPr>
          <w:p>
            <w:r>
              <w:rPr>
                <w:rFonts w:ascii="Calibri" w:hAnsi="Calibri"/>
                <w:color w:val="1A1A1A"/>
                <w:sz w:val="18"/>
              </w:rPr>
              <w:t>Aggressive data brokers; user clicks immediately trigger multi-agent cold calling.</w:t>
            </w:r>
          </w:p>
        </w:tc>
        <w:tc>
          <w:tcPr>
            <w:tcW w:type="dxa" w:w="3744"/>
            <w:tcMar>
              <w:top w:w="80" w:type="dxa"/>
              <w:bottom w:w="80" w:type="dxa"/>
              <w:left w:w="90" w:type="dxa"/>
              <w:right w:w="90" w:type="dxa"/>
            </w:tcMar>
          </w:tcPr>
          <w:p>
            <w:r>
              <w:rPr>
                <w:rFonts w:ascii="Calibri" w:hAnsi="Calibri"/>
                <w:color w:val="1A1A1A"/>
                <w:sz w:val="18"/>
              </w:rPr>
              <w:t>'Ghost Mode' native privacy browsing; direct contact only upon explicit buyer authorization.</w:t>
            </w:r>
          </w:p>
        </w:tc>
      </w:tr>
      <w:tr>
        <w:tc>
          <w:tcPr>
            <w:tcW w:type="dxa" w:w="1872"/>
            <w:tcMar>
              <w:top w:w="80" w:type="dxa"/>
              <w:bottom w:w="80" w:type="dxa"/>
              <w:left w:w="90" w:type="dxa"/>
              <w:right w:w="90" w:type="dxa"/>
            </w:tcMar>
            <w:shd w:fill="F4F7F6"/>
          </w:tcPr>
          <w:p>
            <w:r>
              <w:rPr>
                <w:rFonts w:ascii="Calibri" w:hAnsi="Calibri"/>
                <w:color w:val="1A1A1A"/>
                <w:sz w:val="18"/>
              </w:rPr>
              <w:t>User Experience</w:t>
            </w:r>
          </w:p>
        </w:tc>
        <w:tc>
          <w:tcPr>
            <w:tcW w:type="dxa" w:w="3744"/>
            <w:tcMar>
              <w:top w:w="80" w:type="dxa"/>
              <w:bottom w:w="80" w:type="dxa"/>
              <w:left w:w="90" w:type="dxa"/>
              <w:right w:w="90" w:type="dxa"/>
            </w:tcMar>
            <w:shd w:fill="F4F7F6"/>
          </w:tcPr>
          <w:p>
            <w:r>
              <w:rPr>
                <w:rFonts w:ascii="Calibri" w:hAnsi="Calibri"/>
                <w:color w:val="1A1A1A"/>
                <w:sz w:val="18"/>
              </w:rPr>
              <w:t>Cluttered, ad-heavy, pop-up aggressive, stress-inducing interfaces.</w:t>
            </w:r>
          </w:p>
        </w:tc>
        <w:tc>
          <w:tcPr>
            <w:tcW w:type="dxa" w:w="3744"/>
            <w:tcMar>
              <w:top w:w="80" w:type="dxa"/>
              <w:bottom w:w="80" w:type="dxa"/>
              <w:left w:w="90" w:type="dxa"/>
              <w:right w:w="90" w:type="dxa"/>
            </w:tcMar>
            <w:shd w:fill="F4F7F6"/>
          </w:tcPr>
          <w:p>
            <w:r>
              <w:rPr>
                <w:rFonts w:ascii="Calibri" w:hAnsi="Calibri"/>
                <w:color w:val="1A1A1A"/>
                <w:sz w:val="18"/>
              </w:rPr>
              <w:t>Calm, minimalist UX with warm earth tones, zero third-party ads, and 60fps responsive tools.</w:t>
            </w:r>
          </w:p>
        </w:tc>
      </w:tr>
      <w:tr>
        <w:tc>
          <w:tcPr>
            <w:tcW w:type="dxa" w:w="1872"/>
            <w:tcMar>
              <w:top w:w="80" w:type="dxa"/>
              <w:bottom w:w="80" w:type="dxa"/>
              <w:left w:w="90" w:type="dxa"/>
              <w:right w:w="90" w:type="dxa"/>
            </w:tcMar>
          </w:tcPr>
          <w:p>
            <w:r>
              <w:rPr>
                <w:rFonts w:ascii="Calibri" w:hAnsi="Calibri"/>
                <w:color w:val="1A1A1A"/>
                <w:sz w:val="18"/>
              </w:rPr>
              <w:t>Decision Support</w:t>
            </w:r>
          </w:p>
        </w:tc>
        <w:tc>
          <w:tcPr>
            <w:tcW w:type="dxa" w:w="3744"/>
            <w:tcMar>
              <w:top w:w="80" w:type="dxa"/>
              <w:bottom w:w="80" w:type="dxa"/>
              <w:left w:w="90" w:type="dxa"/>
              <w:right w:w="90" w:type="dxa"/>
            </w:tcMar>
          </w:tcPr>
          <w:p>
            <w:r>
              <w:rPr>
                <w:rFonts w:ascii="Calibri" w:hAnsi="Calibri"/>
                <w:color w:val="1A1A1A"/>
                <w:sz w:val="18"/>
              </w:rPr>
              <w:t>Basic search filters and static public photos with no counterfactual modeling.</w:t>
            </w:r>
          </w:p>
        </w:tc>
        <w:tc>
          <w:tcPr>
            <w:tcW w:type="dxa" w:w="3744"/>
            <w:tcMar>
              <w:top w:w="80" w:type="dxa"/>
              <w:bottom w:w="80" w:type="dxa"/>
              <w:left w:w="90" w:type="dxa"/>
              <w:right w:w="90" w:type="dxa"/>
            </w:tcMar>
          </w:tcPr>
          <w:p>
            <w:r>
              <w:rPr>
                <w:rFonts w:ascii="Calibri" w:hAnsi="Calibri"/>
                <w:color w:val="1A1A1A"/>
                <w:sz w:val="18"/>
              </w:rPr>
              <w:t>AI Home Matchmaker, Instant Virtual Renovation, What-If Simulator, and Spatial Noise Simulation.</w:t>
            </w:r>
          </w:p>
        </w:tc>
      </w:tr>
    </w:tbl>
    <w:p>
      <w:pPr>
        <w:spacing w:before="40" w:after="240" w:line="276" w:lineRule="auto"/>
      </w:pPr>
      <w:r>
        <w:rPr>
          <w:rFonts w:ascii="Calibri" w:hAnsi="Calibri"/>
          <w:color w:val="1A1A1A"/>
          <w:sz w:val="21"/>
        </w:rPr>
      </w:r>
    </w:p>
    <w:p>
      <w:pPr>
        <w:keepNext/>
        <w:spacing w:before="440" w:after="120"/>
      </w:pPr>
      <w:r>
        <w:rPr>
          <w:rFonts w:ascii="Arial" w:hAnsi="Arial"/>
          <w:b/>
          <w:color w:val="004D40"/>
          <w:sz w:val="36"/>
        </w:rPr>
        <w:t>3. Product Roadmap &amp; Phased Execution</w:t>
      </w:r>
    </w:p>
    <w:p>
      <w:pPr>
        <w:keepNext/>
        <w:spacing w:before="0" w:after="160"/>
      </w:pPr>
      <w:r>
        <w:rPr>
          <w:rFonts w:ascii="Arial" w:hAnsi="Arial"/>
          <w:color w:val="E07A5F"/>
          <w:sz w:val="16"/>
        </w:rPr>
        <w:t>―――――――――――――――――――――――――――――――――――――――――――――</w:t>
      </w:r>
    </w:p>
    <w:p>
      <w:pPr>
        <w:spacing w:before="40" w:after="120" w:line="276" w:lineRule="auto"/>
      </w:pPr>
      <w:r>
        <w:rPr>
          <w:rFonts w:ascii="Calibri" w:hAnsi="Calibri"/>
          <w:color w:val="1A1A1A"/>
          <w:sz w:val="21"/>
        </w:rPr>
        <w:t>TruePlace follows a disciplined, value-first product development roadmap across three distinct phases:</w:t>
      </w:r>
    </w:p>
    <w:p>
      <w:pPr>
        <w:keepNext/>
        <w:spacing w:before="280" w:after="80"/>
      </w:pPr>
      <w:r>
        <w:rPr>
          <w:rFonts w:ascii="Arial" w:hAnsi="Arial"/>
          <w:b/>
          <w:color w:val="004D40"/>
          <w:sz w:val="26"/>
        </w:rPr>
        <w:t>Phase 1: MVP Foundation (Months 1–6) — Trust Baseline</w:t>
      </w:r>
    </w:p>
    <w:p>
      <w:pPr>
        <w:spacing w:before="40" w:after="120" w:line="276" w:lineRule="auto"/>
      </w:pPr>
      <w:r>
        <w:rPr>
          <w:rFonts w:ascii="Calibri" w:hAnsi="Calibri"/>
          <w:color w:val="1A1A1A"/>
          <w:sz w:val="21"/>
        </w:rPr>
        <w:t>Focus: Core real estate search, listing accuracy, and primary valuation engine in top 20 metro areas.</w:t>
      </w:r>
    </w:p>
    <w:p>
      <w:pPr>
        <w:spacing w:before="40" w:after="40" w:line="276" w:lineRule="auto"/>
      </w:pPr>
      <w:r>
        <w:rPr>
          <w:rFonts w:ascii="Calibri" w:hAnsi="Calibri"/>
          <w:color w:val="1A1A1A"/>
          <w:sz w:val="21"/>
        </w:rPr>
        <w:t>• Verified Active Search: MLS synchronization via RESO Web API with 48-hour active status verification.</w:t>
      </w:r>
    </w:p>
    <w:p>
      <w:pPr>
        <w:spacing w:before="40" w:after="40" w:line="276" w:lineRule="auto"/>
      </w:pPr>
      <w:r>
        <w:rPr>
          <w:rFonts w:ascii="Calibri" w:hAnsi="Calibri"/>
          <w:color w:val="1A1A1A"/>
          <w:sz w:val="21"/>
        </w:rPr>
        <w:t>• TrueValue™ Core: Gradient-boosted valuation model (LightGBM) with transparent confidence score (0-100%).</w:t>
      </w:r>
    </w:p>
    <w:p>
      <w:pPr>
        <w:spacing w:before="40" w:after="40" w:line="276" w:lineRule="auto"/>
      </w:pPr>
      <w:r>
        <w:rPr>
          <w:rFonts w:ascii="Calibri" w:hAnsi="Calibri"/>
          <w:color w:val="1A1A1A"/>
          <w:sz w:val="21"/>
        </w:rPr>
        <w:t>• FitScore Matchmaker: 8-question lifestyle profile matching buyer priorities to neighborhood amenities.</w:t>
      </w:r>
    </w:p>
    <w:p>
      <w:pPr>
        <w:spacing w:before="40" w:after="40" w:line="276" w:lineRule="auto"/>
      </w:pPr>
      <w:r>
        <w:rPr>
          <w:rFonts w:ascii="Calibri" w:hAnsi="Calibri"/>
          <w:color w:val="1A1A1A"/>
          <w:sz w:val="21"/>
        </w:rPr>
        <w:t>• Seller Self-Service: Free listing tool with AI listing description writer and pre-listing valuation range.</w:t>
      </w:r>
    </w:p>
    <w:p>
      <w:pPr>
        <w:spacing w:before="40" w:after="160" w:line="276" w:lineRule="auto"/>
      </w:pPr>
      <w:r>
        <w:rPr>
          <w:rFonts w:ascii="Calibri" w:hAnsi="Calibri"/>
          <w:color w:val="1A1A1A"/>
          <w:sz w:val="21"/>
        </w:rPr>
        <w:t>• Ghost Mode &amp; Privacy: Full search and exploration without phone number or email capture requirements.</w:t>
      </w:r>
    </w:p>
    <w:p>
      <w:pPr>
        <w:keepNext/>
        <w:spacing w:before="280" w:after="80"/>
      </w:pPr>
      <w:r>
        <w:rPr>
          <w:rFonts w:ascii="Arial" w:hAnsi="Arial"/>
          <w:b/>
          <w:color w:val="004D40"/>
          <w:sz w:val="26"/>
        </w:rPr>
        <w:t>Phase 2: V1.0 The Leap (Months 7–12) — Engagement &amp; Intelligence</w:t>
      </w:r>
    </w:p>
    <w:p>
      <w:pPr>
        <w:spacing w:before="40" w:after="120" w:line="276" w:lineRule="auto"/>
      </w:pPr>
      <w:r>
        <w:rPr>
          <w:rFonts w:ascii="Calibri" w:hAnsi="Calibri"/>
          <w:color w:val="1A1A1A"/>
          <w:sz w:val="21"/>
        </w:rPr>
        <w:t>Focus: Deep generative AI features, interactive simulations, and transactional confidence.</w:t>
      </w:r>
    </w:p>
    <w:p>
      <w:pPr>
        <w:spacing w:before="40" w:after="40" w:line="276" w:lineRule="auto"/>
      </w:pPr>
      <w:r>
        <w:rPr>
          <w:rFonts w:ascii="Calibri" w:hAnsi="Calibri"/>
          <w:color w:val="1A1A1A"/>
          <w:sz w:val="21"/>
        </w:rPr>
        <w:t>• Instant AI Renovation Studio: Real-time visual re-imagining of rooms across specified styles and budgets.</w:t>
      </w:r>
    </w:p>
    <w:p>
      <w:pPr>
        <w:spacing w:before="40" w:after="40" w:line="276" w:lineRule="auto"/>
      </w:pPr>
      <w:r>
        <w:rPr>
          <w:rFonts w:ascii="Calibri" w:hAnsi="Calibri"/>
          <w:color w:val="1A1A1A"/>
          <w:sz w:val="21"/>
        </w:rPr>
        <w:t>• What-If Simulator: Real-time counterfactual valuation recalculation for prospective renovations.</w:t>
      </w:r>
    </w:p>
    <w:p>
      <w:pPr>
        <w:spacing w:before="40" w:after="40" w:line="276" w:lineRule="auto"/>
      </w:pPr>
      <w:r>
        <w:rPr>
          <w:rFonts w:ascii="Calibri" w:hAnsi="Calibri"/>
          <w:color w:val="1A1A1A"/>
          <w:sz w:val="21"/>
        </w:rPr>
        <w:t>• Spatial Audio &amp; Street Noise Simulator: Psychoacoustic modeling of street noise, flight paths, and acoustic comfort.</w:t>
      </w:r>
    </w:p>
    <w:p>
      <w:pPr>
        <w:spacing w:before="40" w:after="40" w:line="276" w:lineRule="auto"/>
      </w:pPr>
      <w:r>
        <w:rPr>
          <w:rFonts w:ascii="Calibri" w:hAnsi="Calibri"/>
          <w:color w:val="1A1A1A"/>
          <w:sz w:val="21"/>
        </w:rPr>
        <w:t>• Verified Resident Reviews: Cryptographically/identity-verified reviews from former occupants.</w:t>
      </w:r>
    </w:p>
    <w:p>
      <w:pPr>
        <w:spacing w:before="40" w:after="160" w:line="276" w:lineRule="auto"/>
      </w:pPr>
      <w:r>
        <w:rPr>
          <w:rFonts w:ascii="Calibri" w:hAnsi="Calibri"/>
          <w:color w:val="1A1A1A"/>
          <w:sz w:val="21"/>
        </w:rPr>
        <w:t>• Transaction Transparency Dashboard: Step-by-step closing tracker with milestone documentation.</w:t>
      </w:r>
    </w:p>
    <w:p>
      <w:pPr>
        <w:keepNext/>
        <w:spacing w:before="280" w:after="80"/>
      </w:pPr>
      <w:r>
        <w:rPr>
          <w:rFonts w:ascii="Arial" w:hAnsi="Arial"/>
          <w:b/>
          <w:color w:val="004D40"/>
          <w:sz w:val="26"/>
        </w:rPr>
        <w:t>Phase 3: V2.0 National Scale (Months 13–24) — Market Transformation</w:t>
      </w:r>
    </w:p>
    <w:p>
      <w:pPr>
        <w:spacing w:before="40" w:after="120" w:line="276" w:lineRule="auto"/>
      </w:pPr>
      <w:r>
        <w:rPr>
          <w:rFonts w:ascii="Calibri" w:hAnsi="Calibri"/>
          <w:color w:val="1A1A1A"/>
          <w:sz w:val="21"/>
        </w:rPr>
        <w:t>Focus: National coverage, human-in-the-loop appraiser routing network, and WebXR/Vision Pro spatial tours.</w:t>
      </w:r>
    </w:p>
    <w:p>
      <w:pPr>
        <w:spacing w:before="40" w:after="40" w:line="276" w:lineRule="auto"/>
      </w:pPr>
      <w:r>
        <w:rPr>
          <w:rFonts w:ascii="Calibri" w:hAnsi="Calibri"/>
          <w:color w:val="1A1A1A"/>
          <w:sz w:val="21"/>
        </w:rPr>
        <w:t>• Nationwide MLS &amp; Tax Assessor Ingestion: Expansion across all 50 states and 3,143 counties.</w:t>
      </w:r>
    </w:p>
    <w:p>
      <w:pPr>
        <w:spacing w:before="40" w:after="40" w:line="276" w:lineRule="auto"/>
      </w:pPr>
      <w:r>
        <w:rPr>
          <w:rFonts w:ascii="Calibri" w:hAnsi="Calibri"/>
          <w:color w:val="1A1A1A"/>
          <w:sz w:val="21"/>
        </w:rPr>
        <w:t>• Human Appraiser On-Demand Network: Instant routing of low-confidence properties to licensed appraisers.</w:t>
      </w:r>
    </w:p>
    <w:p>
      <w:pPr>
        <w:spacing w:before="40" w:after="40" w:line="276" w:lineRule="auto"/>
      </w:pPr>
      <w:r>
        <w:rPr>
          <w:rFonts w:ascii="Calibri" w:hAnsi="Calibri"/>
          <w:color w:val="1A1A1A"/>
          <w:sz w:val="21"/>
        </w:rPr>
        <w:t>• Spatial WebXR &amp; Apple Vision Pro Tours: 1:1 true-scale photogrammetric walkthroughs with spatial audio.</w:t>
      </w:r>
    </w:p>
    <w:p>
      <w:pPr>
        <w:spacing w:before="40" w:after="240" w:line="276" w:lineRule="auto"/>
      </w:pPr>
      <w:r>
        <w:rPr>
          <w:rFonts w:ascii="Calibri" w:hAnsi="Calibri"/>
          <w:color w:val="1A1A1A"/>
          <w:sz w:val="21"/>
        </w:rPr>
        <w:t>• Institutional Data Intelligence API: Real-time macroeconomic and hyperlocal migration indices for funds.</w:t>
      </w:r>
    </w:p>
    <w:p>
      <w:pPr>
        <w:keepNext/>
        <w:spacing w:before="440" w:after="120"/>
      </w:pPr>
      <w:r>
        <w:rPr>
          <w:rFonts w:ascii="Arial" w:hAnsi="Arial"/>
          <w:b/>
          <w:color w:val="004D40"/>
          <w:sz w:val="36"/>
        </w:rPr>
        <w:t>4. Business &amp; Monetization Model</w:t>
      </w:r>
    </w:p>
    <w:p>
      <w:pPr>
        <w:keepNext/>
        <w:spacing w:before="0" w:after="160"/>
      </w:pPr>
      <w:r>
        <w:rPr>
          <w:rFonts w:ascii="Arial" w:hAnsi="Arial"/>
          <w:color w:val="E07A5F"/>
          <w:sz w:val="16"/>
        </w:rPr>
        <w:t>―――――――――――――――――――――――――――――――――――――――――――――</w:t>
      </w:r>
    </w:p>
    <w:p>
      <w:pPr>
        <w:spacing w:before="40" w:after="120" w:line="276" w:lineRule="auto"/>
      </w:pPr>
      <w:r>
        <w:rPr>
          <w:rFonts w:ascii="Calibri" w:hAnsi="Calibri"/>
          <w:color w:val="1A1A1A"/>
          <w:sz w:val="21"/>
        </w:rPr>
        <w:t>Zillow generates 65%+ of its revenue by extracting steep 'Premier Agent' tolls (often taking 35-40% of the buyer agent's commission) and bombarding buyers with phone calls. TruePlace aligns financial success with user and agent satisfaction through five diversified pillars.</w:t>
      </w:r>
    </w:p>
    <w:tbl>
      <w:tblPr>
        <w:tblW w:type="auto" w:w="0"/>
        <w:jc w:val="center"/>
        <w:tblLayout w:type="fixed"/>
        <w:tblLook w:firstColumn="1" w:firstRow="1" w:lastColumn="0" w:lastRow="0" w:noHBand="0" w:noVBand="1" w:val="04A0"/>
        <w:tblBorders>
          <w:top w:val="single" w:sz="6" w:space="0" w:color="D3D3D3"/>
          <w:left w:val="none"/>
          <w:bottom w:val="single" w:sz="8" w:space="0" w:color="004D40"/>
          <w:right w:val="none"/>
          <w:insideH w:val="single" w:sz="4" w:space="0" w:color="D3D3D3"/>
          <w:insideV w:val="none"/>
        </w:tblBorders>
      </w:tblPr>
      <w:tblGrid>
        <w:gridCol w:w="2340"/>
        <w:gridCol w:w="2340"/>
        <w:gridCol w:w="2340"/>
        <w:gridCol w:w="2340"/>
      </w:tblGrid>
      <w:tr>
        <w:tc>
          <w:tcPr>
            <w:tcW w:type="dxa" w:w="2160"/>
            <w:tcMar>
              <w:top w:w="70" w:type="dxa"/>
              <w:bottom w:w="70" w:type="dxa"/>
              <w:left w:w="80" w:type="dxa"/>
              <w:right w:w="80" w:type="dxa"/>
            </w:tcMar>
            <w:shd w:fill="004D40"/>
          </w:tcPr>
          <w:p>
            <w:r>
              <w:rPr>
                <w:rFonts w:ascii="Arial" w:hAnsi="Arial"/>
                <w:b/>
                <w:color w:val="FFFFFF"/>
                <w:sz w:val="18"/>
              </w:rPr>
              <w:t>Revenue Stream</w:t>
            </w:r>
          </w:p>
        </w:tc>
        <w:tc>
          <w:tcPr>
            <w:tcW w:type="dxa" w:w="2016"/>
            <w:tcMar>
              <w:top w:w="70" w:type="dxa"/>
              <w:bottom w:w="70" w:type="dxa"/>
              <w:left w:w="80" w:type="dxa"/>
              <w:right w:w="80" w:type="dxa"/>
            </w:tcMar>
            <w:shd w:fill="004D40"/>
          </w:tcPr>
          <w:p>
            <w:r>
              <w:rPr>
                <w:rFonts w:ascii="Arial" w:hAnsi="Arial"/>
                <w:b/>
                <w:color w:val="FFFFFF"/>
                <w:sz w:val="18"/>
              </w:rPr>
              <w:t>Target Segment</w:t>
            </w:r>
          </w:p>
        </w:tc>
        <w:tc>
          <w:tcPr>
            <w:tcW w:type="dxa" w:w="2736"/>
            <w:tcMar>
              <w:top w:w="70" w:type="dxa"/>
              <w:bottom w:w="70" w:type="dxa"/>
              <w:left w:w="80" w:type="dxa"/>
              <w:right w:w="80" w:type="dxa"/>
            </w:tcMar>
            <w:shd w:fill="004D40"/>
          </w:tcPr>
          <w:p>
            <w:r>
              <w:rPr>
                <w:rFonts w:ascii="Arial" w:hAnsi="Arial"/>
                <w:b/>
                <w:color w:val="FFFFFF"/>
                <w:sz w:val="18"/>
              </w:rPr>
              <w:t>Pricing Mechanism</w:t>
            </w:r>
          </w:p>
        </w:tc>
        <w:tc>
          <w:tcPr>
            <w:tcW w:type="dxa" w:w="2448"/>
            <w:tcMar>
              <w:top w:w="70" w:type="dxa"/>
              <w:bottom w:w="70" w:type="dxa"/>
              <w:left w:w="80" w:type="dxa"/>
              <w:right w:w="80" w:type="dxa"/>
            </w:tcMar>
            <w:shd w:fill="004D40"/>
          </w:tcPr>
          <w:p>
            <w:r>
              <w:rPr>
                <w:rFonts w:ascii="Arial" w:hAnsi="Arial"/>
                <w:b/>
                <w:color w:val="FFFFFF"/>
                <w:sz w:val="18"/>
              </w:rPr>
              <w:t>Unit Economics &amp; Margins</w:t>
            </w:r>
          </w:p>
        </w:tc>
      </w:tr>
      <w:tr>
        <w:tc>
          <w:tcPr>
            <w:tcW w:type="dxa" w:w="2160"/>
            <w:tcMar>
              <w:top w:w="70" w:type="dxa"/>
              <w:bottom w:w="70" w:type="dxa"/>
              <w:left w:w="80" w:type="dxa"/>
              <w:right w:w="80" w:type="dxa"/>
            </w:tcMar>
            <w:shd w:fill="F4F7F6"/>
          </w:tcPr>
          <w:p>
            <w:r>
              <w:rPr>
                <w:rFonts w:ascii="Calibri" w:hAnsi="Calibri"/>
                <w:color w:val="1A1A1A"/>
                <w:sz w:val="17"/>
              </w:rPr>
              <w:t>Premium Verified Listings</w:t>
            </w:r>
          </w:p>
        </w:tc>
        <w:tc>
          <w:tcPr>
            <w:tcW w:type="dxa" w:w="2016"/>
            <w:tcMar>
              <w:top w:w="70" w:type="dxa"/>
              <w:bottom w:w="70" w:type="dxa"/>
              <w:left w:w="80" w:type="dxa"/>
              <w:right w:w="80" w:type="dxa"/>
            </w:tcMar>
            <w:shd w:fill="F4F7F6"/>
          </w:tcPr>
          <w:p>
            <w:r>
              <w:rPr>
                <w:rFonts w:ascii="Calibri" w:hAnsi="Calibri"/>
                <w:color w:val="1A1A1A"/>
                <w:sz w:val="17"/>
              </w:rPr>
              <w:t>Home Sellers</w:t>
            </w:r>
          </w:p>
        </w:tc>
        <w:tc>
          <w:tcPr>
            <w:tcW w:type="dxa" w:w="2736"/>
            <w:tcMar>
              <w:top w:w="70" w:type="dxa"/>
              <w:bottom w:w="70" w:type="dxa"/>
              <w:left w:w="80" w:type="dxa"/>
              <w:right w:w="80" w:type="dxa"/>
            </w:tcMar>
            <w:shd w:fill="F4F7F6"/>
          </w:tcPr>
          <w:p>
            <w:r>
              <w:rPr>
                <w:rFonts w:ascii="Calibri" w:hAnsi="Calibri"/>
                <w:color w:val="1A1A1A"/>
                <w:sz w:val="17"/>
              </w:rPr>
              <w:t>$199 - $499 one-time verification fee per listing.</w:t>
            </w:r>
          </w:p>
        </w:tc>
        <w:tc>
          <w:tcPr>
            <w:tcW w:type="dxa" w:w="2448"/>
            <w:tcMar>
              <w:top w:w="70" w:type="dxa"/>
              <w:bottom w:w="70" w:type="dxa"/>
              <w:left w:w="80" w:type="dxa"/>
              <w:right w:w="80" w:type="dxa"/>
            </w:tcMar>
            <w:shd w:fill="F4F7F6"/>
          </w:tcPr>
          <w:p>
            <w:r>
              <w:rPr>
                <w:rFonts w:ascii="Calibri" w:hAnsi="Calibri"/>
                <w:color w:val="1A1A1A"/>
                <w:sz w:val="17"/>
              </w:rPr>
              <w:t>92% gross margin; includes 3D LiDAR scan verification and Truth Badge.</w:t>
            </w:r>
          </w:p>
        </w:tc>
      </w:tr>
      <w:tr>
        <w:tc>
          <w:tcPr>
            <w:tcW w:type="dxa" w:w="2160"/>
            <w:tcMar>
              <w:top w:w="70" w:type="dxa"/>
              <w:bottom w:w="70" w:type="dxa"/>
              <w:left w:w="80" w:type="dxa"/>
              <w:right w:w="80" w:type="dxa"/>
            </w:tcMar>
          </w:tcPr>
          <w:p>
            <w:r>
              <w:rPr>
                <w:rFonts w:ascii="Calibri" w:hAnsi="Calibri"/>
                <w:color w:val="1A1A1A"/>
                <w:sz w:val="17"/>
              </w:rPr>
              <w:t>Agent Partner Subscriptions</w:t>
            </w:r>
          </w:p>
        </w:tc>
        <w:tc>
          <w:tcPr>
            <w:tcW w:type="dxa" w:w="2016"/>
            <w:tcMar>
              <w:top w:w="70" w:type="dxa"/>
              <w:bottom w:w="70" w:type="dxa"/>
              <w:left w:w="80" w:type="dxa"/>
              <w:right w:w="80" w:type="dxa"/>
            </w:tcMar>
          </w:tcPr>
          <w:p>
            <w:r>
              <w:rPr>
                <w:rFonts w:ascii="Calibri" w:hAnsi="Calibri"/>
                <w:color w:val="1A1A1A"/>
                <w:sz w:val="17"/>
              </w:rPr>
              <w:t>Licensed Agents &amp; Brokers</w:t>
            </w:r>
          </w:p>
        </w:tc>
        <w:tc>
          <w:tcPr>
            <w:tcW w:type="dxa" w:w="2736"/>
            <w:tcMar>
              <w:top w:w="70" w:type="dxa"/>
              <w:bottom w:w="70" w:type="dxa"/>
              <w:left w:w="80" w:type="dxa"/>
              <w:right w:w="80" w:type="dxa"/>
            </w:tcMar>
          </w:tcPr>
          <w:p>
            <w:r>
              <w:rPr>
                <w:rFonts w:ascii="Calibri" w:hAnsi="Calibri"/>
                <w:color w:val="1A1A1A"/>
                <w:sz w:val="17"/>
              </w:rPr>
              <w:t>$149 - $399 flat monthly fee per primary zip code.</w:t>
            </w:r>
          </w:p>
        </w:tc>
        <w:tc>
          <w:tcPr>
            <w:tcW w:type="dxa" w:w="2448"/>
            <w:tcMar>
              <w:top w:w="70" w:type="dxa"/>
              <w:bottom w:w="70" w:type="dxa"/>
              <w:left w:w="80" w:type="dxa"/>
              <w:right w:w="80" w:type="dxa"/>
            </w:tcMar>
          </w:tcPr>
          <w:p>
            <w:r>
              <w:rPr>
                <w:rFonts w:ascii="Calibri" w:hAnsi="Calibri"/>
                <w:color w:val="1A1A1A"/>
                <w:sz w:val="17"/>
              </w:rPr>
              <w:t>88% gross margin; zero commission split clawback, capped agent count per zip.</w:t>
            </w:r>
          </w:p>
        </w:tc>
      </w:tr>
      <w:tr>
        <w:tc>
          <w:tcPr>
            <w:tcW w:type="dxa" w:w="2160"/>
            <w:tcMar>
              <w:top w:w="70" w:type="dxa"/>
              <w:bottom w:w="70" w:type="dxa"/>
              <w:left w:w="80" w:type="dxa"/>
              <w:right w:w="80" w:type="dxa"/>
            </w:tcMar>
            <w:shd w:fill="F4F7F6"/>
          </w:tcPr>
          <w:p>
            <w:r>
              <w:rPr>
                <w:rFonts w:ascii="Calibri" w:hAnsi="Calibri"/>
                <w:color w:val="1A1A1A"/>
                <w:sz w:val="17"/>
              </w:rPr>
              <w:t>Concierge &amp; Transaction Support</w:t>
            </w:r>
          </w:p>
        </w:tc>
        <w:tc>
          <w:tcPr>
            <w:tcW w:type="dxa" w:w="2016"/>
            <w:tcMar>
              <w:top w:w="70" w:type="dxa"/>
              <w:bottom w:w="70" w:type="dxa"/>
              <w:left w:w="80" w:type="dxa"/>
              <w:right w:w="80" w:type="dxa"/>
            </w:tcMar>
            <w:shd w:fill="F4F7F6"/>
          </w:tcPr>
          <w:p>
            <w:r>
              <w:rPr>
                <w:rFonts w:ascii="Calibri" w:hAnsi="Calibri"/>
                <w:color w:val="1A1A1A"/>
                <w:sz w:val="17"/>
              </w:rPr>
              <w:t>Buyers &amp; Sellers</w:t>
            </w:r>
          </w:p>
        </w:tc>
        <w:tc>
          <w:tcPr>
            <w:tcW w:type="dxa" w:w="2736"/>
            <w:tcMar>
              <w:top w:w="70" w:type="dxa"/>
              <w:bottom w:w="70" w:type="dxa"/>
              <w:left w:w="80" w:type="dxa"/>
              <w:right w:w="80" w:type="dxa"/>
            </w:tcMar>
            <w:shd w:fill="F4F7F6"/>
          </w:tcPr>
          <w:p>
            <w:r>
              <w:rPr>
                <w:rFonts w:ascii="Calibri" w:hAnsi="Calibri"/>
                <w:color w:val="1A1A1A"/>
                <w:sz w:val="17"/>
              </w:rPr>
              <w:t>0.25% - 0.50% closing fee on successful digital closings.</w:t>
            </w:r>
          </w:p>
        </w:tc>
        <w:tc>
          <w:tcPr>
            <w:tcW w:type="dxa" w:w="2448"/>
            <w:tcMar>
              <w:top w:w="70" w:type="dxa"/>
              <w:bottom w:w="70" w:type="dxa"/>
              <w:left w:w="80" w:type="dxa"/>
              <w:right w:w="80" w:type="dxa"/>
            </w:tcMar>
            <w:shd w:fill="F4F7F6"/>
          </w:tcPr>
          <w:p>
            <w:r>
              <w:rPr>
                <w:rFonts w:ascii="Calibri" w:hAnsi="Calibri"/>
                <w:color w:val="1A1A1A"/>
                <w:sz w:val="17"/>
              </w:rPr>
              <w:t>75% gross margin; covers automated title, escrow coordination, and AI paperwork review.</w:t>
            </w:r>
          </w:p>
        </w:tc>
      </w:tr>
      <w:tr>
        <w:tc>
          <w:tcPr>
            <w:tcW w:type="dxa" w:w="2160"/>
            <w:tcMar>
              <w:top w:w="70" w:type="dxa"/>
              <w:bottom w:w="70" w:type="dxa"/>
              <w:left w:w="80" w:type="dxa"/>
              <w:right w:w="80" w:type="dxa"/>
            </w:tcMar>
          </w:tcPr>
          <w:p>
            <w:r>
              <w:rPr>
                <w:rFonts w:ascii="Calibri" w:hAnsi="Calibri"/>
                <w:color w:val="1A1A1A"/>
                <w:sz w:val="17"/>
              </w:rPr>
              <w:t>Institutional Data Intelligence</w:t>
            </w:r>
          </w:p>
        </w:tc>
        <w:tc>
          <w:tcPr>
            <w:tcW w:type="dxa" w:w="2016"/>
            <w:tcMar>
              <w:top w:w="70" w:type="dxa"/>
              <w:bottom w:w="70" w:type="dxa"/>
              <w:left w:w="80" w:type="dxa"/>
              <w:right w:w="80" w:type="dxa"/>
            </w:tcMar>
          </w:tcPr>
          <w:p>
            <w:r>
              <w:rPr>
                <w:rFonts w:ascii="Calibri" w:hAnsi="Calibri"/>
                <w:color w:val="1A1A1A"/>
                <w:sz w:val="17"/>
              </w:rPr>
              <w:t>REITs, Hedge Funds, Urban Planners</w:t>
            </w:r>
          </w:p>
        </w:tc>
        <w:tc>
          <w:tcPr>
            <w:tcW w:type="dxa" w:w="2736"/>
            <w:tcMar>
              <w:top w:w="70" w:type="dxa"/>
              <w:bottom w:w="70" w:type="dxa"/>
              <w:left w:w="80" w:type="dxa"/>
              <w:right w:w="80" w:type="dxa"/>
            </w:tcMar>
          </w:tcPr>
          <w:p>
            <w:r>
              <w:rPr>
                <w:rFonts w:ascii="Calibri" w:hAnsi="Calibri"/>
                <w:color w:val="1A1A1A"/>
                <w:sz w:val="17"/>
              </w:rPr>
              <w:t>$25,000 - $120,000 annual API subscription licenses.</w:t>
            </w:r>
          </w:p>
        </w:tc>
        <w:tc>
          <w:tcPr>
            <w:tcW w:type="dxa" w:w="2448"/>
            <w:tcMar>
              <w:top w:w="70" w:type="dxa"/>
              <w:bottom w:w="70" w:type="dxa"/>
              <w:left w:w="80" w:type="dxa"/>
              <w:right w:w="80" w:type="dxa"/>
            </w:tcMar>
          </w:tcPr>
          <w:p>
            <w:r>
              <w:rPr>
                <w:rFonts w:ascii="Calibri" w:hAnsi="Calibri"/>
                <w:color w:val="1A1A1A"/>
                <w:sz w:val="17"/>
              </w:rPr>
              <w:t>96% gross margin; anonymized migration, permit velocity, and climate risk indices.</w:t>
            </w:r>
          </w:p>
        </w:tc>
      </w:tr>
      <w:tr>
        <w:tc>
          <w:tcPr>
            <w:tcW w:type="dxa" w:w="2160"/>
            <w:tcMar>
              <w:top w:w="70" w:type="dxa"/>
              <w:bottom w:w="70" w:type="dxa"/>
              <w:left w:w="80" w:type="dxa"/>
              <w:right w:w="80" w:type="dxa"/>
            </w:tcMar>
            <w:shd w:fill="F4F7F6"/>
          </w:tcPr>
          <w:p>
            <w:r>
              <w:rPr>
                <w:rFonts w:ascii="Calibri" w:hAnsi="Calibri"/>
                <w:color w:val="1A1A1A"/>
                <w:sz w:val="17"/>
              </w:rPr>
              <w:t>Mortgage &amp; Insurance Marketplace</w:t>
            </w:r>
          </w:p>
        </w:tc>
        <w:tc>
          <w:tcPr>
            <w:tcW w:type="dxa" w:w="2016"/>
            <w:tcMar>
              <w:top w:w="70" w:type="dxa"/>
              <w:bottom w:w="70" w:type="dxa"/>
              <w:left w:w="80" w:type="dxa"/>
              <w:right w:w="80" w:type="dxa"/>
            </w:tcMar>
            <w:shd w:fill="F4F7F6"/>
          </w:tcPr>
          <w:p>
            <w:r>
              <w:rPr>
                <w:rFonts w:ascii="Calibri" w:hAnsi="Calibri"/>
                <w:color w:val="1A1A1A"/>
                <w:sz w:val="17"/>
              </w:rPr>
              <w:t>Lenders &amp; Insurance Providers</w:t>
            </w:r>
          </w:p>
        </w:tc>
        <w:tc>
          <w:tcPr>
            <w:tcW w:type="dxa" w:w="2736"/>
            <w:tcMar>
              <w:top w:w="70" w:type="dxa"/>
              <w:bottom w:w="70" w:type="dxa"/>
              <w:left w:w="80" w:type="dxa"/>
              <w:right w:w="80" w:type="dxa"/>
            </w:tcMar>
            <w:shd w:fill="F4F7F6"/>
          </w:tcPr>
          <w:p>
            <w:r>
              <w:rPr>
                <w:rFonts w:ascii="Calibri" w:hAnsi="Calibri"/>
                <w:color w:val="1A1A1A"/>
                <w:sz w:val="17"/>
              </w:rPr>
              <w:t>Pre-negotiated origination revenue share ($800-$1,500/funded deal).</w:t>
            </w:r>
          </w:p>
        </w:tc>
        <w:tc>
          <w:tcPr>
            <w:tcW w:type="dxa" w:w="2448"/>
            <w:tcMar>
              <w:top w:w="70" w:type="dxa"/>
              <w:bottom w:w="70" w:type="dxa"/>
              <w:left w:w="80" w:type="dxa"/>
              <w:right w:w="80" w:type="dxa"/>
            </w:tcMar>
            <w:shd w:fill="F4F7F6"/>
          </w:tcPr>
          <w:p>
            <w:r>
              <w:rPr>
                <w:rFonts w:ascii="Calibri" w:hAnsi="Calibri"/>
                <w:color w:val="1A1A1A"/>
                <w:sz w:val="17"/>
              </w:rPr>
              <w:t>85% gross margin; native rate-lock and policy comparison inside the buyer dashboard.</w:t>
            </w:r>
          </w:p>
        </w:tc>
      </w:tr>
    </w:tbl>
    <w:p>
      <w:pPr>
        <w:spacing w:before="40" w:after="120" w:line="276" w:lineRule="auto"/>
      </w:pPr>
      <w:r>
        <w:rPr>
          <w:rFonts w:ascii="Calibri" w:hAnsi="Calibri"/>
          <w:color w:val="1A1A1A"/>
          <w:sz w:val="21"/>
        </w:rPr>
      </w:r>
    </w:p>
    <w:p>
      <w:pPr>
        <w:spacing w:before="40" w:after="120" w:line="276" w:lineRule="auto"/>
      </w:pPr>
      <w:r>
        <w:rPr>
          <w:rFonts w:ascii="Calibri" w:hAnsi="Calibri"/>
          <w:b/>
          <w:color w:val="1A1A1A"/>
          <w:sz w:val="21"/>
        </w:rPr>
        <w:t xml:space="preserve">Consumer Subscription (TrueValue Pro): </w:t>
      </w:r>
      <w:r>
        <w:rPr>
          <w:rFonts w:ascii="Calibri" w:hAnsi="Calibri"/>
          <w:color w:val="1A1A1A"/>
          <w:sz w:val="21"/>
        </w:rPr>
        <w:t>Additionally, TruePlace offers consumer TrueValue Pro ($9.99/month or $99/year), which unlocks unlimited What-If counterfactual scenario modeling, renovation ROI forecasting, historical price-trend exports, and downloadable Truth Report audit packages for negotiations.</w:t>
      </w:r>
    </w:p>
    <w:p>
      <w:pPr>
        <w:keepNext/>
        <w:spacing w:before="440" w:after="120"/>
      </w:pPr>
      <w:r>
        <w:rPr>
          <w:rFonts w:ascii="Arial" w:hAnsi="Arial"/>
          <w:b/>
          <w:color w:val="004D40"/>
          <w:sz w:val="36"/>
        </w:rPr>
        <w:t>5. System Architecture &amp; Engineering Technology Stack</w:t>
      </w:r>
    </w:p>
    <w:p>
      <w:pPr>
        <w:keepNext/>
        <w:spacing w:before="0" w:after="160"/>
      </w:pPr>
      <w:r>
        <w:rPr>
          <w:rFonts w:ascii="Arial" w:hAnsi="Arial"/>
          <w:color w:val="E07A5F"/>
          <w:sz w:val="16"/>
        </w:rPr>
        <w:t>―――――――――――――――――――――――――――――――――――――――――――――</w:t>
      </w:r>
    </w:p>
    <w:p>
      <w:pPr>
        <w:spacing w:before="40" w:after="120" w:line="276" w:lineRule="auto"/>
      </w:pPr>
      <w:r>
        <w:rPr>
          <w:rFonts w:ascii="Calibri" w:hAnsi="Calibri"/>
          <w:color w:val="1A1A1A"/>
          <w:sz w:val="21"/>
        </w:rPr>
        <w:t>TruePlace is architected as an event-driven, microservices-based system designed for low-latency interactive modeling, high-throughput geospatial querying, and rapid ML inference.</w:t>
      </w:r>
    </w:p>
    <w:tbl>
      <w:tblPr>
        <w:tblW w:type="auto" w:w="0"/>
        <w:jc w:val="center"/>
        <w:tblLayout w:type="fixed"/>
        <w:tblLook w:firstColumn="1" w:firstRow="1" w:lastColumn="0" w:lastRow="0" w:noHBand="0" w:noVBand="1" w:val="04A0"/>
      </w:tblPr>
      <w:tblGrid>
        <w:gridCol w:w="9360"/>
      </w:tblGrid>
      <w:tr>
        <w:tc>
          <w:tcPr>
            <w:tcW w:type="dxa" w:w="9360"/>
            <w:shd w:fill="F4F7F6"/>
            <w:tcMar>
              <w:top w:w="160" w:type="dxa"/>
              <w:bottom w:w="160" w:type="dxa"/>
              <w:left w:w="220" w:type="dxa"/>
              <w:right w:w="200" w:type="dxa"/>
            </w:tcMar>
            <w:tcBorders>
              <w:left w:val="single" w:sz="36" w:space="0" w:color="004D40"/>
              <w:top w:val="none"/>
              <w:right w:val="none"/>
              <w:bottom w:val="none"/>
            </w:tcBorders>
          </w:tcPr>
          <w:p>
            <w:pPr>
              <w:spacing w:before="40" w:after="80"/>
            </w:pPr>
            <w:r>
              <w:rPr>
                <w:rFonts w:ascii="Arial" w:hAnsi="Arial"/>
                <w:b/>
                <w:color w:val="004D40"/>
                <w:sz w:val="20"/>
              </w:rPr>
              <w:t>■ ENGINEERING STACK OVERVIEW</w:t>
              <w:br/>
            </w:r>
          </w:p>
          <w:p>
            <w:pPr>
              <w:spacing w:before="40" w:after="40"/>
            </w:pPr>
            <w:r>
              <w:rPr>
                <w:rFonts w:ascii="Calibri" w:hAnsi="Calibri"/>
                <w:color w:val="1A1A1A"/>
                <w:sz w:val="20"/>
              </w:rPr>
              <w:t>Frontend: Cross-platform React Native (iOS &amp; Android) + Next.js 15 (Web) sharing a single unified TypeScript component library and design system tokens.</w:t>
            </w:r>
          </w:p>
          <w:p>
            <w:pPr>
              <w:spacing w:before="40" w:after="40"/>
            </w:pPr>
            <w:r>
              <w:rPr>
                <w:rFonts w:ascii="Calibri" w:hAnsi="Calibri"/>
                <w:color w:val="1A1A1A"/>
                <w:sz w:val="20"/>
              </w:rPr>
              <w:t>Core Backend: Node.js / TypeScript microservices (NestJS) for user authentication, listing management, and messaging; Go services for high-throughput streaming feeds.</w:t>
            </w:r>
          </w:p>
          <w:p>
            <w:pPr>
              <w:spacing w:before="40" w:after="40"/>
            </w:pPr>
            <w:r>
              <w:rPr>
                <w:rFonts w:ascii="Calibri" w:hAnsi="Calibri"/>
                <w:color w:val="1A1A1A"/>
                <w:sz w:val="20"/>
              </w:rPr>
              <w:t>AI &amp; Valuation Microservice: Python FastAPI high-performance inference engine running LightGBM, TreeSHAP, and PyTorch computer vision pipelines.</w:t>
            </w:r>
          </w:p>
          <w:p>
            <w:pPr>
              <w:spacing w:before="40" w:after="40"/>
            </w:pPr>
            <w:r>
              <w:rPr>
                <w:rFonts w:ascii="Calibri" w:hAnsi="Calibri"/>
                <w:color w:val="1A1A1A"/>
                <w:sz w:val="20"/>
              </w:rPr>
              <w:t>Databases &amp; Stores: PostgreSQL with PostGIS extension for geospatial boundaries; TimescaleDB for historical valuation time-series; Redis 7 for sub-millisecond feature caching; Pinecone / Qdrant for vector embeddings.</w:t>
            </w:r>
          </w:p>
          <w:p>
            <w:pPr>
              <w:spacing w:before="40" w:after="40"/>
            </w:pPr>
            <w:r>
              <w:rPr>
                <w:rFonts w:ascii="Calibri" w:hAnsi="Calibri"/>
                <w:color w:val="1A1A1A"/>
                <w:sz w:val="20"/>
              </w:rPr>
              <w:t>Cartography &amp; Spatial: Mapbox GL custom vector tile engine; WebXR and Matterport 3D SDK for immersive digital twins.</w:t>
            </w:r>
          </w:p>
        </w:tc>
      </w:tr>
    </w:tbl>
    <w:p>
      <w:pPr>
        <w:spacing w:after="120"/>
      </w:pPr>
    </w:p>
    <w:p>
      <w:pPr>
        <w:keepNext/>
        <w:spacing w:before="440" w:after="120"/>
      </w:pPr>
      <w:r>
        <w:rPr>
          <w:rFonts w:ascii="Arial" w:hAnsi="Arial"/>
          <w:b/>
          <w:color w:val="004D40"/>
          <w:sz w:val="36"/>
        </w:rPr>
        <w:t>6. TrueValue™ Valuation Engine: 7-Layer Deep Dive</w:t>
      </w:r>
    </w:p>
    <w:p>
      <w:pPr>
        <w:keepNext/>
        <w:spacing w:before="0" w:after="160"/>
      </w:pPr>
      <w:r>
        <w:rPr>
          <w:rFonts w:ascii="Arial" w:hAnsi="Arial"/>
          <w:color w:val="E07A5F"/>
          <w:sz w:val="16"/>
        </w:rPr>
        <w:t>―――――――――――――――――――――――――――――――――――――――――――――</w:t>
      </w:r>
    </w:p>
    <w:p>
      <w:pPr>
        <w:spacing w:before="40" w:after="120" w:line="276" w:lineRule="auto"/>
      </w:pPr>
      <w:r>
        <w:rPr>
          <w:rFonts w:ascii="Calibri" w:hAnsi="Calibri"/>
          <w:color w:val="1A1A1A"/>
          <w:sz w:val="21"/>
        </w:rPr>
        <w:t>The TrueValue™ Engine represents the core intellectual property of TruePlace. While traditional Automated Valuation Models (AVMs) operate as black-box regressors on basic square footage and zip code averages, TrueValue orchestrates a 7-Layer hybrid intelligence hierarchy combining multimodal computer vision, structural permits, geospatial dynamics, ensemble modeling, human appraiser validation, and mathematical explainability.</w:t>
      </w:r>
    </w:p>
    <w:tbl>
      <w:tblPr>
        <w:tblW w:type="auto" w:w="0"/>
        <w:jc w:val="center"/>
        <w:tblLayout w:type="fixed"/>
        <w:tblLook w:firstColumn="1" w:firstRow="1" w:lastColumn="0" w:lastRow="0" w:noHBand="0" w:noVBand="1" w:val="04A0"/>
      </w:tblPr>
      <w:tblGrid>
        <w:gridCol w:w="9360"/>
      </w:tblGrid>
      <w:tr>
        <w:tc>
          <w:tcPr>
            <w:tcW w:type="dxa" w:w="9360"/>
            <w:shd w:fill="F4F7F6"/>
            <w:tcMar>
              <w:top w:w="160" w:type="dxa"/>
              <w:bottom w:w="160" w:type="dxa"/>
              <w:left w:w="220" w:type="dxa"/>
              <w:right w:w="200" w:type="dxa"/>
            </w:tcMar>
            <w:tcBorders>
              <w:left w:val="single" w:sz="36" w:space="0" w:color="004D40"/>
              <w:top w:val="none"/>
              <w:right w:val="none"/>
              <w:bottom w:val="none"/>
            </w:tcBorders>
          </w:tcPr>
          <w:p>
            <w:pPr>
              <w:spacing w:before="40" w:after="80"/>
            </w:pPr>
            <w:r>
              <w:rPr>
                <w:rFonts w:ascii="Arial" w:hAnsi="Arial"/>
                <w:b/>
                <w:color w:val="004D40"/>
                <w:sz w:val="20"/>
              </w:rPr>
              <w:t>■ TRUEVALUE™ OPERATING BENCHMARKS</w:t>
              <w:br/>
            </w:r>
          </w:p>
          <w:p>
            <w:pPr>
              <w:spacing w:before="40" w:after="40"/>
            </w:pPr>
            <w:r>
              <w:rPr>
                <w:rFonts w:ascii="Calibri" w:hAnsi="Calibri"/>
                <w:color w:val="1A1A1A"/>
                <w:sz w:val="20"/>
              </w:rPr>
              <w:t>Target Accuracy Goal: Median Absolute Percentage Error (MAPE) &lt;= 3.5% on closed transactions within 12 months (vs. Zestimate typical 7% - 12%).</w:t>
            </w:r>
          </w:p>
          <w:p>
            <w:pPr>
              <w:spacing w:before="40" w:after="40"/>
            </w:pPr>
            <w:r>
              <w:rPr>
                <w:rFonts w:ascii="Calibri" w:hAnsi="Calibri"/>
                <w:color w:val="1A1A1A"/>
                <w:sz w:val="20"/>
              </w:rPr>
              <w:t>Confidence Scoring: Every estimate is accompanied by a transparent Confidence Score (0 - 100%) reflecting local comp density, feature completeness, and market volatility.</w:t>
            </w:r>
          </w:p>
          <w:p>
            <w:pPr>
              <w:spacing w:before="40" w:after="40"/>
            </w:pPr>
            <w:r>
              <w:rPr>
                <w:rFonts w:ascii="Calibri" w:hAnsi="Calibri"/>
                <w:color w:val="1A1A1A"/>
                <w:sz w:val="20"/>
              </w:rPr>
              <w:t>Human Escalation: Valuations dropping below 75% confidence threshold automatically route to licensed regional appraisers before publication.</w:t>
            </w:r>
          </w:p>
        </w:tc>
      </w:tr>
    </w:tbl>
    <w:p>
      <w:pPr>
        <w:spacing w:after="120"/>
      </w:pPr>
    </w:p>
    <w:p>
      <w:pPr>
        <w:keepNext/>
        <w:spacing w:before="280" w:after="80"/>
      </w:pPr>
      <w:r>
        <w:rPr>
          <w:rFonts w:ascii="Arial" w:hAnsi="Arial"/>
          <w:b/>
          <w:color w:val="004D40"/>
          <w:sz w:val="26"/>
        </w:rPr>
        <w:t>The 7 Architectural Layers</w:t>
      </w:r>
    </w:p>
    <w:p>
      <w:pPr>
        <w:keepNext/>
        <w:spacing w:before="200" w:after="40"/>
      </w:pPr>
      <w:r>
        <w:rPr>
          <w:rFonts w:ascii="Arial" w:hAnsi="Arial"/>
          <w:b/>
          <w:color w:val="1A1A1A"/>
          <w:sz w:val="22"/>
        </w:rPr>
        <w:t>Layer 1: Foundational Property Data</w:t>
      </w:r>
    </w:p>
    <w:p>
      <w:pPr>
        <w:spacing w:before="40" w:after="80" w:line="276" w:lineRule="auto"/>
      </w:pPr>
      <w:r>
        <w:rPr>
          <w:rFonts w:ascii="Calibri" w:hAnsi="Calibri"/>
          <w:color w:val="1A1A1A"/>
          <w:sz w:val="21"/>
        </w:rPr>
        <w:t>Ingests official MLS records via RESO Web API, county tax assessor deed registries, building permit filings, Maxar/Planet satellite imagery, FEMA flood designations, and First Street Foundation climate risk scores.</w:t>
      </w:r>
    </w:p>
    <w:p>
      <w:pPr>
        <w:keepNext/>
        <w:spacing w:before="200" w:after="40"/>
      </w:pPr>
      <w:r>
        <w:rPr>
          <w:rFonts w:ascii="Arial" w:hAnsi="Arial"/>
          <w:b/>
          <w:color w:val="1A1A1A"/>
          <w:sz w:val="22"/>
        </w:rPr>
        <w:t>Layer 2: Hyper-Local Market Dynamics</w:t>
      </w:r>
    </w:p>
    <w:p>
      <w:pPr>
        <w:spacing w:before="40" w:after="80" w:line="276" w:lineRule="auto"/>
      </w:pPr>
      <w:r>
        <w:rPr>
          <w:rFonts w:ascii="Calibri" w:hAnsi="Calibri"/>
          <w:color w:val="1A1A1A"/>
          <w:sz w:val="21"/>
        </w:rPr>
        <w:t>Computes micro-neighborhood comps within 0.25 - 0.75 mile radii, tracking median Days on Market (DOM), price per square foot velocity at the street-level, buyer migration demographics, and new construction development pipelines.</w:t>
      </w:r>
    </w:p>
    <w:p>
      <w:pPr>
        <w:keepNext/>
        <w:spacing w:before="200" w:after="40"/>
      </w:pPr>
      <w:r>
        <w:rPr>
          <w:rFonts w:ascii="Arial" w:hAnsi="Arial"/>
          <w:b/>
          <w:color w:val="1A1A1A"/>
          <w:sz w:val="22"/>
        </w:rPr>
        <w:t>Layer 3: Property Condition Intelligence</w:t>
      </w:r>
    </w:p>
    <w:p>
      <w:pPr>
        <w:spacing w:before="40" w:after="80" w:line="276" w:lineRule="auto"/>
      </w:pPr>
      <w:r>
        <w:rPr>
          <w:rFonts w:ascii="Calibri" w:hAnsi="Calibri"/>
          <w:color w:val="1A1A1A"/>
          <w:sz w:val="21"/>
        </w:rPr>
        <w:t>Computer vision deep neural networks (Swin Transformer / ResNet-50) analyze listing photographs and street view imagery to estimate finish quality, architectural era, kitchen/bath modernization, roof degradation, and unpermitted modifications.</w:t>
      </w:r>
    </w:p>
    <w:p>
      <w:pPr>
        <w:keepNext/>
        <w:spacing w:before="200" w:after="40"/>
      </w:pPr>
      <w:r>
        <w:rPr>
          <w:rFonts w:ascii="Arial" w:hAnsi="Arial"/>
          <w:b/>
          <w:color w:val="1A1A1A"/>
          <w:sz w:val="22"/>
        </w:rPr>
        <w:t>Layer 4: Predictive AI Ensemble Models</w:t>
      </w:r>
    </w:p>
    <w:p>
      <w:pPr>
        <w:spacing w:before="40" w:after="80" w:line="276" w:lineRule="auto"/>
      </w:pPr>
      <w:r>
        <w:rPr>
          <w:rFonts w:ascii="Calibri" w:hAnsi="Calibri"/>
          <w:color w:val="1A1A1A"/>
          <w:sz w:val="21"/>
        </w:rPr>
        <w:t>A multi-stage stacking ensemble comprising LightGBM (gradient boosted trees), TabNet (deep tabular neural networks), and specialized temporal decay regressors forecasting price trajectories across 3, 6, and 12-month horizons.</w:t>
      </w:r>
    </w:p>
    <w:p>
      <w:pPr>
        <w:keepNext/>
        <w:spacing w:before="200" w:after="40"/>
      </w:pPr>
      <w:r>
        <w:rPr>
          <w:rFonts w:ascii="Arial" w:hAnsi="Arial"/>
          <w:b/>
          <w:color w:val="1A1A1A"/>
          <w:sz w:val="22"/>
        </w:rPr>
        <w:t>Layer 5: Human Expert Review Layer</w:t>
      </w:r>
    </w:p>
    <w:p>
      <w:pPr>
        <w:spacing w:before="40" w:after="80" w:line="276" w:lineRule="auto"/>
      </w:pPr>
      <w:r>
        <w:rPr>
          <w:rFonts w:ascii="Calibri" w:hAnsi="Calibri"/>
          <w:color w:val="1A1A1A"/>
          <w:sz w:val="21"/>
        </w:rPr>
        <w:t>The 'Secret Sauce': High-value luxury residences, unique rural properties, or low-confidence valuations are routed to a network of licensed local appraisers who perform rapid desktop audits and provide transparent override notes.</w:t>
      </w:r>
    </w:p>
    <w:p>
      <w:pPr>
        <w:keepNext/>
        <w:spacing w:before="200" w:after="40"/>
      </w:pPr>
      <w:r>
        <w:rPr>
          <w:rFonts w:ascii="Arial" w:hAnsi="Arial"/>
          <w:b/>
          <w:color w:val="1A1A1A"/>
          <w:sz w:val="22"/>
        </w:rPr>
        <w:t>Layer 6: Continuous Market Feedback Loop</w:t>
      </w:r>
    </w:p>
    <w:p>
      <w:pPr>
        <w:spacing w:before="40" w:after="80" w:line="276" w:lineRule="auto"/>
      </w:pPr>
      <w:r>
        <w:rPr>
          <w:rFonts w:ascii="Calibri" w:hAnsi="Calibri"/>
          <w:color w:val="1A1A1A"/>
          <w:sz w:val="21"/>
        </w:rPr>
        <w:t>Every closed transaction triggers automated model retraining pipelines. Retraining occurs on weekly cadences, with automated drift detection comparing predicted vs. actual closing prices to continuously refine feature weights.</w:t>
      </w:r>
    </w:p>
    <w:p>
      <w:pPr>
        <w:keepNext/>
        <w:spacing w:before="200" w:after="40"/>
      </w:pPr>
      <w:r>
        <w:rPr>
          <w:rFonts w:ascii="Arial" w:hAnsi="Arial"/>
          <w:b/>
          <w:color w:val="1A1A1A"/>
          <w:sz w:val="22"/>
        </w:rPr>
        <w:t>Layer 7: Explainability &amp; Transparency Layer</w:t>
      </w:r>
    </w:p>
    <w:p>
      <w:pPr>
        <w:spacing w:before="40" w:after="80" w:line="276" w:lineRule="auto"/>
      </w:pPr>
      <w:r>
        <w:rPr>
          <w:rFonts w:ascii="Calibri" w:hAnsi="Calibri"/>
          <w:color w:val="1A1A1A"/>
          <w:sz w:val="21"/>
        </w:rPr>
        <w:t>TreeSHAP (Tree Shapley Additive exPlanations) extracts mathematical feature contributions, which are mapped into 6 human categories and converted into plain-English narratives via an audited LLM engine.</w:t>
      </w:r>
    </w:p>
    <w:p>
      <w:pPr>
        <w:keepNext/>
        <w:spacing w:before="440" w:after="120"/>
      </w:pPr>
      <w:r>
        <w:rPr>
          <w:rFonts w:ascii="Arial" w:hAnsi="Arial"/>
          <w:b/>
          <w:color w:val="004D40"/>
          <w:sz w:val="36"/>
        </w:rPr>
        <w:t>7. Data Ingestion Hierarchy, RESO APIs &amp; Feature Stores</w:t>
      </w:r>
    </w:p>
    <w:p>
      <w:pPr>
        <w:keepNext/>
        <w:spacing w:before="0" w:after="160"/>
      </w:pPr>
      <w:r>
        <w:rPr>
          <w:rFonts w:ascii="Arial" w:hAnsi="Arial"/>
          <w:color w:val="E07A5F"/>
          <w:sz w:val="16"/>
        </w:rPr>
        <w:t>―――――――――――――――――――――――――――――――――――――――――――――</w:t>
      </w:r>
    </w:p>
    <w:p>
      <w:pPr>
        <w:spacing w:before="40" w:after="120" w:line="276" w:lineRule="auto"/>
      </w:pPr>
      <w:r>
        <w:rPr>
          <w:rFonts w:ascii="Calibri" w:hAnsi="Calibri"/>
          <w:color w:val="1A1A1A"/>
          <w:sz w:val="21"/>
        </w:rPr>
        <w:t>To power the 7-Layer engine, data is ingested across seven prioritized data streams with strict validation contracts:</w:t>
      </w:r>
    </w:p>
    <w:tbl>
      <w:tblPr>
        <w:tblW w:type="auto" w:w="0"/>
        <w:jc w:val="center"/>
        <w:tblLayout w:type="fixed"/>
        <w:tblLook w:firstColumn="1" w:firstRow="1" w:lastColumn="0" w:lastRow="0" w:noHBand="0" w:noVBand="1" w:val="04A0"/>
        <w:tblBorders>
          <w:top w:val="single" w:sz="6" w:space="0" w:color="D3D3D3"/>
          <w:left w:val="none"/>
          <w:bottom w:val="single" w:sz="8" w:space="0" w:color="004D40"/>
          <w:right w:val="none"/>
          <w:insideH w:val="single" w:sz="4" w:space="0" w:color="D3D3D3"/>
          <w:insideV w:val="none"/>
        </w:tblBorders>
      </w:tblPr>
      <w:tblGrid>
        <w:gridCol w:w="1872"/>
        <w:gridCol w:w="1872"/>
        <w:gridCol w:w="1872"/>
        <w:gridCol w:w="1872"/>
        <w:gridCol w:w="1872"/>
      </w:tblGrid>
      <w:tr>
        <w:tc>
          <w:tcPr>
            <w:tcW w:type="dxa" w:w="720"/>
            <w:tcMar>
              <w:top w:w="60" w:type="dxa"/>
              <w:bottom w:w="60" w:type="dxa"/>
              <w:left w:w="70" w:type="dxa"/>
              <w:right w:w="70" w:type="dxa"/>
            </w:tcMar>
            <w:shd w:fill="004D40"/>
          </w:tcPr>
          <w:p>
            <w:r>
              <w:rPr>
                <w:rFonts w:ascii="Arial" w:hAnsi="Arial"/>
                <w:b/>
                <w:color w:val="FFFFFF"/>
                <w:sz w:val="17"/>
              </w:rPr>
              <w:t>Pri</w:t>
            </w:r>
          </w:p>
        </w:tc>
        <w:tc>
          <w:tcPr>
            <w:tcW w:type="dxa" w:w="2304"/>
            <w:tcMar>
              <w:top w:w="60" w:type="dxa"/>
              <w:bottom w:w="60" w:type="dxa"/>
              <w:left w:w="70" w:type="dxa"/>
              <w:right w:w="70" w:type="dxa"/>
            </w:tcMar>
            <w:shd w:fill="004D40"/>
          </w:tcPr>
          <w:p>
            <w:r>
              <w:rPr>
                <w:rFonts w:ascii="Arial" w:hAnsi="Arial"/>
                <w:b/>
                <w:color w:val="FFFFFF"/>
                <w:sz w:val="17"/>
              </w:rPr>
              <w:t>Data Source</w:t>
            </w:r>
          </w:p>
        </w:tc>
        <w:tc>
          <w:tcPr>
            <w:tcW w:type="dxa" w:w="3168"/>
            <w:tcMar>
              <w:top w:w="60" w:type="dxa"/>
              <w:bottom w:w="60" w:type="dxa"/>
              <w:left w:w="70" w:type="dxa"/>
              <w:right w:w="70" w:type="dxa"/>
            </w:tcMar>
            <w:shd w:fill="004D40"/>
          </w:tcPr>
          <w:p>
            <w:r>
              <w:rPr>
                <w:rFonts w:ascii="Arial" w:hAnsi="Arial"/>
                <w:b/>
                <w:color w:val="FFFFFF"/>
                <w:sz w:val="17"/>
              </w:rPr>
              <w:t>Payload Content</w:t>
            </w:r>
          </w:p>
        </w:tc>
        <w:tc>
          <w:tcPr>
            <w:tcW w:type="dxa" w:w="1728"/>
            <w:tcMar>
              <w:top w:w="60" w:type="dxa"/>
              <w:bottom w:w="60" w:type="dxa"/>
              <w:left w:w="70" w:type="dxa"/>
              <w:right w:w="70" w:type="dxa"/>
            </w:tcMar>
            <w:shd w:fill="004D40"/>
          </w:tcPr>
          <w:p>
            <w:r>
              <w:rPr>
                <w:rFonts w:ascii="Arial" w:hAnsi="Arial"/>
                <w:b/>
                <w:color w:val="FFFFFF"/>
                <w:sz w:val="17"/>
              </w:rPr>
              <w:t>Ingestion Cadence</w:t>
            </w:r>
          </w:p>
        </w:tc>
        <w:tc>
          <w:tcPr>
            <w:tcW w:type="dxa" w:w="1440"/>
            <w:tcMar>
              <w:top w:w="60" w:type="dxa"/>
              <w:bottom w:w="60" w:type="dxa"/>
              <w:left w:w="70" w:type="dxa"/>
              <w:right w:w="70" w:type="dxa"/>
            </w:tcMar>
            <w:shd w:fill="004D40"/>
          </w:tcPr>
          <w:p>
            <w:r>
              <w:rPr>
                <w:rFonts w:ascii="Arial" w:hAnsi="Arial"/>
                <w:b/>
                <w:color w:val="FFFFFF"/>
                <w:sz w:val="17"/>
              </w:rPr>
              <w:t>Reliability SLA</w:t>
            </w:r>
          </w:p>
        </w:tc>
      </w:tr>
      <w:tr>
        <w:tc>
          <w:tcPr>
            <w:tcW w:type="dxa" w:w="720"/>
            <w:tcMar>
              <w:top w:w="60" w:type="dxa"/>
              <w:bottom w:w="60" w:type="dxa"/>
              <w:left w:w="70" w:type="dxa"/>
              <w:right w:w="70" w:type="dxa"/>
            </w:tcMar>
            <w:shd w:fill="F4F7F6"/>
          </w:tcPr>
          <w:p>
            <w:r>
              <w:rPr>
                <w:rFonts w:ascii="Calibri" w:hAnsi="Calibri"/>
                <w:color w:val="1A1A1A"/>
                <w:sz w:val="16"/>
              </w:rPr>
              <w:t>1</w:t>
            </w:r>
          </w:p>
        </w:tc>
        <w:tc>
          <w:tcPr>
            <w:tcW w:type="dxa" w:w="2304"/>
            <w:tcMar>
              <w:top w:w="60" w:type="dxa"/>
              <w:bottom w:w="60" w:type="dxa"/>
              <w:left w:w="70" w:type="dxa"/>
              <w:right w:w="70" w:type="dxa"/>
            </w:tcMar>
            <w:shd w:fill="F4F7F6"/>
          </w:tcPr>
          <w:p>
            <w:r>
              <w:rPr>
                <w:rFonts w:ascii="Calibri" w:hAnsi="Calibri"/>
                <w:color w:val="1A1A1A"/>
                <w:sz w:val="16"/>
              </w:rPr>
              <w:t>MLS / RESO Web API</w:t>
            </w:r>
          </w:p>
        </w:tc>
        <w:tc>
          <w:tcPr>
            <w:tcW w:type="dxa" w:w="3168"/>
            <w:tcMar>
              <w:top w:w="60" w:type="dxa"/>
              <w:bottom w:w="60" w:type="dxa"/>
              <w:left w:w="70" w:type="dxa"/>
              <w:right w:w="70" w:type="dxa"/>
            </w:tcMar>
            <w:shd w:fill="F4F7F6"/>
          </w:tcPr>
          <w:p>
            <w:r>
              <w:rPr>
                <w:rFonts w:ascii="Calibri" w:hAnsi="Calibri"/>
                <w:color w:val="1A1A1A"/>
                <w:sz w:val="16"/>
              </w:rPr>
              <w:t>Active, pending, and sold transactions; broker notes; photo URLs.</w:t>
            </w:r>
          </w:p>
        </w:tc>
        <w:tc>
          <w:tcPr>
            <w:tcW w:type="dxa" w:w="1728"/>
            <w:tcMar>
              <w:top w:w="60" w:type="dxa"/>
              <w:bottom w:w="60" w:type="dxa"/>
              <w:left w:w="70" w:type="dxa"/>
              <w:right w:w="70" w:type="dxa"/>
            </w:tcMar>
            <w:shd w:fill="F4F7F6"/>
          </w:tcPr>
          <w:p>
            <w:r>
              <w:rPr>
                <w:rFonts w:ascii="Calibri" w:hAnsi="Calibri"/>
                <w:color w:val="1A1A1A"/>
                <w:sz w:val="16"/>
              </w:rPr>
              <w:t>Real-time streaming (webhook)</w:t>
            </w:r>
          </w:p>
        </w:tc>
        <w:tc>
          <w:tcPr>
            <w:tcW w:type="dxa" w:w="1440"/>
            <w:tcMar>
              <w:top w:w="60" w:type="dxa"/>
              <w:bottom w:w="60" w:type="dxa"/>
              <w:left w:w="70" w:type="dxa"/>
              <w:right w:w="70" w:type="dxa"/>
            </w:tcMar>
            <w:shd w:fill="F4F7F6"/>
          </w:tcPr>
          <w:p>
            <w:r>
              <w:rPr>
                <w:rFonts w:ascii="Calibri" w:hAnsi="Calibri"/>
                <w:color w:val="1A1A1A"/>
                <w:sz w:val="16"/>
              </w:rPr>
              <w:t>99.95%</w:t>
            </w:r>
          </w:p>
        </w:tc>
      </w:tr>
      <w:tr>
        <w:tc>
          <w:tcPr>
            <w:tcW w:type="dxa" w:w="720"/>
            <w:tcMar>
              <w:top w:w="60" w:type="dxa"/>
              <w:bottom w:w="60" w:type="dxa"/>
              <w:left w:w="70" w:type="dxa"/>
              <w:right w:w="70" w:type="dxa"/>
            </w:tcMar>
          </w:tcPr>
          <w:p>
            <w:r>
              <w:rPr>
                <w:rFonts w:ascii="Calibri" w:hAnsi="Calibri"/>
                <w:color w:val="1A1A1A"/>
                <w:sz w:val="16"/>
              </w:rPr>
              <w:t>2</w:t>
            </w:r>
          </w:p>
        </w:tc>
        <w:tc>
          <w:tcPr>
            <w:tcW w:type="dxa" w:w="2304"/>
            <w:tcMar>
              <w:top w:w="60" w:type="dxa"/>
              <w:bottom w:w="60" w:type="dxa"/>
              <w:left w:w="70" w:type="dxa"/>
              <w:right w:w="70" w:type="dxa"/>
            </w:tcMar>
          </w:tcPr>
          <w:p>
            <w:r>
              <w:rPr>
                <w:rFonts w:ascii="Calibri" w:hAnsi="Calibri"/>
                <w:color w:val="1A1A1A"/>
                <w:sz w:val="16"/>
              </w:rPr>
              <w:t>County Assessor &amp; Tax</w:t>
            </w:r>
          </w:p>
        </w:tc>
        <w:tc>
          <w:tcPr>
            <w:tcW w:type="dxa" w:w="3168"/>
            <w:tcMar>
              <w:top w:w="60" w:type="dxa"/>
              <w:bottom w:w="60" w:type="dxa"/>
              <w:left w:w="70" w:type="dxa"/>
              <w:right w:w="70" w:type="dxa"/>
            </w:tcMar>
          </w:tcPr>
          <w:p>
            <w:r>
              <w:rPr>
                <w:rFonts w:ascii="Calibri" w:hAnsi="Calibri"/>
                <w:color w:val="1A1A1A"/>
                <w:sz w:val="16"/>
              </w:rPr>
              <w:t>Deed transfers, tax assessments, parcel boundaries, prior liens.</w:t>
            </w:r>
          </w:p>
        </w:tc>
        <w:tc>
          <w:tcPr>
            <w:tcW w:type="dxa" w:w="1728"/>
            <w:tcMar>
              <w:top w:w="60" w:type="dxa"/>
              <w:bottom w:w="60" w:type="dxa"/>
              <w:left w:w="70" w:type="dxa"/>
              <w:right w:w="70" w:type="dxa"/>
            </w:tcMar>
          </w:tcPr>
          <w:p>
            <w:r>
              <w:rPr>
                <w:rFonts w:ascii="Calibri" w:hAnsi="Calibri"/>
                <w:color w:val="1A1A1A"/>
                <w:sz w:val="16"/>
              </w:rPr>
              <w:t>Monthly automated scrape/feed</w:t>
            </w:r>
          </w:p>
        </w:tc>
        <w:tc>
          <w:tcPr>
            <w:tcW w:type="dxa" w:w="1440"/>
            <w:tcMar>
              <w:top w:w="60" w:type="dxa"/>
              <w:bottom w:w="60" w:type="dxa"/>
              <w:left w:w="70" w:type="dxa"/>
              <w:right w:w="70" w:type="dxa"/>
            </w:tcMar>
          </w:tcPr>
          <w:p>
            <w:r>
              <w:rPr>
                <w:rFonts w:ascii="Calibri" w:hAnsi="Calibri"/>
                <w:color w:val="1A1A1A"/>
                <w:sz w:val="16"/>
              </w:rPr>
              <w:t>99.50%</w:t>
            </w:r>
          </w:p>
        </w:tc>
      </w:tr>
      <w:tr>
        <w:tc>
          <w:tcPr>
            <w:tcW w:type="dxa" w:w="720"/>
            <w:tcMar>
              <w:top w:w="60" w:type="dxa"/>
              <w:bottom w:w="60" w:type="dxa"/>
              <w:left w:w="70" w:type="dxa"/>
              <w:right w:w="70" w:type="dxa"/>
            </w:tcMar>
            <w:shd w:fill="F4F7F6"/>
          </w:tcPr>
          <w:p>
            <w:r>
              <w:rPr>
                <w:rFonts w:ascii="Calibri" w:hAnsi="Calibri"/>
                <w:color w:val="1A1A1A"/>
                <w:sz w:val="16"/>
              </w:rPr>
              <w:t>3</w:t>
            </w:r>
          </w:p>
        </w:tc>
        <w:tc>
          <w:tcPr>
            <w:tcW w:type="dxa" w:w="2304"/>
            <w:tcMar>
              <w:top w:w="60" w:type="dxa"/>
              <w:bottom w:w="60" w:type="dxa"/>
              <w:left w:w="70" w:type="dxa"/>
              <w:right w:w="70" w:type="dxa"/>
            </w:tcMar>
            <w:shd w:fill="F4F7F6"/>
          </w:tcPr>
          <w:p>
            <w:r>
              <w:rPr>
                <w:rFonts w:ascii="Calibri" w:hAnsi="Calibri"/>
                <w:color w:val="1A1A1A"/>
                <w:sz w:val="16"/>
              </w:rPr>
              <w:t>Municipal Building Permits</w:t>
            </w:r>
          </w:p>
        </w:tc>
        <w:tc>
          <w:tcPr>
            <w:tcW w:type="dxa" w:w="3168"/>
            <w:tcMar>
              <w:top w:w="60" w:type="dxa"/>
              <w:bottom w:w="60" w:type="dxa"/>
              <w:left w:w="70" w:type="dxa"/>
              <w:right w:w="70" w:type="dxa"/>
            </w:tcMar>
            <w:shd w:fill="F4F7F6"/>
          </w:tcPr>
          <w:p>
            <w:r>
              <w:rPr>
                <w:rFonts w:ascii="Calibri" w:hAnsi="Calibri"/>
                <w:color w:val="1A1A1A"/>
                <w:sz w:val="16"/>
              </w:rPr>
              <w:t>Permit type, estimated cost, contractor name, inspection sign-off.</w:t>
            </w:r>
          </w:p>
        </w:tc>
        <w:tc>
          <w:tcPr>
            <w:tcW w:type="dxa" w:w="1728"/>
            <w:tcMar>
              <w:top w:w="60" w:type="dxa"/>
              <w:bottom w:w="60" w:type="dxa"/>
              <w:left w:w="70" w:type="dxa"/>
              <w:right w:w="70" w:type="dxa"/>
            </w:tcMar>
            <w:shd w:fill="F4F7F6"/>
          </w:tcPr>
          <w:p>
            <w:r>
              <w:rPr>
                <w:rFonts w:ascii="Calibri" w:hAnsi="Calibri"/>
                <w:color w:val="1A1A1A"/>
                <w:sz w:val="16"/>
              </w:rPr>
              <w:t>Weekly automated ingest</w:t>
            </w:r>
          </w:p>
        </w:tc>
        <w:tc>
          <w:tcPr>
            <w:tcW w:type="dxa" w:w="1440"/>
            <w:tcMar>
              <w:top w:w="60" w:type="dxa"/>
              <w:bottom w:w="60" w:type="dxa"/>
              <w:left w:w="70" w:type="dxa"/>
              <w:right w:w="70" w:type="dxa"/>
            </w:tcMar>
            <w:shd w:fill="F4F7F6"/>
          </w:tcPr>
          <w:p>
            <w:r>
              <w:rPr>
                <w:rFonts w:ascii="Calibri" w:hAnsi="Calibri"/>
                <w:color w:val="1A1A1A"/>
                <w:sz w:val="16"/>
              </w:rPr>
              <w:t>98.50%</w:t>
            </w:r>
          </w:p>
        </w:tc>
      </w:tr>
      <w:tr>
        <w:tc>
          <w:tcPr>
            <w:tcW w:type="dxa" w:w="720"/>
            <w:tcMar>
              <w:top w:w="60" w:type="dxa"/>
              <w:bottom w:w="60" w:type="dxa"/>
              <w:left w:w="70" w:type="dxa"/>
              <w:right w:w="70" w:type="dxa"/>
            </w:tcMar>
          </w:tcPr>
          <w:p>
            <w:r>
              <w:rPr>
                <w:rFonts w:ascii="Calibri" w:hAnsi="Calibri"/>
                <w:color w:val="1A1A1A"/>
                <w:sz w:val="16"/>
              </w:rPr>
              <w:t>4</w:t>
            </w:r>
          </w:p>
        </w:tc>
        <w:tc>
          <w:tcPr>
            <w:tcW w:type="dxa" w:w="2304"/>
            <w:tcMar>
              <w:top w:w="60" w:type="dxa"/>
              <w:bottom w:w="60" w:type="dxa"/>
              <w:left w:w="70" w:type="dxa"/>
              <w:right w:w="70" w:type="dxa"/>
            </w:tcMar>
          </w:tcPr>
          <w:p>
            <w:r>
              <w:rPr>
                <w:rFonts w:ascii="Calibri" w:hAnsi="Calibri"/>
                <w:color w:val="1A1A1A"/>
                <w:sz w:val="16"/>
              </w:rPr>
              <w:t>Satellite &amp; Aerial Imagery</w:t>
            </w:r>
          </w:p>
        </w:tc>
        <w:tc>
          <w:tcPr>
            <w:tcW w:type="dxa" w:w="3168"/>
            <w:tcMar>
              <w:top w:w="60" w:type="dxa"/>
              <w:bottom w:w="60" w:type="dxa"/>
              <w:left w:w="70" w:type="dxa"/>
              <w:right w:w="70" w:type="dxa"/>
            </w:tcMar>
          </w:tcPr>
          <w:p>
            <w:r>
              <w:rPr>
                <w:rFonts w:ascii="Calibri" w:hAnsi="Calibri"/>
                <w:color w:val="1A1A1A"/>
                <w:sz w:val="16"/>
              </w:rPr>
              <w:t>High-res aerial imagery (Maxar/Planet); roof wear, pool detection.</w:t>
            </w:r>
          </w:p>
        </w:tc>
        <w:tc>
          <w:tcPr>
            <w:tcW w:type="dxa" w:w="1728"/>
            <w:tcMar>
              <w:top w:w="60" w:type="dxa"/>
              <w:bottom w:w="60" w:type="dxa"/>
              <w:left w:w="70" w:type="dxa"/>
              <w:right w:w="70" w:type="dxa"/>
            </w:tcMar>
          </w:tcPr>
          <w:p>
            <w:r>
              <w:rPr>
                <w:rFonts w:ascii="Calibri" w:hAnsi="Calibri"/>
                <w:color w:val="1A1A1A"/>
                <w:sz w:val="16"/>
              </w:rPr>
              <w:t>Monthly refresh</w:t>
            </w:r>
          </w:p>
        </w:tc>
        <w:tc>
          <w:tcPr>
            <w:tcW w:type="dxa" w:w="1440"/>
            <w:tcMar>
              <w:top w:w="60" w:type="dxa"/>
              <w:bottom w:w="60" w:type="dxa"/>
              <w:left w:w="70" w:type="dxa"/>
              <w:right w:w="70" w:type="dxa"/>
            </w:tcMar>
          </w:tcPr>
          <w:p>
            <w:r>
              <w:rPr>
                <w:rFonts w:ascii="Calibri" w:hAnsi="Calibri"/>
                <w:color w:val="1A1A1A"/>
                <w:sz w:val="16"/>
              </w:rPr>
              <w:t>99.00%</w:t>
            </w:r>
          </w:p>
        </w:tc>
      </w:tr>
      <w:tr>
        <w:tc>
          <w:tcPr>
            <w:tcW w:type="dxa" w:w="720"/>
            <w:tcMar>
              <w:top w:w="60" w:type="dxa"/>
              <w:bottom w:w="60" w:type="dxa"/>
              <w:left w:w="70" w:type="dxa"/>
              <w:right w:w="70" w:type="dxa"/>
            </w:tcMar>
            <w:shd w:fill="F4F7F6"/>
          </w:tcPr>
          <w:p>
            <w:r>
              <w:rPr>
                <w:rFonts w:ascii="Calibri" w:hAnsi="Calibri"/>
                <w:color w:val="1A1A1A"/>
                <w:sz w:val="16"/>
              </w:rPr>
              <w:t>5</w:t>
            </w:r>
          </w:p>
        </w:tc>
        <w:tc>
          <w:tcPr>
            <w:tcW w:type="dxa" w:w="2304"/>
            <w:tcMar>
              <w:top w:w="60" w:type="dxa"/>
              <w:bottom w:w="60" w:type="dxa"/>
              <w:left w:w="70" w:type="dxa"/>
              <w:right w:w="70" w:type="dxa"/>
            </w:tcMar>
            <w:shd w:fill="F4F7F6"/>
          </w:tcPr>
          <w:p>
            <w:r>
              <w:rPr>
                <w:rFonts w:ascii="Calibri" w:hAnsi="Calibri"/>
                <w:color w:val="1A1A1A"/>
                <w:sz w:val="16"/>
              </w:rPr>
              <w:t>Climate &amp; Hazard APIs</w:t>
            </w:r>
          </w:p>
        </w:tc>
        <w:tc>
          <w:tcPr>
            <w:tcW w:type="dxa" w:w="3168"/>
            <w:tcMar>
              <w:top w:w="60" w:type="dxa"/>
              <w:bottom w:w="60" w:type="dxa"/>
              <w:left w:w="70" w:type="dxa"/>
              <w:right w:w="70" w:type="dxa"/>
            </w:tcMar>
            <w:shd w:fill="F4F7F6"/>
          </w:tcPr>
          <w:p>
            <w:r>
              <w:rPr>
                <w:rFonts w:ascii="Calibri" w:hAnsi="Calibri"/>
                <w:color w:val="1A1A1A"/>
                <w:sz w:val="16"/>
              </w:rPr>
              <w:t>FEMA flood plains, wildfire risk scores, coastal sea rise models.</w:t>
            </w:r>
          </w:p>
        </w:tc>
        <w:tc>
          <w:tcPr>
            <w:tcW w:type="dxa" w:w="1728"/>
            <w:tcMar>
              <w:top w:w="60" w:type="dxa"/>
              <w:bottom w:w="60" w:type="dxa"/>
              <w:left w:w="70" w:type="dxa"/>
              <w:right w:w="70" w:type="dxa"/>
            </w:tcMar>
            <w:shd w:fill="F4F7F6"/>
          </w:tcPr>
          <w:p>
            <w:r>
              <w:rPr>
                <w:rFonts w:ascii="Calibri" w:hAnsi="Calibri"/>
                <w:color w:val="1A1A1A"/>
                <w:sz w:val="16"/>
              </w:rPr>
              <w:t>Quarterly sync</w:t>
            </w:r>
          </w:p>
        </w:tc>
        <w:tc>
          <w:tcPr>
            <w:tcW w:type="dxa" w:w="1440"/>
            <w:tcMar>
              <w:top w:w="60" w:type="dxa"/>
              <w:bottom w:w="60" w:type="dxa"/>
              <w:left w:w="70" w:type="dxa"/>
              <w:right w:w="70" w:type="dxa"/>
            </w:tcMar>
            <w:shd w:fill="F4F7F6"/>
          </w:tcPr>
          <w:p>
            <w:r>
              <w:rPr>
                <w:rFonts w:ascii="Calibri" w:hAnsi="Calibri"/>
                <w:color w:val="1A1A1A"/>
                <w:sz w:val="16"/>
              </w:rPr>
              <w:t>99.99%</w:t>
            </w:r>
          </w:p>
        </w:tc>
      </w:tr>
      <w:tr>
        <w:tc>
          <w:tcPr>
            <w:tcW w:type="dxa" w:w="720"/>
            <w:tcMar>
              <w:top w:w="60" w:type="dxa"/>
              <w:bottom w:w="60" w:type="dxa"/>
              <w:left w:w="70" w:type="dxa"/>
              <w:right w:w="70" w:type="dxa"/>
            </w:tcMar>
          </w:tcPr>
          <w:p>
            <w:r>
              <w:rPr>
                <w:rFonts w:ascii="Calibri" w:hAnsi="Calibri"/>
                <w:color w:val="1A1A1A"/>
                <w:sz w:val="16"/>
              </w:rPr>
              <w:t>6</w:t>
            </w:r>
          </w:p>
        </w:tc>
        <w:tc>
          <w:tcPr>
            <w:tcW w:type="dxa" w:w="2304"/>
            <w:tcMar>
              <w:top w:w="60" w:type="dxa"/>
              <w:bottom w:w="60" w:type="dxa"/>
              <w:left w:w="70" w:type="dxa"/>
              <w:right w:w="70" w:type="dxa"/>
            </w:tcMar>
          </w:tcPr>
          <w:p>
            <w:r>
              <w:rPr>
                <w:rFonts w:ascii="Calibri" w:hAnsi="Calibri"/>
                <w:color w:val="1A1A1A"/>
                <w:sz w:val="16"/>
              </w:rPr>
              <w:t>School &amp; Civic Metrics</w:t>
            </w:r>
          </w:p>
        </w:tc>
        <w:tc>
          <w:tcPr>
            <w:tcW w:type="dxa" w:w="3168"/>
            <w:tcMar>
              <w:top w:w="60" w:type="dxa"/>
              <w:bottom w:w="60" w:type="dxa"/>
              <w:left w:w="70" w:type="dxa"/>
              <w:right w:w="70" w:type="dxa"/>
            </w:tcMar>
          </w:tcPr>
          <w:p>
            <w:r>
              <w:rPr>
                <w:rFonts w:ascii="Calibri" w:hAnsi="Calibri"/>
                <w:color w:val="1A1A1A"/>
                <w:sz w:val="16"/>
              </w:rPr>
              <w:t>State education department scores, teacher-student ratios, transit.</w:t>
            </w:r>
          </w:p>
        </w:tc>
        <w:tc>
          <w:tcPr>
            <w:tcW w:type="dxa" w:w="1728"/>
            <w:tcMar>
              <w:top w:w="60" w:type="dxa"/>
              <w:bottom w:w="60" w:type="dxa"/>
              <w:left w:w="70" w:type="dxa"/>
              <w:right w:w="70" w:type="dxa"/>
            </w:tcMar>
          </w:tcPr>
          <w:p>
            <w:r>
              <w:rPr>
                <w:rFonts w:ascii="Calibri" w:hAnsi="Calibri"/>
                <w:color w:val="1A1A1A"/>
                <w:sz w:val="16"/>
              </w:rPr>
              <w:t>Annual sync</w:t>
            </w:r>
          </w:p>
        </w:tc>
        <w:tc>
          <w:tcPr>
            <w:tcW w:type="dxa" w:w="1440"/>
            <w:tcMar>
              <w:top w:w="60" w:type="dxa"/>
              <w:bottom w:w="60" w:type="dxa"/>
              <w:left w:w="70" w:type="dxa"/>
              <w:right w:w="70" w:type="dxa"/>
            </w:tcMar>
          </w:tcPr>
          <w:p>
            <w:r>
              <w:rPr>
                <w:rFonts w:ascii="Calibri" w:hAnsi="Calibri"/>
                <w:color w:val="1A1A1A"/>
                <w:sz w:val="16"/>
              </w:rPr>
              <w:t>99.90%</w:t>
            </w:r>
          </w:p>
        </w:tc>
      </w:tr>
      <w:tr>
        <w:tc>
          <w:tcPr>
            <w:tcW w:type="dxa" w:w="720"/>
            <w:tcMar>
              <w:top w:w="60" w:type="dxa"/>
              <w:bottom w:w="60" w:type="dxa"/>
              <w:left w:w="70" w:type="dxa"/>
              <w:right w:w="70" w:type="dxa"/>
            </w:tcMar>
            <w:shd w:fill="F4F7F6"/>
          </w:tcPr>
          <w:p>
            <w:r>
              <w:rPr>
                <w:rFonts w:ascii="Calibri" w:hAnsi="Calibri"/>
                <w:color w:val="1A1A1A"/>
                <w:sz w:val="16"/>
              </w:rPr>
              <w:t>7</w:t>
            </w:r>
          </w:p>
        </w:tc>
        <w:tc>
          <w:tcPr>
            <w:tcW w:type="dxa" w:w="2304"/>
            <w:tcMar>
              <w:top w:w="60" w:type="dxa"/>
              <w:bottom w:w="60" w:type="dxa"/>
              <w:left w:w="70" w:type="dxa"/>
              <w:right w:w="70" w:type="dxa"/>
            </w:tcMar>
            <w:shd w:fill="F4F7F6"/>
          </w:tcPr>
          <w:p>
            <w:r>
              <w:rPr>
                <w:rFonts w:ascii="Calibri" w:hAnsi="Calibri"/>
                <w:color w:val="1A1A1A"/>
                <w:sz w:val="16"/>
              </w:rPr>
              <w:t>Verified User &amp; Appraiser Data</w:t>
            </w:r>
          </w:p>
        </w:tc>
        <w:tc>
          <w:tcPr>
            <w:tcW w:type="dxa" w:w="3168"/>
            <w:tcMar>
              <w:top w:w="60" w:type="dxa"/>
              <w:bottom w:w="60" w:type="dxa"/>
              <w:left w:w="70" w:type="dxa"/>
              <w:right w:w="70" w:type="dxa"/>
            </w:tcMar>
            <w:shd w:fill="F4F7F6"/>
          </w:tcPr>
          <w:p>
            <w:r>
              <w:rPr>
                <w:rFonts w:ascii="Calibri" w:hAnsi="Calibri"/>
                <w:color w:val="1A1A1A"/>
                <w:sz w:val="16"/>
              </w:rPr>
              <w:t>On-site photos, material upgrades, condition disclosures, disputes.</w:t>
            </w:r>
          </w:p>
        </w:tc>
        <w:tc>
          <w:tcPr>
            <w:tcW w:type="dxa" w:w="1728"/>
            <w:tcMar>
              <w:top w:w="60" w:type="dxa"/>
              <w:bottom w:w="60" w:type="dxa"/>
              <w:left w:w="70" w:type="dxa"/>
              <w:right w:w="70" w:type="dxa"/>
            </w:tcMar>
            <w:shd w:fill="F4F7F6"/>
          </w:tcPr>
          <w:p>
            <w:r>
              <w:rPr>
                <w:rFonts w:ascii="Calibri" w:hAnsi="Calibri"/>
                <w:color w:val="1A1A1A"/>
                <w:sz w:val="16"/>
              </w:rPr>
              <w:t>On-demand interactive</w:t>
            </w:r>
          </w:p>
        </w:tc>
        <w:tc>
          <w:tcPr>
            <w:tcW w:type="dxa" w:w="1440"/>
            <w:tcMar>
              <w:top w:w="60" w:type="dxa"/>
              <w:bottom w:w="60" w:type="dxa"/>
              <w:left w:w="70" w:type="dxa"/>
              <w:right w:w="70" w:type="dxa"/>
            </w:tcMar>
            <w:shd w:fill="F4F7F6"/>
          </w:tcPr>
          <w:p>
            <w:r>
              <w:rPr>
                <w:rFonts w:ascii="Calibri" w:hAnsi="Calibri"/>
                <w:color w:val="1A1A1A"/>
                <w:sz w:val="16"/>
              </w:rPr>
              <w:t>99.99%</w:t>
            </w:r>
          </w:p>
        </w:tc>
      </w:tr>
    </w:tbl>
    <w:p>
      <w:pPr>
        <w:spacing w:before="40" w:after="240" w:line="276" w:lineRule="auto"/>
      </w:pPr>
      <w:r>
        <w:rPr>
          <w:rFonts w:ascii="Calibri" w:hAnsi="Calibri"/>
          <w:color w:val="1A1A1A"/>
          <w:sz w:val="21"/>
        </w:rPr>
      </w:r>
    </w:p>
    <w:p>
      <w:pPr>
        <w:keepNext/>
        <w:spacing w:before="440" w:after="120"/>
      </w:pPr>
      <w:r>
        <w:rPr>
          <w:rFonts w:ascii="Arial" w:hAnsi="Arial"/>
          <w:b/>
          <w:color w:val="004D40"/>
          <w:sz w:val="36"/>
        </w:rPr>
        <w:t>8. Explainability Layer (Layer 7): Mathematical Foundations &amp; SHAP</w:t>
      </w:r>
    </w:p>
    <w:p>
      <w:pPr>
        <w:keepNext/>
        <w:spacing w:before="0" w:after="160"/>
      </w:pPr>
      <w:r>
        <w:rPr>
          <w:rFonts w:ascii="Arial" w:hAnsi="Arial"/>
          <w:color w:val="E07A5F"/>
          <w:sz w:val="16"/>
        </w:rPr>
        <w:t>―――――――――――――――――――――――――――――――――――――――――――――</w:t>
      </w:r>
    </w:p>
    <w:p>
      <w:pPr>
        <w:spacing w:before="40" w:after="120" w:line="276" w:lineRule="auto"/>
      </w:pPr>
      <w:r>
        <w:rPr>
          <w:rFonts w:ascii="Calibri" w:hAnsi="Calibri"/>
          <w:b/>
          <w:color w:val="1A1A1A"/>
          <w:sz w:val="21"/>
        </w:rPr>
        <w:t xml:space="preserve">Core Philosophy: </w:t>
      </w:r>
      <w:r>
        <w:rPr>
          <w:rFonts w:ascii="Calibri" w:hAnsi="Calibri"/>
          <w:color w:val="1A1A1A"/>
          <w:sz w:val="21"/>
        </w:rPr>
        <w:t>A foundational tenet of TruePlace is: 'We will never show you a number we cannot explain in plain English.' Layer 7 translates high-dimensional tree splits into dollar-denominated attributions.</w:t>
      </w:r>
    </w:p>
    <w:p>
      <w:pPr>
        <w:spacing w:before="40" w:after="120" w:line="276" w:lineRule="auto"/>
      </w:pPr>
      <w:r>
        <w:rPr>
          <w:rFonts w:ascii="Calibri" w:hAnsi="Calibri"/>
          <w:b/>
          <w:color w:val="1A1A1A"/>
          <w:sz w:val="21"/>
        </w:rPr>
        <w:t xml:space="preserve">Mathematical Foundation: </w:t>
      </w:r>
      <w:r>
        <w:rPr>
          <w:rFonts w:ascii="Calibri" w:hAnsi="Calibri"/>
          <w:color w:val="1A1A1A"/>
          <w:sz w:val="21"/>
        </w:rPr>
        <w:t>In cooperative game theory, Shapley values distribute total payouts among cooperating players based on their marginal contributions across all possible player coalitions. In TruePlace's valuation engine, features (lot size, kitchen finish, roof age) act as the players, and the valuation payout is the deviation of the property's estimated price from the baseline expected value across the broader market.</w:t>
      </w:r>
    </w:p>
    <w:p>
      <w:pPr>
        <w:spacing w:before="40" w:after="120" w:line="276" w:lineRule="auto"/>
      </w:pPr>
      <w:r>
        <w:rPr>
          <w:rFonts w:ascii="Calibri" w:hAnsi="Calibri"/>
          <w:b/>
          <w:color w:val="1A1A1A"/>
          <w:sz w:val="21"/>
        </w:rPr>
        <w:t xml:space="preserve">Exact Additivity Guarantee: </w:t>
      </w:r>
      <w:r>
        <w:rPr>
          <w:rFonts w:ascii="Calibri" w:hAnsi="Calibri"/>
          <w:color w:val="1A1A1A"/>
          <w:sz w:val="21"/>
        </w:rPr>
        <w:t>Formally, for an ensemble valuation function f(x) predicting the price of property x, TreeSHAP decomposes the estimate such that:</w:t>
      </w:r>
    </w:p>
    <w:p>
      <w:pPr>
        <w:spacing w:before="40" w:after="120" w:line="276" w:lineRule="auto"/>
      </w:pPr>
      <w:r>
        <w:rPr>
          <w:rFonts w:ascii="Calibri" w:hAnsi="Calibri"/>
          <w:color w:val="1A1A1A"/>
          <w:sz w:val="21"/>
        </w:rPr>
        <w:t>f(x) = E[f(X)] + Σ [ φ_i(x) ]</w:t>
        <w:br/>
        <w:t>Where E[f(X)] is the base value (the average price of similar properties in the broader market benchmark), and φ_i(x) is the exact marginal dollar contribution of feature i. This guarantee of exact additivity means every single dollar above or below the market baseline is mathematically accounted for, with zero residual error or heuristic drift.</w:t>
      </w:r>
    </w:p>
    <w:p>
      <w:pPr>
        <w:keepNext/>
        <w:spacing w:before="280" w:after="80"/>
      </w:pPr>
      <w:r>
        <w:rPr>
          <w:rFonts w:ascii="Arial" w:hAnsi="Arial"/>
          <w:b/>
          <w:color w:val="004D40"/>
          <w:sz w:val="26"/>
        </w:rPr>
        <w:t>Why SHAP Superiority Over LIME Was Decisive</w:t>
      </w:r>
    </w:p>
    <w:p>
      <w:pPr>
        <w:spacing w:before="40" w:after="80" w:line="276" w:lineRule="auto"/>
      </w:pPr>
      <w:r>
        <w:rPr>
          <w:rFonts w:ascii="Calibri" w:hAnsi="Calibri"/>
          <w:color w:val="1A1A1A"/>
          <w:sz w:val="21"/>
        </w:rPr>
        <w:t>While LIME (Local Interpretable Model-agnostic Explanations) is common in academic prototypes, it was rejected as a primary engine for TruePlace due to mathematical instability and lack of additivity:</w:t>
      </w:r>
    </w:p>
    <w:p>
      <w:pPr>
        <w:spacing w:before="40" w:after="60" w:line="276" w:lineRule="auto"/>
      </w:pPr>
      <w:r>
        <w:rPr>
          <w:rFonts w:ascii="Calibri" w:hAnsi="Calibri"/>
          <w:color w:val="1A1A1A"/>
          <w:sz w:val="21"/>
        </w:rPr>
        <w:t>• Strict Additivity: In SHAP, the sum of all feature contributions equals the exact delta from baseline. LIME fits local linear approximations where components do not sum to the prediction.</w:t>
      </w:r>
    </w:p>
    <w:p>
      <w:pPr>
        <w:spacing w:before="40" w:after="60" w:line="276" w:lineRule="auto"/>
      </w:pPr>
      <w:r>
        <w:rPr>
          <w:rFonts w:ascii="Calibri" w:hAnsi="Calibri"/>
          <w:color w:val="1A1A1A"/>
          <w:sz w:val="21"/>
        </w:rPr>
        <w:t>• Deterministic Consistency: For identical inputs and model states, SHAP yields identical mathematical values. LIME relies on random perturbation sampling, yielding fluctuating explanations that would erode consumer trust.</w:t>
      </w:r>
    </w:p>
    <w:p>
      <w:pPr>
        <w:spacing w:before="40" w:after="160" w:line="276" w:lineRule="auto"/>
      </w:pPr>
      <w:r>
        <w:rPr>
          <w:rFonts w:ascii="Calibri" w:hAnsi="Calibri"/>
          <w:color w:val="1A1A1A"/>
          <w:sz w:val="21"/>
        </w:rPr>
        <w:t>• Computational Speed: TreeSHAP traverses decision trees in polynomial time O(TLD^2) (where T is number of trees, L is leaves, and D is depth), executing in under 80 milliseconds compared to LIME's thousands of perturbation iterations.</w:t>
      </w:r>
    </w:p>
    <w:p>
      <w:pPr>
        <w:keepNext/>
        <w:spacing w:before="280" w:after="80"/>
      </w:pPr>
      <w:r>
        <w:rPr>
          <w:rFonts w:ascii="Arial" w:hAnsi="Arial"/>
          <w:b/>
          <w:color w:val="004D40"/>
          <w:sz w:val="26"/>
        </w:rPr>
        <w:t>SHAP Category Mapping Architecture</w:t>
      </w:r>
    </w:p>
    <w:p>
      <w:pPr>
        <w:spacing w:before="40" w:after="120" w:line="276" w:lineRule="auto"/>
      </w:pPr>
      <w:r>
        <w:rPr>
          <w:rFonts w:ascii="Calibri" w:hAnsi="Calibri"/>
          <w:color w:val="1A1A1A"/>
          <w:sz w:val="21"/>
        </w:rPr>
        <w:t>Raw machine learning pipelines produce between 45 and 70 feature variables (e.g., `sqft_living_ratio_3m`, `kitchen_finish_tier_cv`, `roof_condition_idx`). Exposing raw feature names creates cognitive overload. TruePlace maps every feature into one of six human-centric categories:</w:t>
      </w:r>
    </w:p>
    <w:tbl>
      <w:tblPr>
        <w:tblW w:type="auto" w:w="0"/>
        <w:jc w:val="center"/>
        <w:tblLayout w:type="fixed"/>
        <w:tblLook w:firstColumn="1" w:firstRow="1" w:lastColumn="0" w:lastRow="0" w:noHBand="0" w:noVBand="1" w:val="04A0"/>
        <w:tblBorders>
          <w:top w:val="single" w:sz="6" w:space="0" w:color="D3D3D3"/>
          <w:left w:val="none"/>
          <w:bottom w:val="single" w:sz="8" w:space="0" w:color="004D40"/>
          <w:right w:val="none"/>
          <w:insideH w:val="single" w:sz="4" w:space="0" w:color="D3D3D3"/>
          <w:insideV w:val="none"/>
        </w:tblBorders>
      </w:tblPr>
      <w:tblGrid>
        <w:gridCol w:w="2340"/>
        <w:gridCol w:w="2340"/>
        <w:gridCol w:w="2340"/>
        <w:gridCol w:w="2340"/>
      </w:tblGrid>
      <w:tr>
        <w:tc>
          <w:tcPr>
            <w:tcW w:type="dxa" w:w="2160"/>
            <w:tcMar>
              <w:top w:w="60" w:type="dxa"/>
              <w:bottom w:w="60" w:type="dxa"/>
              <w:left w:w="70" w:type="dxa"/>
              <w:right w:w="70" w:type="dxa"/>
            </w:tcMar>
            <w:shd w:fill="004D40"/>
          </w:tcPr>
          <w:p>
            <w:r>
              <w:rPr>
                <w:rFonts w:ascii="Arial" w:hAnsi="Arial"/>
                <w:b/>
                <w:color w:val="FFFFFF"/>
                <w:sz w:val="17"/>
              </w:rPr>
              <w:t>Category Name</w:t>
            </w:r>
          </w:p>
        </w:tc>
        <w:tc>
          <w:tcPr>
            <w:tcW w:type="dxa" w:w="1872"/>
            <w:tcMar>
              <w:top w:w="60" w:type="dxa"/>
              <w:bottom w:w="60" w:type="dxa"/>
              <w:left w:w="70" w:type="dxa"/>
              <w:right w:w="70" w:type="dxa"/>
            </w:tcMar>
            <w:shd w:fill="004D40"/>
          </w:tcPr>
          <w:p>
            <w:r>
              <w:rPr>
                <w:rFonts w:ascii="Arial" w:hAnsi="Arial"/>
                <w:b/>
                <w:color w:val="FFFFFF"/>
                <w:sz w:val="17"/>
              </w:rPr>
              <w:t>UI Color Token</w:t>
            </w:r>
          </w:p>
        </w:tc>
        <w:tc>
          <w:tcPr>
            <w:tcW w:type="dxa" w:w="3024"/>
            <w:tcMar>
              <w:top w:w="60" w:type="dxa"/>
              <w:bottom w:w="60" w:type="dxa"/>
              <w:left w:w="70" w:type="dxa"/>
              <w:right w:w="70" w:type="dxa"/>
            </w:tcMar>
            <w:shd w:fill="004D40"/>
          </w:tcPr>
          <w:p>
            <w:r>
              <w:rPr>
                <w:rFonts w:ascii="Arial" w:hAnsi="Arial"/>
                <w:b/>
                <w:color w:val="FFFFFF"/>
                <w:sz w:val="17"/>
              </w:rPr>
              <w:t>Underlying Extracted Features</w:t>
            </w:r>
          </w:p>
        </w:tc>
        <w:tc>
          <w:tcPr>
            <w:tcW w:type="dxa" w:w="2304"/>
            <w:tcMar>
              <w:top w:w="60" w:type="dxa"/>
              <w:bottom w:w="60" w:type="dxa"/>
              <w:left w:w="70" w:type="dxa"/>
              <w:right w:w="70" w:type="dxa"/>
            </w:tcMar>
            <w:shd w:fill="004D40"/>
          </w:tcPr>
          <w:p>
            <w:r>
              <w:rPr>
                <w:rFonts w:ascii="Arial" w:hAnsi="Arial"/>
                <w:b/>
                <w:color w:val="FFFFFF"/>
                <w:sz w:val="17"/>
              </w:rPr>
              <w:t>User-Facing Impact Description</w:t>
            </w:r>
          </w:p>
        </w:tc>
      </w:tr>
      <w:tr>
        <w:tc>
          <w:tcPr>
            <w:tcW w:type="dxa" w:w="2160"/>
            <w:tcMar>
              <w:top w:w="60" w:type="dxa"/>
              <w:bottom w:w="60" w:type="dxa"/>
              <w:left w:w="70" w:type="dxa"/>
              <w:right w:w="70" w:type="dxa"/>
            </w:tcMar>
            <w:shd w:fill="F4F7F6"/>
          </w:tcPr>
          <w:p>
            <w:r>
              <w:rPr>
                <w:rFonts w:ascii="Calibri" w:hAnsi="Calibri"/>
                <w:color w:val="1A1A1A"/>
                <w:sz w:val="16"/>
              </w:rPr>
              <w:t>Comparable Sales</w:t>
            </w:r>
          </w:p>
        </w:tc>
        <w:tc>
          <w:tcPr>
            <w:tcW w:type="dxa" w:w="1872"/>
            <w:tcMar>
              <w:top w:w="60" w:type="dxa"/>
              <w:bottom w:w="60" w:type="dxa"/>
              <w:left w:w="70" w:type="dxa"/>
              <w:right w:w="70" w:type="dxa"/>
            </w:tcMar>
            <w:shd w:fill="F4F7F6"/>
          </w:tcPr>
          <w:p>
            <w:r>
              <w:rPr>
                <w:rFonts w:ascii="Calibri" w:hAnsi="Calibri"/>
                <w:color w:val="1A1A1A"/>
                <w:sz w:val="16"/>
              </w:rPr>
              <w:t>Teal (#004D40)</w:t>
            </w:r>
          </w:p>
        </w:tc>
        <w:tc>
          <w:tcPr>
            <w:tcW w:type="dxa" w:w="3024"/>
            <w:tcMar>
              <w:top w:w="60" w:type="dxa"/>
              <w:bottom w:w="60" w:type="dxa"/>
              <w:left w:w="70" w:type="dxa"/>
              <w:right w:w="70" w:type="dxa"/>
            </w:tcMar>
            <w:shd w:fill="F4F7F6"/>
          </w:tcPr>
          <w:p>
            <w:r>
              <w:rPr>
                <w:rFonts w:ascii="Calibri" w:hAnsi="Calibri"/>
                <w:color w:val="1A1A1A"/>
                <w:sz w:val="16"/>
              </w:rPr>
              <w:t>comps_avg_price, days_on_market_trend, micro_comp_distance</w:t>
            </w:r>
          </w:p>
        </w:tc>
        <w:tc>
          <w:tcPr>
            <w:tcW w:type="dxa" w:w="2304"/>
            <w:tcMar>
              <w:top w:w="60" w:type="dxa"/>
              <w:bottom w:w="60" w:type="dxa"/>
              <w:left w:w="70" w:type="dxa"/>
              <w:right w:w="70" w:type="dxa"/>
            </w:tcMar>
            <w:shd w:fill="F4F7F6"/>
          </w:tcPr>
          <w:p>
            <w:r>
              <w:rPr>
                <w:rFonts w:ascii="Calibri" w:hAnsi="Calibri"/>
                <w:color w:val="1A1A1A"/>
                <w:sz w:val="16"/>
              </w:rPr>
              <w:t>Recent neighborhood sales and transaction momentum.</w:t>
            </w:r>
          </w:p>
        </w:tc>
      </w:tr>
      <w:tr>
        <w:tc>
          <w:tcPr>
            <w:tcW w:type="dxa" w:w="2160"/>
            <w:tcMar>
              <w:top w:w="60" w:type="dxa"/>
              <w:bottom w:w="60" w:type="dxa"/>
              <w:left w:w="70" w:type="dxa"/>
              <w:right w:w="70" w:type="dxa"/>
            </w:tcMar>
          </w:tcPr>
          <w:p>
            <w:r>
              <w:rPr>
                <w:rFonts w:ascii="Calibri" w:hAnsi="Calibri"/>
                <w:color w:val="1A1A1A"/>
                <w:sz w:val="16"/>
              </w:rPr>
              <w:t>Property Characteristics</w:t>
            </w:r>
          </w:p>
        </w:tc>
        <w:tc>
          <w:tcPr>
            <w:tcW w:type="dxa" w:w="1872"/>
            <w:tcMar>
              <w:top w:w="60" w:type="dxa"/>
              <w:bottom w:w="60" w:type="dxa"/>
              <w:left w:w="70" w:type="dxa"/>
              <w:right w:w="70" w:type="dxa"/>
            </w:tcMar>
          </w:tcPr>
          <w:p>
            <w:r>
              <w:rPr>
                <w:rFonts w:ascii="Calibri" w:hAnsi="Calibri"/>
                <w:color w:val="1A1A1A"/>
                <w:sz w:val="16"/>
              </w:rPr>
              <w:t>Deep Blue (#1D3557)</w:t>
            </w:r>
          </w:p>
        </w:tc>
        <w:tc>
          <w:tcPr>
            <w:tcW w:type="dxa" w:w="3024"/>
            <w:tcMar>
              <w:top w:w="60" w:type="dxa"/>
              <w:bottom w:w="60" w:type="dxa"/>
              <w:left w:w="70" w:type="dxa"/>
              <w:right w:w="70" w:type="dxa"/>
            </w:tcMar>
          </w:tcPr>
          <w:p>
            <w:r>
              <w:rPr>
                <w:rFonts w:ascii="Calibri" w:hAnsi="Calibri"/>
                <w:color w:val="1A1A1A"/>
                <w:sz w:val="16"/>
              </w:rPr>
              <w:t>living_area, bedrooms, bathrooms, lot_size, year_built</w:t>
            </w:r>
          </w:p>
        </w:tc>
        <w:tc>
          <w:tcPr>
            <w:tcW w:type="dxa" w:w="2304"/>
            <w:tcMar>
              <w:top w:w="60" w:type="dxa"/>
              <w:bottom w:w="60" w:type="dxa"/>
              <w:left w:w="70" w:type="dxa"/>
              <w:right w:w="70" w:type="dxa"/>
            </w:tcMar>
          </w:tcPr>
          <w:p>
            <w:r>
              <w:rPr>
                <w:rFonts w:ascii="Calibri" w:hAnsi="Calibri"/>
                <w:color w:val="1A1A1A"/>
                <w:sz w:val="16"/>
              </w:rPr>
              <w:t>Core structural footprint and property dimensions.</w:t>
            </w:r>
          </w:p>
        </w:tc>
      </w:tr>
      <w:tr>
        <w:tc>
          <w:tcPr>
            <w:tcW w:type="dxa" w:w="2160"/>
            <w:tcMar>
              <w:top w:w="60" w:type="dxa"/>
              <w:bottom w:w="60" w:type="dxa"/>
              <w:left w:w="70" w:type="dxa"/>
              <w:right w:w="70" w:type="dxa"/>
            </w:tcMar>
            <w:shd w:fill="F4F7F6"/>
          </w:tcPr>
          <w:p>
            <w:r>
              <w:rPr>
                <w:rFonts w:ascii="Calibri" w:hAnsi="Calibri"/>
                <w:color w:val="1A1A1A"/>
                <w:sz w:val="16"/>
              </w:rPr>
              <w:t>Renovation &amp; Condition</w:t>
            </w:r>
          </w:p>
        </w:tc>
        <w:tc>
          <w:tcPr>
            <w:tcW w:type="dxa" w:w="1872"/>
            <w:tcMar>
              <w:top w:w="60" w:type="dxa"/>
              <w:bottom w:w="60" w:type="dxa"/>
              <w:left w:w="70" w:type="dxa"/>
              <w:right w:w="70" w:type="dxa"/>
            </w:tcMar>
            <w:shd w:fill="F4F7F6"/>
          </w:tcPr>
          <w:p>
            <w:r>
              <w:rPr>
                <w:rFonts w:ascii="Calibri" w:hAnsi="Calibri"/>
                <w:color w:val="1A1A1A"/>
                <w:sz w:val="16"/>
              </w:rPr>
              <w:t>Terracotta (#E07A5F)</w:t>
            </w:r>
          </w:p>
        </w:tc>
        <w:tc>
          <w:tcPr>
            <w:tcW w:type="dxa" w:w="3024"/>
            <w:tcMar>
              <w:top w:w="60" w:type="dxa"/>
              <w:bottom w:w="60" w:type="dxa"/>
              <w:left w:w="70" w:type="dxa"/>
              <w:right w:w="70" w:type="dxa"/>
            </w:tcMar>
            <w:shd w:fill="F4F7F6"/>
          </w:tcPr>
          <w:p>
            <w:r>
              <w:rPr>
                <w:rFonts w:ascii="Calibri" w:hAnsi="Calibri"/>
                <w:color w:val="1A1A1A"/>
                <w:sz w:val="16"/>
              </w:rPr>
              <w:t>kitchen_reno_value, bathroom_grade, roof_age, cv_wear_score</w:t>
            </w:r>
          </w:p>
        </w:tc>
        <w:tc>
          <w:tcPr>
            <w:tcW w:type="dxa" w:w="2304"/>
            <w:tcMar>
              <w:top w:w="60" w:type="dxa"/>
              <w:bottom w:w="60" w:type="dxa"/>
              <w:left w:w="70" w:type="dxa"/>
              <w:right w:w="70" w:type="dxa"/>
            </w:tcMar>
            <w:shd w:fill="F4F7F6"/>
          </w:tcPr>
          <w:p>
            <w:r>
              <w:rPr>
                <w:rFonts w:ascii="Calibri" w:hAnsi="Calibri"/>
                <w:color w:val="1A1A1A"/>
                <w:sz w:val="16"/>
              </w:rPr>
              <w:t>Upgrades, unpermitted additions, and architectural maintenance.</w:t>
            </w:r>
          </w:p>
        </w:tc>
      </w:tr>
      <w:tr>
        <w:tc>
          <w:tcPr>
            <w:tcW w:type="dxa" w:w="2160"/>
            <w:tcMar>
              <w:top w:w="60" w:type="dxa"/>
              <w:bottom w:w="60" w:type="dxa"/>
              <w:left w:w="70" w:type="dxa"/>
              <w:right w:w="70" w:type="dxa"/>
            </w:tcMar>
          </w:tcPr>
          <w:p>
            <w:r>
              <w:rPr>
                <w:rFonts w:ascii="Calibri" w:hAnsi="Calibri"/>
                <w:color w:val="1A1A1A"/>
                <w:sz w:val="16"/>
              </w:rPr>
              <w:t>Neighborhood Trends</w:t>
            </w:r>
          </w:p>
        </w:tc>
        <w:tc>
          <w:tcPr>
            <w:tcW w:type="dxa" w:w="1872"/>
            <w:tcMar>
              <w:top w:w="60" w:type="dxa"/>
              <w:bottom w:w="60" w:type="dxa"/>
              <w:left w:w="70" w:type="dxa"/>
              <w:right w:w="70" w:type="dxa"/>
            </w:tcMar>
          </w:tcPr>
          <w:p>
            <w:r>
              <w:rPr>
                <w:rFonts w:ascii="Calibri" w:hAnsi="Calibri"/>
                <w:color w:val="1A1A1A"/>
                <w:sz w:val="16"/>
              </w:rPr>
              <w:t>Sage Green (#2A9D8F)</w:t>
            </w:r>
          </w:p>
        </w:tc>
        <w:tc>
          <w:tcPr>
            <w:tcW w:type="dxa" w:w="3024"/>
            <w:tcMar>
              <w:top w:w="60" w:type="dxa"/>
              <w:bottom w:w="60" w:type="dxa"/>
              <w:left w:w="70" w:type="dxa"/>
              <w:right w:w="70" w:type="dxa"/>
            </w:tcMar>
          </w:tcPr>
          <w:p>
            <w:r>
              <w:rPr>
                <w:rFonts w:ascii="Calibri" w:hAnsi="Calibri"/>
                <w:color w:val="1A1A1A"/>
                <w:sz w:val="16"/>
              </w:rPr>
              <w:t>school_rating_trend, walk_score, transit_score, new_dev_pipeline</w:t>
            </w:r>
          </w:p>
        </w:tc>
        <w:tc>
          <w:tcPr>
            <w:tcW w:type="dxa" w:w="2304"/>
            <w:tcMar>
              <w:top w:w="60" w:type="dxa"/>
              <w:bottom w:w="60" w:type="dxa"/>
              <w:left w:w="70" w:type="dxa"/>
              <w:right w:w="70" w:type="dxa"/>
            </w:tcMar>
          </w:tcPr>
          <w:p>
            <w:r>
              <w:rPr>
                <w:rFonts w:ascii="Calibri" w:hAnsi="Calibri"/>
                <w:color w:val="1A1A1A"/>
                <w:sz w:val="16"/>
              </w:rPr>
              <w:t>Zoning developments, commercial amenities, and school trajectories.</w:t>
            </w:r>
          </w:p>
        </w:tc>
      </w:tr>
      <w:tr>
        <w:tc>
          <w:tcPr>
            <w:tcW w:type="dxa" w:w="2160"/>
            <w:tcMar>
              <w:top w:w="60" w:type="dxa"/>
              <w:bottom w:w="60" w:type="dxa"/>
              <w:left w:w="70" w:type="dxa"/>
              <w:right w:w="70" w:type="dxa"/>
            </w:tcMar>
            <w:shd w:fill="F4F7F6"/>
          </w:tcPr>
          <w:p>
            <w:r>
              <w:rPr>
                <w:rFonts w:ascii="Calibri" w:hAnsi="Calibri"/>
                <w:color w:val="1A1A1A"/>
                <w:sz w:val="16"/>
              </w:rPr>
              <w:t>Market Momentum</w:t>
            </w:r>
          </w:p>
        </w:tc>
        <w:tc>
          <w:tcPr>
            <w:tcW w:type="dxa" w:w="1872"/>
            <w:tcMar>
              <w:top w:w="60" w:type="dxa"/>
              <w:bottom w:w="60" w:type="dxa"/>
              <w:left w:w="70" w:type="dxa"/>
              <w:right w:w="70" w:type="dxa"/>
            </w:tcMar>
            <w:shd w:fill="F4F7F6"/>
          </w:tcPr>
          <w:p>
            <w:r>
              <w:rPr>
                <w:rFonts w:ascii="Calibri" w:hAnsi="Calibri"/>
                <w:color w:val="1A1A1A"/>
                <w:sz w:val="16"/>
              </w:rPr>
              <w:t>Purple (#6A4C93)</w:t>
            </w:r>
          </w:p>
        </w:tc>
        <w:tc>
          <w:tcPr>
            <w:tcW w:type="dxa" w:w="3024"/>
            <w:tcMar>
              <w:top w:w="60" w:type="dxa"/>
              <w:bottom w:w="60" w:type="dxa"/>
              <w:left w:w="70" w:type="dxa"/>
              <w:right w:w="70" w:type="dxa"/>
            </w:tcMar>
            <w:shd w:fill="F4F7F6"/>
          </w:tcPr>
          <w:p>
            <w:r>
              <w:rPr>
                <w:rFonts w:ascii="Calibri" w:hAnsi="Calibri"/>
                <w:color w:val="1A1A1A"/>
                <w:sz w:val="16"/>
              </w:rPr>
              <w:t>inventory_velocity, mortgage_rate_elasticity, seasonal_index</w:t>
            </w:r>
          </w:p>
        </w:tc>
        <w:tc>
          <w:tcPr>
            <w:tcW w:type="dxa" w:w="2304"/>
            <w:tcMar>
              <w:top w:w="60" w:type="dxa"/>
              <w:bottom w:w="60" w:type="dxa"/>
              <w:left w:w="70" w:type="dxa"/>
              <w:right w:w="70" w:type="dxa"/>
            </w:tcMar>
            <w:shd w:fill="F4F7F6"/>
          </w:tcPr>
          <w:p>
            <w:r>
              <w:rPr>
                <w:rFonts w:ascii="Calibri" w:hAnsi="Calibri"/>
                <w:color w:val="1A1A1A"/>
                <w:sz w:val="16"/>
              </w:rPr>
              <w:t>Broader interest rate dynamics and buyer supply/demand velocity.</w:t>
            </w:r>
          </w:p>
        </w:tc>
      </w:tr>
      <w:tr>
        <w:tc>
          <w:tcPr>
            <w:tcW w:type="dxa" w:w="2160"/>
            <w:tcMar>
              <w:top w:w="60" w:type="dxa"/>
              <w:bottom w:w="60" w:type="dxa"/>
              <w:left w:w="70" w:type="dxa"/>
              <w:right w:w="70" w:type="dxa"/>
            </w:tcMar>
          </w:tcPr>
          <w:p>
            <w:r>
              <w:rPr>
                <w:rFonts w:ascii="Calibri" w:hAnsi="Calibri"/>
                <w:color w:val="1A1A1A"/>
                <w:sz w:val="16"/>
              </w:rPr>
              <w:t>Risk Factors</w:t>
            </w:r>
          </w:p>
        </w:tc>
        <w:tc>
          <w:tcPr>
            <w:tcW w:type="dxa" w:w="1872"/>
            <w:tcMar>
              <w:top w:w="60" w:type="dxa"/>
              <w:bottom w:w="60" w:type="dxa"/>
              <w:left w:w="70" w:type="dxa"/>
              <w:right w:w="70" w:type="dxa"/>
            </w:tcMar>
          </w:tcPr>
          <w:p>
            <w:r>
              <w:rPr>
                <w:rFonts w:ascii="Calibri" w:hAnsi="Calibri"/>
                <w:color w:val="1A1A1A"/>
                <w:sz w:val="16"/>
              </w:rPr>
              <w:t>Amber (#E76F51)</w:t>
            </w:r>
          </w:p>
        </w:tc>
        <w:tc>
          <w:tcPr>
            <w:tcW w:type="dxa" w:w="3024"/>
            <w:tcMar>
              <w:top w:w="60" w:type="dxa"/>
              <w:bottom w:w="60" w:type="dxa"/>
              <w:left w:w="70" w:type="dxa"/>
              <w:right w:w="70" w:type="dxa"/>
            </w:tcMar>
          </w:tcPr>
          <w:p>
            <w:r>
              <w:rPr>
                <w:rFonts w:ascii="Calibri" w:hAnsi="Calibri"/>
                <w:color w:val="1A1A1A"/>
                <w:sz w:val="16"/>
              </w:rPr>
              <w:t>fema_flood_zone, wildfire_hazard_idx, soil_subsidence, climate_risk</w:t>
            </w:r>
          </w:p>
        </w:tc>
        <w:tc>
          <w:tcPr>
            <w:tcW w:type="dxa" w:w="2304"/>
            <w:tcMar>
              <w:top w:w="60" w:type="dxa"/>
              <w:bottom w:w="60" w:type="dxa"/>
              <w:left w:w="70" w:type="dxa"/>
              <w:right w:w="70" w:type="dxa"/>
            </w:tcMar>
          </w:tcPr>
          <w:p>
            <w:r>
              <w:rPr>
                <w:rFonts w:ascii="Calibri" w:hAnsi="Calibri"/>
                <w:color w:val="1A1A1A"/>
                <w:sz w:val="16"/>
              </w:rPr>
              <w:t>Environmental vulnerabilities, insurance premiums, and hazard history.</w:t>
            </w:r>
          </w:p>
        </w:tc>
      </w:tr>
    </w:tbl>
    <w:p>
      <w:pPr>
        <w:spacing w:before="40" w:after="160" w:line="276" w:lineRule="auto"/>
      </w:pPr>
      <w:r>
        <w:rPr>
          <w:rFonts w:ascii="Calibri" w:hAnsi="Calibri"/>
          <w:color w:val="1A1A1A"/>
          <w:sz w:val="21"/>
        </w:rPr>
      </w:r>
    </w:p>
    <w:p>
      <w:pPr>
        <w:keepNext/>
        <w:spacing w:before="200" w:after="40"/>
      </w:pPr>
      <w:r>
        <w:rPr>
          <w:rFonts w:ascii="Arial" w:hAnsi="Arial"/>
          <w:b/>
          <w:color w:val="1A1A1A"/>
          <w:sz w:val="22"/>
        </w:rPr>
        <w:t>Official YAML Mapping Specification (Production Configuration)</w:t>
      </w:r>
    </w:p>
    <w:tbl>
      <w:tblPr>
        <w:tblW w:type="auto" w:w="0"/>
        <w:jc w:val="center"/>
        <w:tblLayout w:type="fixed"/>
        <w:tblLook w:firstColumn="1" w:firstRow="1" w:lastColumn="0" w:lastRow="0" w:noHBand="0" w:noVBand="1" w:val="04A0"/>
      </w:tblPr>
      <w:tblGrid>
        <w:gridCol w:w="9360"/>
      </w:tblGrid>
      <w:tr>
        <w:tc>
          <w:tcPr>
            <w:tcW w:type="dxa" w:w="9360"/>
            <w:shd w:fill="2B2D42"/>
            <w:tcMar>
              <w:top w:w="140" w:type="dxa"/>
              <w:bottom w:w="140" w:type="dxa"/>
              <w:left w:w="180" w:type="dxa"/>
              <w:right w:w="180" w:type="dxa"/>
            </w:tcMar>
          </w:tcPr>
          <w:p>
            <w:pPr>
              <w:spacing w:before="0" w:after="40"/>
            </w:pPr>
            <w:r>
              <w:rPr>
                <w:rFonts w:ascii="Consolas" w:hAnsi="Consolas"/>
                <w:b/>
                <w:color w:val="8D99AE"/>
                <w:sz w:val="17"/>
              </w:rPr>
              <w:t>// YAML: /config/feature_category_mapping_v2.4.yaml</w:t>
              <w:br/>
            </w:r>
            <w:r>
              <w:rPr>
                <w:rFonts w:ascii="Consolas" w:hAnsi="Consolas"/>
                <w:color w:val="EDF2F4"/>
                <w:sz w:val="17"/>
              </w:rPr>
              <w:t># TrueValue Explainability Engine - Feature-to-Category YAML Mapping</w:t>
              <w:br/>
              <w:t>version: "2.4.0"</w:t>
              <w:br/>
              <w:t>updated_at: "2026-09-20"</w:t>
              <w:br/>
              <w:br/>
              <w:t>categories:</w:t>
              <w:br/>
              <w:t xml:space="preserve">  comparable_sales:</w:t>
              <w:br/>
              <w:t xml:space="preserve">    display_name: "Comparable Sales"</w:t>
              <w:br/>
              <w:t xml:space="preserve">    color_hex: "#004D40"</w:t>
              <w:br/>
              <w:t xml:space="preserve">    ui_order: 1</w:t>
              <w:br/>
              <w:t xml:space="preserve">    features:</w:t>
              <w:br/>
              <w:t xml:space="preserve">      - comps_median_price_0_5mi</w:t>
              <w:br/>
              <w:t xml:space="preserve">      - comps_price_per_sqft_delta</w:t>
              <w:br/>
              <w:t xml:space="preserve">      - micro_neighborhood_turnover_rate</w:t>
              <w:br/>
              <w:t xml:space="preserve">      - days_on_market_neighborhood_avg</w:t>
              <w:br/>
              <w:br/>
              <w:t xml:space="preserve">  property_characteristics:</w:t>
              <w:br/>
              <w:t xml:space="preserve">    display_name: "Property Characteristics"</w:t>
              <w:br/>
              <w:t xml:space="preserve">    color_hex: "#1D3557"</w:t>
              <w:br/>
              <w:t xml:space="preserve">    ui_order: 2</w:t>
              <w:br/>
              <w:t xml:space="preserve">    features:</w:t>
              <w:br/>
              <w:t xml:space="preserve">      - living_area_sqft</w:t>
              <w:br/>
              <w:t xml:space="preserve">      - total_bedrooms</w:t>
              <w:br/>
              <w:t xml:space="preserve">      - total_bathrooms</w:t>
              <w:br/>
              <w:t xml:space="preserve">      - lot_size_sqft</w:t>
              <w:br/>
              <w:t xml:space="preserve">      - effective_year_built</w:t>
              <w:br/>
              <w:t xml:space="preserve">      - architectural_style_factor</w:t>
              <w:br/>
              <w:br/>
              <w:t xml:space="preserve">  renovation_condition:</w:t>
              <w:br/>
              <w:t xml:space="preserve">    display_name: "Renovation &amp; Condition"</w:t>
              <w:br/>
              <w:t xml:space="preserve">    color_hex: "#E07A5F"</w:t>
              <w:br/>
              <w:t xml:space="preserve">    ui_order: 3</w:t>
              <w:br/>
              <w:t xml:space="preserve">    features:</w:t>
              <w:br/>
              <w:t xml:space="preserve">      - kitchen_renovation_tier_value</w:t>
              <w:br/>
              <w:t xml:space="preserve">      - primary_bathroom_condition_cv</w:t>
              <w:br/>
              <w:t xml:space="preserve">      - roof_remaining_lifespan_years</w:t>
              <w:br/>
              <w:t xml:space="preserve">      - hvac_system_efficiency_age</w:t>
              <w:br/>
              <w:t xml:space="preserve">      - computer_vision_wear_score</w:t>
              <w:br/>
              <w:br/>
              <w:t xml:space="preserve">  neighborhood_trends:</w:t>
              <w:br/>
              <w:t xml:space="preserve">    display_name: "Neighborhood Trends"</w:t>
              <w:br/>
              <w:t xml:space="preserve">    color_hex: "#2A9D8F"</w:t>
              <w:br/>
              <w:t xml:space="preserve">    ui_order: 4</w:t>
              <w:br/>
              <w:t xml:space="preserve">    features:</w:t>
              <w:br/>
              <w:t xml:space="preserve">      - school_district_rating_trend</w:t>
              <w:br/>
              <w:t xml:space="preserve">      - walk_transit_convenience_idx</w:t>
              <w:br/>
              <w:t xml:space="preserve">      - municipal_development_pipeline_sqft</w:t>
              <w:br/>
              <w:t xml:space="preserve">      - tree_canopy_coverage_percentage</w:t>
              <w:br/>
              <w:br/>
              <w:t xml:space="preserve">  market_momentum:</w:t>
              <w:br/>
              <w:t xml:space="preserve">    display_name: "Market Momentum"</w:t>
              <w:br/>
              <w:t xml:space="preserve">    color_hex: "#6A4C93"</w:t>
              <w:br/>
              <w:t xml:space="preserve">    ui_order: 5</w:t>
              <w:br/>
              <w:t xml:space="preserve">    features:</w:t>
              <w:br/>
              <w:t xml:space="preserve">      - metro_price_trajectory_6m</w:t>
              <w:br/>
              <w:t xml:space="preserve">      - county_active_inventory_velocity</w:t>
              <w:br/>
              <w:t xml:space="preserve">      - mortgage_interest_rate_sensitivity</w:t>
              <w:br/>
              <w:br/>
              <w:t xml:space="preserve">  risk_factors:</w:t>
              <w:br/>
              <w:t xml:space="preserve">    display_name: "Risk Factors"</w:t>
              <w:br/>
              <w:t xml:space="preserve">    color_hex: "#E76F51"</w:t>
              <w:br/>
              <w:t xml:space="preserve">    ui_order: 6</w:t>
              <w:br/>
              <w:t xml:space="preserve">    features:</w:t>
              <w:br/>
              <w:t xml:space="preserve">      - fema_flood_risk_category</w:t>
              <w:br/>
              <w:t xml:space="preserve">      - wildfire_hazard_exposure_score</w:t>
              <w:br/>
              <w:t xml:space="preserve">      - coastal_surge_elevation_deficit</w:t>
              <w:br/>
              <w:t xml:space="preserve">      - high_voltage_powerline_proximity</w:t>
            </w:r>
          </w:p>
        </w:tc>
      </w:tr>
    </w:tbl>
    <w:p>
      <w:pPr>
        <w:spacing w:before="40" w:after="120"/>
      </w:pPr>
    </w:p>
    <w:p>
      <w:pPr>
        <w:keepNext/>
        <w:spacing w:before="440" w:after="120"/>
      </w:pPr>
      <w:r>
        <w:rPr>
          <w:rFonts w:ascii="Arial" w:hAnsi="Arial"/>
          <w:b/>
          <w:color w:val="004D40"/>
          <w:sz w:val="36"/>
        </w:rPr>
        <w:t>9. Production System Prompt v2.4 for Natural Language Generation</w:t>
      </w:r>
    </w:p>
    <w:p>
      <w:pPr>
        <w:keepNext/>
        <w:spacing w:before="0" w:after="160"/>
      </w:pPr>
      <w:r>
        <w:rPr>
          <w:rFonts w:ascii="Arial" w:hAnsi="Arial"/>
          <w:color w:val="E07A5F"/>
          <w:sz w:val="16"/>
        </w:rPr>
        <w:t>―――――――――――――――――――――――――――――――――――――――――――――</w:t>
      </w:r>
    </w:p>
    <w:p>
      <w:pPr>
        <w:spacing w:before="40" w:after="120" w:line="276" w:lineRule="auto"/>
      </w:pPr>
      <w:r>
        <w:rPr>
          <w:rFonts w:ascii="Calibri" w:hAnsi="Calibri"/>
          <w:color w:val="1A1A1A"/>
          <w:sz w:val="21"/>
        </w:rPr>
        <w:t>To transform raw mathematical SHAP vectors into calm, authoritative, non-marketing text, TruePlace uses an audited LLM conversion pipeline governed by System Prompt v2.4. The model temperature is strictly constrained between 0.15 and 0.25, with an automated regex verification layer ensuring that every dollar amount mentioned in the output matches the input vector to the nearest cent.</w:t>
      </w:r>
    </w:p>
    <w:tbl>
      <w:tblPr>
        <w:tblW w:type="auto" w:w="0"/>
        <w:jc w:val="center"/>
        <w:tblLayout w:type="fixed"/>
        <w:tblLook w:firstColumn="1" w:firstRow="1" w:lastColumn="0" w:lastRow="0" w:noHBand="0" w:noVBand="1" w:val="04A0"/>
      </w:tblPr>
      <w:tblGrid>
        <w:gridCol w:w="9360"/>
      </w:tblGrid>
      <w:tr>
        <w:tc>
          <w:tcPr>
            <w:tcW w:type="dxa" w:w="9360"/>
            <w:shd w:fill="2B2D42"/>
            <w:tcMar>
              <w:top w:w="140" w:type="dxa"/>
              <w:bottom w:w="140" w:type="dxa"/>
              <w:left w:w="180" w:type="dxa"/>
              <w:right w:w="180" w:type="dxa"/>
            </w:tcMar>
          </w:tcPr>
          <w:p>
            <w:pPr>
              <w:spacing w:before="0" w:after="40"/>
            </w:pPr>
            <w:r>
              <w:rPr>
                <w:rFonts w:ascii="Consolas" w:hAnsi="Consolas"/>
                <w:b/>
                <w:color w:val="8D99AE"/>
                <w:sz w:val="17"/>
              </w:rPr>
              <w:t>// SYSTEM PROMPT: /prompts/shap_natural_language_v2.4.txt</w:t>
              <w:br/>
            </w:r>
            <w:r>
              <w:rPr>
                <w:rFonts w:ascii="Consolas" w:hAnsi="Consolas"/>
                <w:color w:val="EDF2F4"/>
                <w:sz w:val="17"/>
              </w:rPr>
              <w:t>You are the TruePlace Explainability Engine (v2.4).</w:t>
              <w:br/>
              <w:t>Your task is to convert raw SHAP values, base values, and property metadata into clear, trustworthy, and precise natural-language explanations for homebuyers and sellers.</w:t>
              <w:br/>
              <w:br/>
              <w:t>CORE RULES:</w:t>
              <w:br/>
              <w:t>1. TRUTHFULNESS &amp; ACCURACY:</w:t>
              <w:br/>
              <w:t xml:space="preserve">   - Every dollar amount in your explanation MUST exactly match the aggregated category values or individual top feature values provided in the JSON payload.</w:t>
              <w:br/>
              <w:t xml:space="preserve">   - Do NOT invent, extrapolate, or estimate numbers not explicitly provided.</w:t>
              <w:br/>
              <w:br/>
              <w:t>2. TONE &amp; BRAND VOICE:</w:t>
              <w:br/>
              <w:t xml:space="preserve">   - Calm, objective, authoritative, and respectful.</w:t>
              <w:br/>
              <w:t xml:space="preserve">   - Speak like an experienced, neutral appraiser who respects the user's intelligence.</w:t>
              <w:br/>
              <w:t xml:space="preserve">   - NEVER use promotional or marketing buzzwords (e.g., 'stunning', 'gorgeous', 'rare gem', 'must-see', 'bargain', 'steal').</w:t>
              <w:br/>
              <w:br/>
              <w:t>3. STRUCTURE OF THE EXPLANATION:</w:t>
              <w:br/>
              <w:t xml:space="preserve">   - Paragraph 1: State the overall TrueValue, the confidence score, and how the property compares to the local benchmark (base value).</w:t>
              <w:br/>
              <w:t xml:space="preserve">   - Paragraph 2: Highlight the top 2-3 positive drivers and their specific dollar impact in plain English.</w:t>
              <w:br/>
              <w:t xml:space="preserve">   - Paragraph 3: Highlight the top 1-2 negative drivers (deductions) and their specific dollar impact, explaining how they offset gains.</w:t>
              <w:br/>
              <w:t xml:space="preserve">   - Paragraph 4 (Context/Limitations): Mention the confidence level, data freshness, and whether a licensed human appraiser review is recommended.</w:t>
              <w:br/>
              <w:br/>
              <w:t>4. CONFIDENCE HANDLING:</w:t>
              <w:br/>
              <w:t xml:space="preserve">   - Confidence &gt;= 85%: State that the valuation has 'very high confidence backed by strong recent comparable sales and complete permit records.'</w:t>
              <w:br/>
              <w:t xml:space="preserve">   - Confidence 70-84%: State that the valuation has 'moderate confidence with adequate local comp density.'</w:t>
              <w:br/>
              <w:t xml:space="preserve">   - Confidence &lt; 70%: Explicitly state: 'Because micro-neighborhood sales data is limited, we recommend a certified human appraisal.'</w:t>
              <w:br/>
              <w:br/>
              <w:t>FORBIDDEN WORDS:</w:t>
              <w:br/>
              <w:t>['dream home', 'stunning', 'unbelievable', 'investor special', 'hurry', 'hot market', 'guaranteed']</w:t>
              <w:br/>
              <w:br/>
              <w:t>OUTPUT FORMAT:</w:t>
              <w:br/>
              <w:t>Return clean markdown containing exactly:</w:t>
              <w:br/>
              <w:t>### Summary</w:t>
              <w:br/>
              <w:t>[1-2 sentences with TrueValue, range, and primary takeaway]</w:t>
              <w:br/>
              <w:br/>
              <w:t>### Value Drivers</w:t>
              <w:br/>
              <w:t>- **Positive Driver 1**: [Description + dollar uplift]</w:t>
              <w:br/>
              <w:t>- **Positive Driver 2**: [Description + dollar uplift]</w:t>
              <w:br/>
              <w:t>- **Offsetting Factor**: [Description + dollar reduction]</w:t>
              <w:br/>
              <w:br/>
              <w:t>### Data Integrity &amp; Confidence</w:t>
              <w:br/>
              <w:t>[Explanation of confidence score, comp freshness, and inspection notes]</w:t>
            </w:r>
          </w:p>
        </w:tc>
      </w:tr>
    </w:tbl>
    <w:p>
      <w:pPr>
        <w:spacing w:before="40" w:after="120"/>
      </w:pPr>
    </w:p>
    <w:p>
      <w:pPr>
        <w:keepNext/>
        <w:spacing w:before="440" w:after="120"/>
      </w:pPr>
      <w:r>
        <w:rPr>
          <w:rFonts w:ascii="Arial" w:hAnsi="Arial"/>
          <w:b/>
          <w:color w:val="004D40"/>
          <w:sz w:val="36"/>
        </w:rPr>
        <w:t>10. What-If Simulator: Counterfactual Engine &amp; Technical Constraints</w:t>
      </w:r>
    </w:p>
    <w:p>
      <w:pPr>
        <w:keepNext/>
        <w:spacing w:before="0" w:after="160"/>
      </w:pPr>
      <w:r>
        <w:rPr>
          <w:rFonts w:ascii="Arial" w:hAnsi="Arial"/>
          <w:color w:val="E07A5F"/>
          <w:sz w:val="16"/>
        </w:rPr>
        <w:t>―――――――――――――――――――――――――――――――――――――――――――――</w:t>
      </w:r>
    </w:p>
    <w:p>
      <w:pPr>
        <w:spacing w:before="40" w:after="120" w:line="276" w:lineRule="auto"/>
      </w:pPr>
      <w:r>
        <w:rPr>
          <w:rFonts w:ascii="Calibri" w:hAnsi="Calibri"/>
          <w:b/>
          <w:color w:val="1A1A1A"/>
          <w:sz w:val="21"/>
        </w:rPr>
        <w:t xml:space="preserve">Counterfactual Mechanics: </w:t>
      </w:r>
      <w:r>
        <w:rPr>
          <w:rFonts w:ascii="Calibri" w:hAnsi="Calibri"/>
          <w:color w:val="1A1A1A"/>
          <w:sz w:val="21"/>
        </w:rPr>
        <w:t>The What-If Simulator empowers users to test counterfactual scenarios (e.g., 'What if we renovate the kitchen to modern standards?' or 'What if we add a two-car garage?'). Unlike naive static calculators that simply apply a flat percentage bump, TruePlace uses Interventional TreeSHAP on counterfactual feature vectors.</w:t>
      </w:r>
    </w:p>
    <w:p>
      <w:pPr>
        <w:spacing w:before="40" w:after="120" w:line="276" w:lineRule="auto"/>
      </w:pPr>
      <w:r>
        <w:rPr>
          <w:rFonts w:ascii="Calibri" w:hAnsi="Calibri"/>
          <w:color w:val="1A1A1A"/>
          <w:sz w:val="21"/>
        </w:rPr>
        <w:t>When a user activates a simulation toggle or slider, the client sends a delta vector Δx to the valuation service. The service constructs a synthetic property vector x' = x + Δx, validates it against physical and architectural constraints, executes the LightGBM ensemble, and runs TreeSHAP with feature_perturbation='interventional'. The delta Δφ = φ(x') - φ(x) is extracted, ensuring the resulting price change reflects realistic local diminishing returns and micro-market saturation.</w:t>
      </w:r>
    </w:p>
    <w:p>
      <w:pPr>
        <w:keepNext/>
        <w:spacing w:before="280" w:after="80"/>
      </w:pPr>
      <w:r>
        <w:rPr>
          <w:rFonts w:ascii="Arial" w:hAnsi="Arial"/>
          <w:b/>
          <w:color w:val="004D40"/>
          <w:sz w:val="26"/>
        </w:rPr>
        <w:t>Constraint &amp; Realism Engine Rules</w:t>
      </w:r>
    </w:p>
    <w:p>
      <w:pPr>
        <w:spacing w:before="40" w:after="80" w:line="276" w:lineRule="auto"/>
      </w:pPr>
      <w:r>
        <w:rPr>
          <w:rFonts w:ascii="Calibri" w:hAnsi="Calibri"/>
          <w:color w:val="1A1A1A"/>
          <w:sz w:val="21"/>
        </w:rPr>
        <w:t>To prevent users from generating absurd valuations, the Realism Engine enforces strict physical boundaries:</w:t>
      </w:r>
    </w:p>
    <w:p>
      <w:pPr>
        <w:spacing w:before="40" w:after="60" w:line="276" w:lineRule="auto"/>
      </w:pPr>
      <w:r>
        <w:rPr>
          <w:rFonts w:ascii="Calibri" w:hAnsi="Calibri"/>
          <w:color w:val="1A1A1A"/>
          <w:sz w:val="21"/>
        </w:rPr>
        <w:t>1. Square Footage Ceiling: Additions cannot exceed zoning Maximum Floor Area Ratio (FAR) or lot setbacks.</w:t>
      </w:r>
    </w:p>
    <w:p>
      <w:pPr>
        <w:spacing w:before="40" w:after="60" w:line="276" w:lineRule="auto"/>
      </w:pPr>
      <w:r>
        <w:rPr>
          <w:rFonts w:ascii="Calibri" w:hAnsi="Calibri"/>
          <w:color w:val="1A1A1A"/>
          <w:sz w:val="21"/>
        </w:rPr>
        <w:t>2. Diminishing ROI Caps: Luxury kitchen upgrades in starter home neighborhoods have diminishing marginal returns capped by the top 90th percentile comp in the census tract.</w:t>
      </w:r>
    </w:p>
    <w:p>
      <w:pPr>
        <w:spacing w:before="40" w:after="60" w:line="276" w:lineRule="auto"/>
      </w:pPr>
      <w:r>
        <w:rPr>
          <w:rFonts w:ascii="Calibri" w:hAnsi="Calibri"/>
          <w:color w:val="1A1A1A"/>
          <w:sz w:val="21"/>
        </w:rPr>
        <w:t>3. Climate Compatibility: Swimming pool valuation uplifts are zeroed or discounted heavily in alpine/sub-zero climates compared to Sun Belt regions.</w:t>
      </w:r>
    </w:p>
    <w:p>
      <w:pPr>
        <w:spacing w:before="40" w:after="160" w:line="276" w:lineRule="auto"/>
      </w:pPr>
      <w:r>
        <w:rPr>
          <w:rFonts w:ascii="Calibri" w:hAnsi="Calibri"/>
          <w:color w:val="1A1A1A"/>
          <w:sz w:val="21"/>
        </w:rPr>
        <w:t>4. Historical Designation Restrictions: Structural exterior modifications on historic district properties require landmark commission clearance flags.</w:t>
      </w:r>
    </w:p>
    <w:p>
      <w:pPr>
        <w:keepNext/>
        <w:spacing w:before="280" w:after="80"/>
      </w:pPr>
      <w:r>
        <w:rPr>
          <w:rFonts w:ascii="Arial" w:hAnsi="Arial"/>
          <w:b/>
          <w:color w:val="004D40"/>
          <w:sz w:val="26"/>
        </w:rPr>
        <w:t>JSON API Contract (Request &amp; Response Payloads)</w:t>
      </w:r>
    </w:p>
    <w:tbl>
      <w:tblPr>
        <w:tblW w:type="auto" w:w="0"/>
        <w:jc w:val="center"/>
        <w:tblLayout w:type="fixed"/>
        <w:tblLook w:firstColumn="1" w:firstRow="1" w:lastColumn="0" w:lastRow="0" w:noHBand="0" w:noVBand="1" w:val="04A0"/>
      </w:tblPr>
      <w:tblGrid>
        <w:gridCol w:w="9360"/>
      </w:tblGrid>
      <w:tr>
        <w:tc>
          <w:tcPr>
            <w:tcW w:type="dxa" w:w="9360"/>
            <w:shd w:fill="2B2D42"/>
            <w:tcMar>
              <w:top w:w="140" w:type="dxa"/>
              <w:bottom w:w="140" w:type="dxa"/>
              <w:left w:w="180" w:type="dxa"/>
              <w:right w:w="180" w:type="dxa"/>
            </w:tcMar>
          </w:tcPr>
          <w:p>
            <w:pPr>
              <w:spacing w:before="0" w:after="40"/>
            </w:pPr>
            <w:r>
              <w:rPr>
                <w:rFonts w:ascii="Consolas" w:hAnsi="Consolas"/>
                <w:b/>
                <w:color w:val="8D99AE"/>
                <w:sz w:val="17"/>
              </w:rPr>
              <w:t>// API CONTRACT: /api/v1/valuation/what-if</w:t>
              <w:br/>
            </w:r>
            <w:r>
              <w:rPr>
                <w:rFonts w:ascii="Consolas" w:hAnsi="Consolas"/>
                <w:color w:val="EDF2F4"/>
                <w:sz w:val="17"/>
              </w:rPr>
              <w:t>// Request: POST /api/v1/valuation/what-if</w:t>
              <w:br/>
              <w:t>{</w:t>
              <w:br/>
              <w:t xml:space="preserve">  "property_id": "tp_98412_ash",</w:t>
              <w:br/>
              <w:t xml:space="preserve">  "base_valuation_id": "val_2026_09_001",</w:t>
              <w:br/>
              <w:t xml:space="preserve">  "scenarios": [</w:t>
              <w:br/>
              <w:t xml:space="preserve">    {</w:t>
              <w:br/>
              <w:t xml:space="preserve">      "feature_key": "kitchen_renovation_tier",</w:t>
              <w:br/>
              <w:t xml:space="preserve">      "original_value": "standard_1990",</w:t>
              <w:br/>
              <w:t xml:space="preserve">      "simulated_value": "modern_luxury_2026",</w:t>
              <w:br/>
              <w:t xml:space="preserve">      "estimated_cost_usd": 55000</w:t>
              <w:br/>
              <w:t xml:space="preserve">    },</w:t>
              <w:br/>
              <w:t xml:space="preserve">    {</w:t>
              <w:br/>
              <w:t xml:space="preserve">      "feature_key": "hvac_system_age_years",</w:t>
              <w:br/>
              <w:t xml:space="preserve">      "original_value": 18,</w:t>
              <w:br/>
              <w:t xml:space="preserve">      "simulated_value": 0,</w:t>
              <w:br/>
              <w:t xml:space="preserve">      "estimated_cost_usd": 12000</w:t>
              <w:br/>
              <w:t xml:space="preserve">    }</w:t>
              <w:br/>
              <w:t xml:space="preserve">  ]</w:t>
              <w:br/>
              <w:t>}</w:t>
              <w:br/>
              <w:br/>
              <w:t>// Response: HTTP 200 OK</w:t>
              <w:br/>
              <w:t>{</w:t>
              <w:br/>
              <w:t xml:space="preserve">  "property_id": "tp_98412_ash",</w:t>
              <w:br/>
              <w:t xml:space="preserve">  "original_truevalue": 711400,</w:t>
              <w:br/>
              <w:t xml:space="preserve">  "simulated_truevalue": 768200,</w:t>
              <w:br/>
              <w:t xml:space="preserve">  "net_value_change": 56800,</w:t>
              <w:br/>
              <w:t xml:space="preserve">  "confidence_score": 90,</w:t>
              <w:br/>
              <w:t xml:space="preserve">  "delta_breakdown": [</w:t>
              <w:br/>
              <w:t xml:space="preserve">    {</w:t>
              <w:br/>
              <w:t xml:space="preserve">      "category": "Renovation &amp; Condition",</w:t>
              <w:br/>
              <w:t xml:space="preserve">      "delta_amount": 56800,</w:t>
              <w:br/>
              <w:t xml:space="preserve">      "drivers": [</w:t>
              <w:br/>
              <w:t xml:space="preserve">        {</w:t>
              <w:br/>
              <w:t xml:space="preserve">          "feature": "kitchen_renovation_tier",</w:t>
              <w:br/>
              <w:t xml:space="preserve">          "value_delta": 44100,</w:t>
              <w:br/>
              <w:t xml:space="preserve">          "roi_percentage": 80.18</w:t>
              <w:br/>
              <w:t xml:space="preserve">        },</w:t>
              <w:br/>
              <w:t xml:space="preserve">        {</w:t>
              <w:br/>
              <w:t xml:space="preserve">          "feature": "hvac_system_age_years",</w:t>
              <w:br/>
              <w:t xml:space="preserve">          "value_delta": 12700,</w:t>
              <w:br/>
              <w:t xml:space="preserve">          "roi_percentage": 105.83</w:t>
              <w:br/>
              <w:t xml:space="preserve">        }</w:t>
              <w:br/>
              <w:t xml:space="preserve">      ]</w:t>
              <w:br/>
              <w:t xml:space="preserve">    }</w:t>
              <w:br/>
              <w:t xml:space="preserve">  ],</w:t>
              <w:br/>
              <w:t xml:space="preserve">  "natural_language_summary": "Upgrading the kitchen to luxury modern finishes and replacing the 18-year-old HVAC system yields an estimated $56,800 increase in property value. The kitchen upgrade accounts for +$44,100, and the new high-efficiency HVAC adds +$12,700.",</w:t>
              <w:br/>
              <w:t xml:space="preserve">  "execution_time_ms": 118</w:t>
              <w:br/>
              <w:t>}</w:t>
            </w:r>
          </w:p>
        </w:tc>
      </w:tr>
    </w:tbl>
    <w:p>
      <w:pPr>
        <w:spacing w:before="40" w:after="120"/>
      </w:pPr>
    </w:p>
    <w:p>
      <w:pPr>
        <w:keepNext/>
        <w:spacing w:before="440" w:after="120"/>
      </w:pPr>
      <w:r>
        <w:rPr>
          <w:rFonts w:ascii="Arial" w:hAnsi="Arial"/>
          <w:b/>
          <w:color w:val="004D40"/>
          <w:sz w:val="36"/>
        </w:rPr>
        <w:t>11. TreeSHAP Performance Optimization &amp; Real-Time Caching Strategy</w:t>
      </w:r>
    </w:p>
    <w:p>
      <w:pPr>
        <w:keepNext/>
        <w:spacing w:before="0" w:after="160"/>
      </w:pPr>
      <w:r>
        <w:rPr>
          <w:rFonts w:ascii="Arial" w:hAnsi="Arial"/>
          <w:color w:val="E07A5F"/>
          <w:sz w:val="16"/>
        </w:rPr>
        <w:t>―――――――――――――――――――――――――――――――――――――――――――――</w:t>
      </w:r>
    </w:p>
    <w:p>
      <w:pPr>
        <w:spacing w:before="40" w:after="120" w:line="276" w:lineRule="auto"/>
      </w:pPr>
      <w:r>
        <w:rPr>
          <w:rFonts w:ascii="Calibri" w:hAnsi="Calibri"/>
          <w:color w:val="1A1A1A"/>
          <w:sz w:val="21"/>
        </w:rPr>
        <w:t>Standard TreeSHAP implementations can encounter latency bottlenecks when processing complex counterfactuals across hundreds of concurrent users. TruePlace deploys a three-tier optimization architecture to ensure sub-150 millisecond response times at p95.</w:t>
      </w:r>
    </w:p>
    <w:tbl>
      <w:tblPr>
        <w:tblW w:type="auto" w:w="0"/>
        <w:jc w:val="center"/>
        <w:tblLayout w:type="fixed"/>
        <w:tblLook w:firstColumn="1" w:firstRow="1" w:lastColumn="0" w:lastRow="0" w:noHBand="0" w:noVBand="1" w:val="04A0"/>
        <w:tblBorders>
          <w:top w:val="single" w:sz="6" w:space="0" w:color="D3D3D3"/>
          <w:left w:val="none"/>
          <w:bottom w:val="single" w:sz="8" w:space="0" w:color="004D40"/>
          <w:right w:val="none"/>
          <w:insideH w:val="single" w:sz="4" w:space="0" w:color="D3D3D3"/>
          <w:insideV w:val="none"/>
        </w:tblBorders>
      </w:tblPr>
      <w:tblGrid>
        <w:gridCol w:w="2340"/>
        <w:gridCol w:w="2340"/>
        <w:gridCol w:w="2340"/>
        <w:gridCol w:w="2340"/>
      </w:tblGrid>
      <w:tr>
        <w:tc>
          <w:tcPr>
            <w:tcW w:type="dxa" w:w="2016"/>
            <w:tcMar>
              <w:top w:w="60" w:type="dxa"/>
              <w:bottom w:w="60" w:type="dxa"/>
              <w:left w:w="70" w:type="dxa"/>
              <w:right w:w="70" w:type="dxa"/>
            </w:tcMar>
            <w:shd w:fill="004D40"/>
          </w:tcPr>
          <w:p>
            <w:r>
              <w:rPr>
                <w:rFonts w:ascii="Arial" w:hAnsi="Arial"/>
                <w:b/>
                <w:color w:val="FFFFFF"/>
                <w:sz w:val="17"/>
              </w:rPr>
              <w:t>Layer</w:t>
            </w:r>
          </w:p>
        </w:tc>
        <w:tc>
          <w:tcPr>
            <w:tcW w:type="dxa" w:w="2304"/>
            <w:tcMar>
              <w:top w:w="60" w:type="dxa"/>
              <w:bottom w:w="60" w:type="dxa"/>
              <w:left w:w="70" w:type="dxa"/>
              <w:right w:w="70" w:type="dxa"/>
            </w:tcMar>
            <w:shd w:fill="004D40"/>
          </w:tcPr>
          <w:p>
            <w:r>
              <w:rPr>
                <w:rFonts w:ascii="Arial" w:hAnsi="Arial"/>
                <w:b/>
                <w:color w:val="FFFFFF"/>
                <w:sz w:val="17"/>
              </w:rPr>
              <w:t>Technique</w:t>
            </w:r>
          </w:p>
        </w:tc>
        <w:tc>
          <w:tcPr>
            <w:tcW w:type="dxa" w:w="3312"/>
            <w:tcMar>
              <w:top w:w="60" w:type="dxa"/>
              <w:bottom w:w="60" w:type="dxa"/>
              <w:left w:w="70" w:type="dxa"/>
              <w:right w:w="70" w:type="dxa"/>
            </w:tcMar>
            <w:shd w:fill="004D40"/>
          </w:tcPr>
          <w:p>
            <w:r>
              <w:rPr>
                <w:rFonts w:ascii="Arial" w:hAnsi="Arial"/>
                <w:b/>
                <w:color w:val="FFFFFF"/>
                <w:sz w:val="17"/>
              </w:rPr>
              <w:t>Implementation Details</w:t>
            </w:r>
          </w:p>
        </w:tc>
        <w:tc>
          <w:tcPr>
            <w:tcW w:type="dxa" w:w="1728"/>
            <w:tcMar>
              <w:top w:w="60" w:type="dxa"/>
              <w:bottom w:w="60" w:type="dxa"/>
              <w:left w:w="70" w:type="dxa"/>
              <w:right w:w="70" w:type="dxa"/>
            </w:tcMar>
            <w:shd w:fill="004D40"/>
          </w:tcPr>
          <w:p>
            <w:r>
              <w:rPr>
                <w:rFonts w:ascii="Arial" w:hAnsi="Arial"/>
                <w:b/>
                <w:color w:val="FFFFFF"/>
                <w:sz w:val="17"/>
              </w:rPr>
              <w:t>Latency Gain</w:t>
            </w:r>
          </w:p>
        </w:tc>
      </w:tr>
      <w:tr>
        <w:tc>
          <w:tcPr>
            <w:tcW w:type="dxa" w:w="2016"/>
            <w:tcMar>
              <w:top w:w="60" w:type="dxa"/>
              <w:bottom w:w="60" w:type="dxa"/>
              <w:left w:w="70" w:type="dxa"/>
              <w:right w:w="70" w:type="dxa"/>
            </w:tcMar>
            <w:shd w:fill="F4F7F6"/>
          </w:tcPr>
          <w:p>
            <w:r>
              <w:rPr>
                <w:rFonts w:ascii="Calibri" w:hAnsi="Calibri"/>
                <w:color w:val="1A1A1A"/>
                <w:sz w:val="16"/>
              </w:rPr>
              <w:t>Model Optimization</w:t>
            </w:r>
          </w:p>
        </w:tc>
        <w:tc>
          <w:tcPr>
            <w:tcW w:type="dxa" w:w="2304"/>
            <w:tcMar>
              <w:top w:w="60" w:type="dxa"/>
              <w:bottom w:w="60" w:type="dxa"/>
              <w:left w:w="70" w:type="dxa"/>
              <w:right w:w="70" w:type="dxa"/>
            </w:tcMar>
            <w:shd w:fill="F4F7F6"/>
          </w:tcPr>
          <w:p>
            <w:r>
              <w:rPr>
                <w:rFonts w:ascii="Calibri" w:hAnsi="Calibri"/>
                <w:color w:val="1A1A1A"/>
                <w:sz w:val="16"/>
              </w:rPr>
              <w:t>LightGBM Pruning &amp; Tree Compression</w:t>
            </w:r>
          </w:p>
        </w:tc>
        <w:tc>
          <w:tcPr>
            <w:tcW w:type="dxa" w:w="3312"/>
            <w:tcMar>
              <w:top w:w="60" w:type="dxa"/>
              <w:bottom w:w="60" w:type="dxa"/>
              <w:left w:w="70" w:type="dxa"/>
              <w:right w:w="70" w:type="dxa"/>
            </w:tcMar>
            <w:shd w:fill="F4F7F6"/>
          </w:tcPr>
          <w:p>
            <w:r>
              <w:rPr>
                <w:rFonts w:ascii="Calibri" w:hAnsi="Calibri"/>
                <w:color w:val="1A1A1A"/>
                <w:sz w:val="16"/>
              </w:rPr>
              <w:t>Limit tree depth to 8 levels and prune leaves with &lt; 0.01% sample weight. LightGBM delivers 4x faster TreeSHAP traversal than XGBoost.</w:t>
            </w:r>
          </w:p>
        </w:tc>
        <w:tc>
          <w:tcPr>
            <w:tcW w:type="dxa" w:w="1728"/>
            <w:tcMar>
              <w:top w:w="60" w:type="dxa"/>
              <w:bottom w:w="60" w:type="dxa"/>
              <w:left w:w="70" w:type="dxa"/>
              <w:right w:w="70" w:type="dxa"/>
            </w:tcMar>
            <w:shd w:fill="F4F7F6"/>
          </w:tcPr>
          <w:p>
            <w:r>
              <w:rPr>
                <w:rFonts w:ascii="Calibri" w:hAnsi="Calibri"/>
                <w:color w:val="1A1A1A"/>
                <w:sz w:val="16"/>
              </w:rPr>
              <w:t>4.2x speedup</w:t>
            </w:r>
          </w:p>
        </w:tc>
      </w:tr>
      <w:tr>
        <w:tc>
          <w:tcPr>
            <w:tcW w:type="dxa" w:w="2016"/>
            <w:tcMar>
              <w:top w:w="60" w:type="dxa"/>
              <w:bottom w:w="60" w:type="dxa"/>
              <w:left w:w="70" w:type="dxa"/>
              <w:right w:w="70" w:type="dxa"/>
            </w:tcMar>
          </w:tcPr>
          <w:p>
            <w:r>
              <w:rPr>
                <w:rFonts w:ascii="Calibri" w:hAnsi="Calibri"/>
                <w:color w:val="1A1A1A"/>
                <w:sz w:val="16"/>
              </w:rPr>
              <w:t>Algorithmic Mode</w:t>
            </w:r>
          </w:p>
        </w:tc>
        <w:tc>
          <w:tcPr>
            <w:tcW w:type="dxa" w:w="2304"/>
            <w:tcMar>
              <w:top w:w="60" w:type="dxa"/>
              <w:bottom w:w="60" w:type="dxa"/>
              <w:left w:w="70" w:type="dxa"/>
              <w:right w:w="70" w:type="dxa"/>
            </w:tcMar>
          </w:tcPr>
          <w:p>
            <w:r>
              <w:rPr>
                <w:rFonts w:ascii="Calibri" w:hAnsi="Calibri"/>
                <w:color w:val="1A1A1A"/>
                <w:sz w:val="16"/>
              </w:rPr>
              <w:t>Path-Dependent vs Interventional Routing</w:t>
            </w:r>
          </w:p>
        </w:tc>
        <w:tc>
          <w:tcPr>
            <w:tcW w:type="dxa" w:w="3312"/>
            <w:tcMar>
              <w:top w:w="60" w:type="dxa"/>
              <w:bottom w:w="60" w:type="dxa"/>
              <w:left w:w="70" w:type="dxa"/>
              <w:right w:w="70" w:type="dxa"/>
            </w:tcMar>
          </w:tcPr>
          <w:p>
            <w:r>
              <w:rPr>
                <w:rFonts w:ascii="Calibri" w:hAnsi="Calibri"/>
                <w:color w:val="1A1A1A"/>
                <w:sz w:val="16"/>
              </w:rPr>
              <w:t>Use tree_path_dependent for static listing views (&lt; 60ms). Switch to interventional TreeSHAP only when counterfactuals are requested.</w:t>
            </w:r>
          </w:p>
        </w:tc>
        <w:tc>
          <w:tcPr>
            <w:tcW w:type="dxa" w:w="1728"/>
            <w:tcMar>
              <w:top w:w="60" w:type="dxa"/>
              <w:bottom w:w="60" w:type="dxa"/>
              <w:left w:w="70" w:type="dxa"/>
              <w:right w:w="70" w:type="dxa"/>
            </w:tcMar>
          </w:tcPr>
          <w:p>
            <w:r>
              <w:rPr>
                <w:rFonts w:ascii="Calibri" w:hAnsi="Calibri"/>
                <w:color w:val="1A1A1A"/>
                <w:sz w:val="16"/>
              </w:rPr>
              <w:t>3.5x speedup</w:t>
            </w:r>
          </w:p>
        </w:tc>
      </w:tr>
      <w:tr>
        <w:tc>
          <w:tcPr>
            <w:tcW w:type="dxa" w:w="2016"/>
            <w:tcMar>
              <w:top w:w="60" w:type="dxa"/>
              <w:bottom w:w="60" w:type="dxa"/>
              <w:left w:w="70" w:type="dxa"/>
              <w:right w:w="70" w:type="dxa"/>
            </w:tcMar>
            <w:shd w:fill="F4F7F6"/>
          </w:tcPr>
          <w:p>
            <w:r>
              <w:rPr>
                <w:rFonts w:ascii="Calibri" w:hAnsi="Calibri"/>
                <w:color w:val="1A1A1A"/>
                <w:sz w:val="16"/>
              </w:rPr>
              <w:t>Multi-Tier Caching</w:t>
            </w:r>
          </w:p>
        </w:tc>
        <w:tc>
          <w:tcPr>
            <w:tcW w:type="dxa" w:w="2304"/>
            <w:tcMar>
              <w:top w:w="60" w:type="dxa"/>
              <w:bottom w:w="60" w:type="dxa"/>
              <w:left w:w="70" w:type="dxa"/>
              <w:right w:w="70" w:type="dxa"/>
            </w:tcMar>
            <w:shd w:fill="F4F7F6"/>
          </w:tcPr>
          <w:p>
            <w:r>
              <w:rPr>
                <w:rFonts w:ascii="Calibri" w:hAnsi="Calibri"/>
                <w:color w:val="1A1A1A"/>
                <w:sz w:val="16"/>
              </w:rPr>
              <w:t>Deterministic Feature Hash Caching</w:t>
            </w:r>
          </w:p>
        </w:tc>
        <w:tc>
          <w:tcPr>
            <w:tcW w:type="dxa" w:w="3312"/>
            <w:tcMar>
              <w:top w:w="60" w:type="dxa"/>
              <w:bottom w:w="60" w:type="dxa"/>
              <w:left w:w="70" w:type="dxa"/>
              <w:right w:w="70" w:type="dxa"/>
            </w:tcMar>
            <w:shd w:fill="F4F7F6"/>
          </w:tcPr>
          <w:p>
            <w:r>
              <w:rPr>
                <w:rFonts w:ascii="Calibri" w:hAnsi="Calibri"/>
                <w:color w:val="1A1A1A"/>
                <w:sz w:val="16"/>
              </w:rPr>
              <w:t>Hash property feature vectors with SHA-256 + model version salt. Static SHAP vectors cached in Redis with 24-hour TTL.</w:t>
            </w:r>
          </w:p>
        </w:tc>
        <w:tc>
          <w:tcPr>
            <w:tcW w:type="dxa" w:w="1728"/>
            <w:tcMar>
              <w:top w:w="60" w:type="dxa"/>
              <w:bottom w:w="60" w:type="dxa"/>
              <w:left w:w="70" w:type="dxa"/>
              <w:right w:w="70" w:type="dxa"/>
            </w:tcMar>
            <w:shd w:fill="F4F7F6"/>
          </w:tcPr>
          <w:p>
            <w:r>
              <w:rPr>
                <w:rFonts w:ascii="Calibri" w:hAnsi="Calibri"/>
                <w:color w:val="1A1A1A"/>
                <w:sz w:val="16"/>
              </w:rPr>
              <w:t>99% cache hit rate</w:t>
            </w:r>
          </w:p>
        </w:tc>
      </w:tr>
      <w:tr>
        <w:tc>
          <w:tcPr>
            <w:tcW w:type="dxa" w:w="2016"/>
            <w:tcMar>
              <w:top w:w="60" w:type="dxa"/>
              <w:bottom w:w="60" w:type="dxa"/>
              <w:left w:w="70" w:type="dxa"/>
              <w:right w:w="70" w:type="dxa"/>
            </w:tcMar>
          </w:tcPr>
          <w:p>
            <w:r>
              <w:rPr>
                <w:rFonts w:ascii="Calibri" w:hAnsi="Calibri"/>
                <w:color w:val="1A1A1A"/>
                <w:sz w:val="16"/>
              </w:rPr>
              <w:t>Delta Computation</w:t>
            </w:r>
          </w:p>
        </w:tc>
        <w:tc>
          <w:tcPr>
            <w:tcW w:type="dxa" w:w="2304"/>
            <w:tcMar>
              <w:top w:w="60" w:type="dxa"/>
              <w:bottom w:w="60" w:type="dxa"/>
              <w:left w:w="70" w:type="dxa"/>
              <w:right w:w="70" w:type="dxa"/>
            </w:tcMar>
          </w:tcPr>
          <w:p>
            <w:r>
              <w:rPr>
                <w:rFonts w:ascii="Calibri" w:hAnsi="Calibri"/>
                <w:color w:val="1A1A1A"/>
                <w:sz w:val="16"/>
              </w:rPr>
              <w:t>Partial Subtree Delta Traversal</w:t>
            </w:r>
          </w:p>
        </w:tc>
        <w:tc>
          <w:tcPr>
            <w:tcW w:type="dxa" w:w="3312"/>
            <w:tcMar>
              <w:top w:w="60" w:type="dxa"/>
              <w:bottom w:w="60" w:type="dxa"/>
              <w:left w:w="70" w:type="dxa"/>
              <w:right w:w="70" w:type="dxa"/>
            </w:tcMar>
          </w:tcPr>
          <w:p>
            <w:r>
              <w:rPr>
                <w:rFonts w:ascii="Calibri" w:hAnsi="Calibri"/>
                <w:color w:val="1A1A1A"/>
                <w:sz w:val="16"/>
              </w:rPr>
              <w:t>In What-If simulations, only re-traverse tree branches containing the mutated feature nodes, reusing untouched branch evaluations.</w:t>
            </w:r>
          </w:p>
        </w:tc>
        <w:tc>
          <w:tcPr>
            <w:tcW w:type="dxa" w:w="1728"/>
            <w:tcMar>
              <w:top w:w="60" w:type="dxa"/>
              <w:bottom w:w="60" w:type="dxa"/>
              <w:left w:w="70" w:type="dxa"/>
              <w:right w:w="70" w:type="dxa"/>
            </w:tcMar>
          </w:tcPr>
          <w:p>
            <w:r>
              <w:rPr>
                <w:rFonts w:ascii="Calibri" w:hAnsi="Calibri"/>
                <w:color w:val="1A1A1A"/>
                <w:sz w:val="16"/>
              </w:rPr>
              <w:t>2.8x speedup</w:t>
            </w:r>
          </w:p>
        </w:tc>
      </w:tr>
    </w:tbl>
    <w:p>
      <w:pPr>
        <w:spacing w:before="40" w:after="240" w:line="276" w:lineRule="auto"/>
      </w:pPr>
      <w:r>
        <w:rPr>
          <w:rFonts w:ascii="Calibri" w:hAnsi="Calibri"/>
          <w:color w:val="1A1A1A"/>
          <w:sz w:val="21"/>
        </w:rPr>
      </w:r>
    </w:p>
    <w:p>
      <w:pPr>
        <w:keepNext/>
        <w:spacing w:before="440" w:after="120"/>
      </w:pPr>
      <w:r>
        <w:rPr>
          <w:rFonts w:ascii="Arial" w:hAnsi="Arial"/>
          <w:b/>
          <w:color w:val="004D40"/>
          <w:sz w:val="36"/>
        </w:rPr>
        <w:t>12. Complete UI/UX Wireframes &amp; Component Design System</w:t>
      </w:r>
    </w:p>
    <w:p>
      <w:pPr>
        <w:keepNext/>
        <w:spacing w:before="0" w:after="160"/>
      </w:pPr>
      <w:r>
        <w:rPr>
          <w:rFonts w:ascii="Arial" w:hAnsi="Arial"/>
          <w:color w:val="E07A5F"/>
          <w:sz w:val="16"/>
        </w:rPr>
        <w:t>―――――――――――――――――――――――――――――――――――――――――――――</w:t>
      </w:r>
    </w:p>
    <w:p>
      <w:pPr>
        <w:spacing w:before="40" w:after="120" w:line="276" w:lineRule="auto"/>
      </w:pPr>
      <w:r>
        <w:rPr>
          <w:rFonts w:ascii="Calibri" w:hAnsi="Calibri"/>
          <w:color w:val="1A1A1A"/>
          <w:sz w:val="21"/>
        </w:rPr>
        <w:t>TruePlace eliminates the visual chaos, flashing ads, and dark patterns of legacy platforms. The interface leverages clean typography (Inter / SF Pro Display), an 8pt modular layout grid, and progressive disclosure (Glance -&gt; Summary -&gt; Detailed Breakdown -&gt; Expert Mode).</w:t>
      </w:r>
    </w:p>
    <w:p>
      <w:pPr>
        <w:keepNext/>
        <w:spacing w:before="280" w:after="80"/>
      </w:pPr>
      <w:r>
        <w:rPr>
          <w:rFonts w:ascii="Arial" w:hAnsi="Arial"/>
          <w:b/>
          <w:color w:val="004D40"/>
          <w:sz w:val="26"/>
        </w:rPr>
        <w:t>A. Main Listing Card: TrueValue Summary (Mobile)</w:t>
      </w:r>
    </w:p>
    <w:tbl>
      <w:tblPr>
        <w:tblW w:type="auto" w:w="0"/>
        <w:jc w:val="center"/>
        <w:tblLayout w:type="fixed"/>
        <w:tblLook w:firstColumn="1" w:firstRow="1" w:lastColumn="0" w:lastRow="0" w:noHBand="0" w:noVBand="1" w:val="04A0"/>
      </w:tblPr>
      <w:tblGrid>
        <w:gridCol w:w="9360"/>
      </w:tblGrid>
      <w:tr>
        <w:tc>
          <w:tcPr>
            <w:tcW w:type="dxa" w:w="9360"/>
            <w:shd w:fill="2B2D42"/>
            <w:tcMar>
              <w:top w:w="140" w:type="dxa"/>
              <w:bottom w:w="140" w:type="dxa"/>
              <w:left w:w="180" w:type="dxa"/>
              <w:right w:w="180" w:type="dxa"/>
            </w:tcMar>
          </w:tcPr>
          <w:p>
            <w:pPr>
              <w:spacing w:before="0" w:after="40"/>
            </w:pPr>
            <w:r>
              <w:rPr>
                <w:rFonts w:ascii="Consolas" w:hAnsi="Consolas"/>
                <w:b/>
                <w:color w:val="8D99AE"/>
                <w:sz w:val="17"/>
              </w:rPr>
              <w:t>// UI WIREFRAME: Main Listing Card (Mobile)</w:t>
              <w:br/>
            </w:r>
            <w:r>
              <w:rPr>
                <w:rFonts w:ascii="Consolas" w:hAnsi="Consolas"/>
                <w:color w:val="EDF2F4"/>
                <w:sz w:val="17"/>
              </w:rPr>
              <w:t>+-------------------------------------------------------+</w:t>
              <w:br/>
              <w:t>|  [Photo Carousel: 1/24]   [ Verified Active 48h ]    |</w:t>
              <w:br/>
              <w:t>|  $711,400                                             |</w:t>
              <w:br/>
              <w:t>|  TrueValue Range: $692,000 - $731,000                 |</w:t>
              <w:br/>
              <w:t>|                                                       |</w:t>
              <w:br/>
              <w:t>|  Confidence Meter: [====== 91% ======] Very High       |</w:t>
              <w:br/>
              <w:t>|  Why: 14 recent micro-comps + verified 2023 renovation |</w:t>
              <w:br/>
              <w:t>|                                                       |</w:t>
              <w:br/>
              <w:t>|  Value Drivers (Instant Glance):                      |</w:t>
              <w:br/>
              <w:t>|  (+) Updated Kitchen (2023) ............... +$41,200   |</w:t>
              <w:br/>
              <w:t>|  (+) Oversized Corner Lot ................. +$19,800   |</w:t>
              <w:br/>
              <w:t>|  (-) Roof Nearing End of Life (18 yrs) .... -$12,500   |</w:t>
              <w:br/>
              <w:t>|                                                       |</w:t>
              <w:br/>
              <w:t>|  [ See Full Explanation ]   [ Run What-If Simulator ] |</w:t>
              <w:br/>
              <w:t>+-------------------------------------------------------+</w:t>
            </w:r>
          </w:p>
        </w:tc>
      </w:tr>
    </w:tbl>
    <w:p>
      <w:pPr>
        <w:spacing w:before="40" w:after="120"/>
      </w:pPr>
    </w:p>
    <w:p>
      <w:pPr>
        <w:keepNext/>
        <w:spacing w:before="280" w:after="80"/>
      </w:pPr>
      <w:r>
        <w:rPr>
          <w:rFonts w:ascii="Arial" w:hAnsi="Arial"/>
          <w:b/>
          <w:color w:val="004D40"/>
          <w:sz w:val="26"/>
        </w:rPr>
        <w:t>B. Full Explanation Dashboard (Mobile &amp; Desktop)</w:t>
      </w:r>
    </w:p>
    <w:tbl>
      <w:tblPr>
        <w:tblW w:type="auto" w:w="0"/>
        <w:jc w:val="center"/>
        <w:tblLayout w:type="fixed"/>
        <w:tblLook w:firstColumn="1" w:firstRow="1" w:lastColumn="0" w:lastRow="0" w:noHBand="0" w:noVBand="1" w:val="04A0"/>
      </w:tblPr>
      <w:tblGrid>
        <w:gridCol w:w="9360"/>
      </w:tblGrid>
      <w:tr>
        <w:tc>
          <w:tcPr>
            <w:tcW w:type="dxa" w:w="9360"/>
            <w:shd w:fill="2B2D42"/>
            <w:tcMar>
              <w:top w:w="140" w:type="dxa"/>
              <w:bottom w:w="140" w:type="dxa"/>
              <w:left w:w="180" w:type="dxa"/>
              <w:right w:w="180" w:type="dxa"/>
            </w:tcMar>
          </w:tcPr>
          <w:p>
            <w:pPr>
              <w:spacing w:before="0" w:after="40"/>
            </w:pPr>
            <w:r>
              <w:rPr>
                <w:rFonts w:ascii="Consolas" w:hAnsi="Consolas"/>
                <w:b/>
                <w:color w:val="8D99AE"/>
                <w:sz w:val="17"/>
              </w:rPr>
              <w:t>// UI WIREFRAME: Explanation Dashboard</w:t>
              <w:br/>
            </w:r>
            <w:r>
              <w:rPr>
                <w:rFonts w:ascii="Consolas" w:hAnsi="Consolas"/>
                <w:color w:val="EDF2F4"/>
                <w:sz w:val="17"/>
              </w:rPr>
              <w:t>+-------------------------------------------------------+</w:t>
              <w:br/>
              <w:t>|  &lt;- Back to Listing             [ Export Truth Report ]|</w:t>
              <w:br/>
              <w:t>|  1428 Ashbury Lane, Austin, TX                         |</w:t>
              <w:br/>
              <w:t>|                                                       |</w:t>
              <w:br/>
              <w:t>|  TRUEVALUE BREAKDOWN DASHBOARD                         |</w:t>
              <w:br/>
              <w:t>|  Best Estimate: $711,400   (+$50,000 vs. Neighborhood) |</w:t>
              <w:br/>
              <w:t>|  Market Base Value: $661,400                          |</w:t>
              <w:br/>
              <w:t>|                                                       |</w:t>
              <w:br/>
              <w:t>|  [ VALUE COMPOSITION DONUT CHART ]                    |</w:t>
              <w:br/>
              <w:t>|  * 42% Comparable Sales ($684,000 baseline)           |</w:t>
              <w:br/>
              <w:t>|  * 23% Property Characteristics (2,450 sqft, 4b/3b)   |</w:t>
              <w:br/>
              <w:t>|  * 15% Renovation &amp; Condition (+$41.2k net uplift)     |</w:t>
              <w:br/>
              <w:t>|  *  9% Neighborhood School Growth                     |</w:t>
              <w:br/>
              <w:t>|  *  6% Local Inventory Velocity                       |</w:t>
              <w:br/>
              <w:t>|  *  5% Risk &amp; Climate Resilience                      |</w:t>
              <w:br/>
              <w:t>|                                                       |</w:t>
              <w:br/>
              <w:t>|  WATERFALL CONTRIBUTION (TOP 5 POSITIVE / NEGATIVE):  |</w:t>
              <w:br/>
              <w:t>|  [+] Kitchen Renovation (2023) ......... +$41,200     |</w:t>
              <w:br/>
              <w:t>|  [+] Lot Size (+0.18 acres vs avg) ..... +$19,800     |</w:t>
              <w:br/>
              <w:t>|  [+] Top-Tier Elementary Boundary ...... +$12,400     |</w:t>
              <w:br/>
              <w:t>|  [-] 18-Year-Old Roof Age .............. -$12,500     |</w:t>
              <w:br/>
              <w:t>|  [-] No Attached 2-Car Garage .......... -$14,500     |</w:t>
              <w:br/>
              <w:t>|                                                       |</w:t>
              <w:br/>
              <w:t>|  NATURAL LANGUAGE EXPLANATION:                        |</w:t>
              <w:br/>
              <w:t>|  "TruePlace values this home $50,000 above the micro- |</w:t>
              <w:br/>
              <w:t>|   neighborhood average primarily due to a permitted   |</w:t>
              <w:br/>
              <w:t>|   gourmet kitchen remodel and oversized corner lot.   |</w:t>
              <w:br/>
              <w:t>|   Deductions reflect an aging roof and carport."      |</w:t>
              <w:br/>
              <w:t>|                                                       |</w:t>
              <w:br/>
              <w:t>|  Data Freshness: MLS synced 2 hrs ago | Permits: 2026 |</w:t>
              <w:br/>
              <w:t>|  Truth Score: 96/100 (Cryptographically Verified)     |</w:t>
              <w:br/>
              <w:t>+-------------------------------------------------------+</w:t>
            </w:r>
          </w:p>
        </w:tc>
      </w:tr>
    </w:tbl>
    <w:p>
      <w:pPr>
        <w:spacing w:before="40" w:after="120"/>
      </w:pPr>
    </w:p>
    <w:p>
      <w:pPr>
        <w:keepNext/>
        <w:spacing w:before="280" w:after="80"/>
      </w:pPr>
      <w:r>
        <w:rPr>
          <w:rFonts w:ascii="Arial" w:hAnsi="Arial"/>
          <w:b/>
          <w:color w:val="004D40"/>
          <w:sz w:val="26"/>
        </w:rPr>
        <w:t>C. What-If Simulator Interactive Screen</w:t>
      </w:r>
    </w:p>
    <w:tbl>
      <w:tblPr>
        <w:tblW w:type="auto" w:w="0"/>
        <w:jc w:val="center"/>
        <w:tblLayout w:type="fixed"/>
        <w:tblLook w:firstColumn="1" w:firstRow="1" w:lastColumn="0" w:lastRow="0" w:noHBand="0" w:noVBand="1" w:val="04A0"/>
      </w:tblPr>
      <w:tblGrid>
        <w:gridCol w:w="9360"/>
      </w:tblGrid>
      <w:tr>
        <w:tc>
          <w:tcPr>
            <w:tcW w:type="dxa" w:w="9360"/>
            <w:shd w:fill="2B2D42"/>
            <w:tcMar>
              <w:top w:w="140" w:type="dxa"/>
              <w:bottom w:w="140" w:type="dxa"/>
              <w:left w:w="180" w:type="dxa"/>
              <w:right w:w="180" w:type="dxa"/>
            </w:tcMar>
          </w:tcPr>
          <w:p>
            <w:pPr>
              <w:spacing w:before="0" w:after="40"/>
            </w:pPr>
            <w:r>
              <w:rPr>
                <w:rFonts w:ascii="Consolas" w:hAnsi="Consolas"/>
                <w:b/>
                <w:color w:val="8D99AE"/>
                <w:sz w:val="17"/>
              </w:rPr>
              <w:t>// UI WIREFRAME: What-If Simulator</w:t>
              <w:br/>
            </w:r>
            <w:r>
              <w:rPr>
                <w:rFonts w:ascii="Consolas" w:hAnsi="Consolas"/>
                <w:color w:val="EDF2F4"/>
                <w:sz w:val="17"/>
              </w:rPr>
              <w:t>+-------------------------------------------------------+</w:t>
              <w:br/>
              <w:t>|  WHAT-IF SIMULATOR: 1428 Ashbury Lane                 |</w:t>
              <w:br/>
              <w:t>|  Base TrueValue: $711,400  --&gt;  Simulated: $768,200   |</w:t>
              <w:br/>
              <w:t>|  Estimated Value Uplift: +$56,800                     |</w:t>
              <w:br/>
              <w:t>|                                                       |</w:t>
              <w:br/>
              <w:t>|  RENOVATION &amp; CONDITION SIMULATIONS:                  |</w:t>
              <w:br/>
              <w:t>|  Kitchen Renovation Level:                            |</w:t>
              <w:br/>
              <w:t>|  [ Original ]  [ Standard Modern ]  [ * Luxury Chef * ]|</w:t>
              <w:br/>
              <w:t>|  Estimated Cost: ~$55,000  |  Value Uplift: +$44,100  |</w:t>
              <w:br/>
              <w:t>|                                                       |</w:t>
              <w:br/>
              <w:t>|  Replace Aging Roof &amp; HVAC:                           |</w:t>
              <w:br/>
              <w:t>|  Roof Age: [========== 0 yrs (New) =========]         |</w:t>
              <w:br/>
              <w:t>|  Value Uplift: +$12,700                               |</w:t>
              <w:br/>
              <w:t>|                                                       |</w:t>
              <w:br/>
              <w:t>|  Add Attached 2-Car Garage:                           |</w:t>
              <w:br/>
              <w:t>|  Toggle: [ ON ]                                       |</w:t>
              <w:br/>
              <w:t>|  Estimated Cost: ~$38,000  |  Value Uplift: +$28,500  |</w:t>
              <w:br/>
              <w:t>|                                                       |</w:t>
              <w:br/>
              <w:t>|  COMBINED SIMULATION SUMMARY:                         |</w:t>
              <w:br/>
              <w:t>|  Total Projected Renovation Cost: $105,000            |</w:t>
              <w:br/>
              <w:t>|  Total Value Gain: +$85,300 (Net ROI: 81.2%)          |</w:t>
              <w:br/>
              <w:t>|                                                       |</w:t>
              <w:br/>
              <w:t>|  [ Save Scenario ]  [ Download Scenario PDF ]         |</w:t>
              <w:br/>
              <w:t>+-------------------------------------------------------+</w:t>
            </w:r>
          </w:p>
        </w:tc>
      </w:tr>
    </w:tbl>
    <w:p>
      <w:pPr>
        <w:spacing w:before="40" w:after="120"/>
      </w:pPr>
    </w:p>
    <w:p>
      <w:pPr>
        <w:keepNext/>
        <w:spacing w:before="440" w:after="120"/>
      </w:pPr>
      <w:r>
        <w:rPr>
          <w:rFonts w:ascii="Arial" w:hAnsi="Arial"/>
          <w:b/>
          <w:color w:val="004D40"/>
          <w:sz w:val="36"/>
        </w:rPr>
        <w:t>13. The 'Truth Report' Audit-Ready PDF Specification</w:t>
      </w:r>
    </w:p>
    <w:p>
      <w:pPr>
        <w:keepNext/>
        <w:spacing w:before="0" w:after="160"/>
      </w:pPr>
      <w:r>
        <w:rPr>
          <w:rFonts w:ascii="Arial" w:hAnsi="Arial"/>
          <w:color w:val="E07A5F"/>
          <w:sz w:val="16"/>
        </w:rPr>
        <w:t>―――――――――――――――――――――――――――――――――――――――――――――</w:t>
      </w:r>
    </w:p>
    <w:p>
      <w:pPr>
        <w:spacing w:before="40" w:after="120" w:line="276" w:lineRule="auto"/>
      </w:pPr>
      <w:r>
        <w:rPr>
          <w:rFonts w:ascii="Calibri" w:hAnsi="Calibri"/>
          <w:color w:val="1A1A1A"/>
          <w:sz w:val="21"/>
        </w:rPr>
        <w:t>The TruePlace 'Truth Report' is a downloadable, print-ready, 6-page comprehensive audit document that establishes an objective foundation for buyer-seller negotiations, mortgage underwriting, and estate planning.</w:t>
      </w:r>
    </w:p>
    <w:tbl>
      <w:tblPr>
        <w:tblW w:type="auto" w:w="0"/>
        <w:jc w:val="center"/>
        <w:tblLayout w:type="fixed"/>
        <w:tblLook w:firstColumn="1" w:firstRow="1" w:lastColumn="0" w:lastRow="0" w:noHBand="0" w:noVBand="1" w:val="04A0"/>
        <w:tblBorders>
          <w:top w:val="single" w:sz="6" w:space="0" w:color="D3D3D3"/>
          <w:left w:val="none"/>
          <w:bottom w:val="single" w:sz="8" w:space="0" w:color="004D40"/>
          <w:right w:val="none"/>
          <w:insideH w:val="single" w:sz="4" w:space="0" w:color="D3D3D3"/>
          <w:insideV w:val="none"/>
        </w:tblBorders>
      </w:tblPr>
      <w:tblGrid>
        <w:gridCol w:w="3120"/>
        <w:gridCol w:w="3120"/>
        <w:gridCol w:w="3120"/>
      </w:tblGrid>
      <w:tr>
        <w:tc>
          <w:tcPr>
            <w:tcW w:type="dxa" w:w="1440"/>
            <w:tcMar>
              <w:top w:w="60" w:type="dxa"/>
              <w:bottom w:w="60" w:type="dxa"/>
              <w:left w:w="70" w:type="dxa"/>
              <w:right w:w="70" w:type="dxa"/>
            </w:tcMar>
            <w:shd w:fill="004D40"/>
          </w:tcPr>
          <w:p>
            <w:r>
              <w:rPr>
                <w:rFonts w:ascii="Arial" w:hAnsi="Arial"/>
                <w:b/>
                <w:color w:val="FFFFFF"/>
                <w:sz w:val="17"/>
              </w:rPr>
              <w:t>Page</w:t>
            </w:r>
          </w:p>
        </w:tc>
        <w:tc>
          <w:tcPr>
            <w:tcW w:type="dxa" w:w="3312"/>
            <w:tcMar>
              <w:top w:w="60" w:type="dxa"/>
              <w:bottom w:w="60" w:type="dxa"/>
              <w:left w:w="70" w:type="dxa"/>
              <w:right w:w="70" w:type="dxa"/>
            </w:tcMar>
            <w:shd w:fill="004D40"/>
          </w:tcPr>
          <w:p>
            <w:r>
              <w:rPr>
                <w:rFonts w:ascii="Arial" w:hAnsi="Arial"/>
                <w:b/>
                <w:color w:val="FFFFFF"/>
                <w:sz w:val="17"/>
              </w:rPr>
              <w:t>Section Title</w:t>
            </w:r>
          </w:p>
        </w:tc>
        <w:tc>
          <w:tcPr>
            <w:tcW w:type="dxa" w:w="4608"/>
            <w:tcMar>
              <w:top w:w="60" w:type="dxa"/>
              <w:bottom w:w="60" w:type="dxa"/>
              <w:left w:w="70" w:type="dxa"/>
              <w:right w:w="70" w:type="dxa"/>
            </w:tcMar>
            <w:shd w:fill="004D40"/>
          </w:tcPr>
          <w:p>
            <w:r>
              <w:rPr>
                <w:rFonts w:ascii="Arial" w:hAnsi="Arial"/>
                <w:b/>
                <w:color w:val="FFFFFF"/>
                <w:sz w:val="17"/>
              </w:rPr>
              <w:t>Layout &amp; Key Information Elements</w:t>
            </w:r>
          </w:p>
        </w:tc>
      </w:tr>
      <w:tr>
        <w:tc>
          <w:tcPr>
            <w:tcW w:type="dxa" w:w="1440"/>
            <w:tcMar>
              <w:top w:w="60" w:type="dxa"/>
              <w:bottom w:w="60" w:type="dxa"/>
              <w:left w:w="70" w:type="dxa"/>
              <w:right w:w="70" w:type="dxa"/>
            </w:tcMar>
            <w:shd w:fill="F4F7F6"/>
          </w:tcPr>
          <w:p>
            <w:r>
              <w:rPr>
                <w:rFonts w:ascii="Calibri" w:hAnsi="Calibri"/>
                <w:color w:val="1A1A1A"/>
                <w:sz w:val="16"/>
              </w:rPr>
              <w:t>Page 1</w:t>
            </w:r>
          </w:p>
        </w:tc>
        <w:tc>
          <w:tcPr>
            <w:tcW w:type="dxa" w:w="3312"/>
            <w:tcMar>
              <w:top w:w="60" w:type="dxa"/>
              <w:bottom w:w="60" w:type="dxa"/>
              <w:left w:w="70" w:type="dxa"/>
              <w:right w:w="70" w:type="dxa"/>
            </w:tcMar>
            <w:shd w:fill="F4F7F6"/>
          </w:tcPr>
          <w:p>
            <w:r>
              <w:rPr>
                <w:rFonts w:ascii="Calibri" w:hAnsi="Calibri"/>
                <w:color w:val="1A1A1A"/>
                <w:sz w:val="16"/>
              </w:rPr>
              <w:t>Executive Cover &amp; Valuation Summary</w:t>
            </w:r>
          </w:p>
        </w:tc>
        <w:tc>
          <w:tcPr>
            <w:tcW w:type="dxa" w:w="4608"/>
            <w:tcMar>
              <w:top w:w="60" w:type="dxa"/>
              <w:bottom w:w="60" w:type="dxa"/>
              <w:left w:w="70" w:type="dxa"/>
              <w:right w:w="70" w:type="dxa"/>
            </w:tcMar>
            <w:shd w:fill="F4F7F6"/>
          </w:tcPr>
          <w:p>
            <w:r>
              <w:rPr>
                <w:rFonts w:ascii="Calibri" w:hAnsi="Calibri"/>
                <w:color w:val="1A1A1A"/>
                <w:sz w:val="16"/>
              </w:rPr>
              <w:t>Property aerial photograph, verified address, large TrueValue number ($711,400), confidence meter (91%), QR code to live listing, executive summary narrative.</w:t>
            </w:r>
          </w:p>
        </w:tc>
      </w:tr>
      <w:tr>
        <w:tc>
          <w:tcPr>
            <w:tcW w:type="dxa" w:w="1440"/>
            <w:tcMar>
              <w:top w:w="60" w:type="dxa"/>
              <w:bottom w:w="60" w:type="dxa"/>
              <w:left w:w="70" w:type="dxa"/>
              <w:right w:w="70" w:type="dxa"/>
            </w:tcMar>
          </w:tcPr>
          <w:p>
            <w:r>
              <w:rPr>
                <w:rFonts w:ascii="Calibri" w:hAnsi="Calibri"/>
                <w:color w:val="1A1A1A"/>
                <w:sz w:val="16"/>
              </w:rPr>
              <w:t>Page 2</w:t>
            </w:r>
          </w:p>
        </w:tc>
        <w:tc>
          <w:tcPr>
            <w:tcW w:type="dxa" w:w="3312"/>
            <w:tcMar>
              <w:top w:w="60" w:type="dxa"/>
              <w:bottom w:w="60" w:type="dxa"/>
              <w:left w:w="70" w:type="dxa"/>
              <w:right w:w="70" w:type="dxa"/>
            </w:tcMar>
          </w:tcPr>
          <w:p>
            <w:r>
              <w:rPr>
                <w:rFonts w:ascii="Calibri" w:hAnsi="Calibri"/>
                <w:color w:val="1A1A1A"/>
                <w:sz w:val="16"/>
              </w:rPr>
              <w:t>Value Composition &amp; Factor Waterfall</w:t>
            </w:r>
          </w:p>
        </w:tc>
        <w:tc>
          <w:tcPr>
            <w:tcW w:type="dxa" w:w="4608"/>
            <w:tcMar>
              <w:top w:w="60" w:type="dxa"/>
              <w:bottom w:w="60" w:type="dxa"/>
              <w:left w:w="70" w:type="dxa"/>
              <w:right w:w="70" w:type="dxa"/>
            </w:tcMar>
          </w:tcPr>
          <w:p>
            <w:r>
              <w:rPr>
                <w:rFonts w:ascii="Calibri" w:hAnsi="Calibri"/>
                <w:color w:val="1A1A1A"/>
                <w:sz w:val="16"/>
              </w:rPr>
              <w:t>High-resolution vector donut chart (6 categories), waterfall chart illustrating baseline-to-estimate progression, top 5 positive and negative drivers.</w:t>
            </w:r>
          </w:p>
        </w:tc>
      </w:tr>
      <w:tr>
        <w:tc>
          <w:tcPr>
            <w:tcW w:type="dxa" w:w="1440"/>
            <w:tcMar>
              <w:top w:w="60" w:type="dxa"/>
              <w:bottom w:w="60" w:type="dxa"/>
              <w:left w:w="70" w:type="dxa"/>
              <w:right w:w="70" w:type="dxa"/>
            </w:tcMar>
            <w:shd w:fill="F4F7F6"/>
          </w:tcPr>
          <w:p>
            <w:r>
              <w:rPr>
                <w:rFonts w:ascii="Calibri" w:hAnsi="Calibri"/>
                <w:color w:val="1A1A1A"/>
                <w:sz w:val="16"/>
              </w:rPr>
              <w:t>Page 3</w:t>
            </w:r>
          </w:p>
        </w:tc>
        <w:tc>
          <w:tcPr>
            <w:tcW w:type="dxa" w:w="3312"/>
            <w:tcMar>
              <w:top w:w="60" w:type="dxa"/>
              <w:bottom w:w="60" w:type="dxa"/>
              <w:left w:w="70" w:type="dxa"/>
              <w:right w:w="70" w:type="dxa"/>
            </w:tcMar>
            <w:shd w:fill="F4F7F6"/>
          </w:tcPr>
          <w:p>
            <w:r>
              <w:rPr>
                <w:rFonts w:ascii="Calibri" w:hAnsi="Calibri"/>
                <w:color w:val="1A1A1A"/>
                <w:sz w:val="16"/>
              </w:rPr>
              <w:t>Audited Natural Language Narrative</w:t>
            </w:r>
          </w:p>
        </w:tc>
        <w:tc>
          <w:tcPr>
            <w:tcW w:type="dxa" w:w="4608"/>
            <w:tcMar>
              <w:top w:w="60" w:type="dxa"/>
              <w:bottom w:w="60" w:type="dxa"/>
              <w:left w:w="70" w:type="dxa"/>
              <w:right w:w="70" w:type="dxa"/>
            </w:tcMar>
            <w:shd w:fill="F4F7F6"/>
          </w:tcPr>
          <w:p>
            <w:r>
              <w:rPr>
                <w:rFonts w:ascii="Calibri" w:hAnsi="Calibri"/>
                <w:color w:val="1A1A1A"/>
                <w:sz w:val="16"/>
              </w:rPr>
              <w:t>Complete unedited narrative from System Prompt v2.4, full data provenance table with last synchronization timestamps, certified appraiser desktop review notes.</w:t>
            </w:r>
          </w:p>
        </w:tc>
      </w:tr>
      <w:tr>
        <w:tc>
          <w:tcPr>
            <w:tcW w:type="dxa" w:w="1440"/>
            <w:tcMar>
              <w:top w:w="60" w:type="dxa"/>
              <w:bottom w:w="60" w:type="dxa"/>
              <w:left w:w="70" w:type="dxa"/>
              <w:right w:w="70" w:type="dxa"/>
            </w:tcMar>
          </w:tcPr>
          <w:p>
            <w:r>
              <w:rPr>
                <w:rFonts w:ascii="Calibri" w:hAnsi="Calibri"/>
                <w:color w:val="1A1A1A"/>
                <w:sz w:val="16"/>
              </w:rPr>
              <w:t>Page 4</w:t>
            </w:r>
          </w:p>
        </w:tc>
        <w:tc>
          <w:tcPr>
            <w:tcW w:type="dxa" w:w="3312"/>
            <w:tcMar>
              <w:top w:w="60" w:type="dxa"/>
              <w:bottom w:w="60" w:type="dxa"/>
              <w:left w:w="70" w:type="dxa"/>
              <w:right w:w="70" w:type="dxa"/>
            </w:tcMar>
          </w:tcPr>
          <w:p>
            <w:r>
              <w:rPr>
                <w:rFonts w:ascii="Calibri" w:hAnsi="Calibri"/>
                <w:color w:val="1A1A1A"/>
                <w:sz w:val="16"/>
              </w:rPr>
              <w:t>Geospatial Comparable Sales Evidence</w:t>
            </w:r>
          </w:p>
        </w:tc>
        <w:tc>
          <w:tcPr>
            <w:tcW w:type="dxa" w:w="4608"/>
            <w:tcMar>
              <w:top w:w="60" w:type="dxa"/>
              <w:bottom w:w="60" w:type="dxa"/>
              <w:left w:w="70" w:type="dxa"/>
              <w:right w:w="70" w:type="dxa"/>
            </w:tcMar>
          </w:tcPr>
          <w:p>
            <w:r>
              <w:rPr>
                <w:rFonts w:ascii="Calibri" w:hAnsi="Calibri"/>
                <w:color w:val="1A1A1A"/>
                <w:sz w:val="16"/>
              </w:rPr>
              <w:t>Cartographic map plot of 12 selected comparable sales within 0.5 miles, tabular comparison matrix displaying square footage, sales date, distance, and similarity index.</w:t>
            </w:r>
          </w:p>
        </w:tc>
      </w:tr>
      <w:tr>
        <w:tc>
          <w:tcPr>
            <w:tcW w:type="dxa" w:w="1440"/>
            <w:tcMar>
              <w:top w:w="60" w:type="dxa"/>
              <w:bottom w:w="60" w:type="dxa"/>
              <w:left w:w="70" w:type="dxa"/>
              <w:right w:w="70" w:type="dxa"/>
            </w:tcMar>
            <w:shd w:fill="F4F7F6"/>
          </w:tcPr>
          <w:p>
            <w:r>
              <w:rPr>
                <w:rFonts w:ascii="Calibri" w:hAnsi="Calibri"/>
                <w:color w:val="1A1A1A"/>
                <w:sz w:val="16"/>
              </w:rPr>
              <w:t>Page 5</w:t>
            </w:r>
          </w:p>
        </w:tc>
        <w:tc>
          <w:tcPr>
            <w:tcW w:type="dxa" w:w="3312"/>
            <w:tcMar>
              <w:top w:w="60" w:type="dxa"/>
              <w:bottom w:w="60" w:type="dxa"/>
              <w:left w:w="70" w:type="dxa"/>
              <w:right w:w="70" w:type="dxa"/>
            </w:tcMar>
            <w:shd w:fill="F4F7F6"/>
          </w:tcPr>
          <w:p>
            <w:r>
              <w:rPr>
                <w:rFonts w:ascii="Calibri" w:hAnsi="Calibri"/>
                <w:color w:val="1A1A1A"/>
                <w:sz w:val="16"/>
              </w:rPr>
              <w:t>What-If Simulation Audit (Optional)</w:t>
            </w:r>
          </w:p>
        </w:tc>
        <w:tc>
          <w:tcPr>
            <w:tcW w:type="dxa" w:w="4608"/>
            <w:tcMar>
              <w:top w:w="60" w:type="dxa"/>
              <w:bottom w:w="60" w:type="dxa"/>
              <w:left w:w="70" w:type="dxa"/>
              <w:right w:w="70" w:type="dxa"/>
            </w:tcMar>
            <w:shd w:fill="F4F7F6"/>
          </w:tcPr>
          <w:p>
            <w:r>
              <w:rPr>
                <w:rFonts w:ascii="Calibri" w:hAnsi="Calibri"/>
                <w:color w:val="1A1A1A"/>
                <w:sz w:val="16"/>
              </w:rPr>
              <w:t>Side-by-side comparative ledger contrasting baseline vs. simulated renovation states, breakdown of projected construction capital expenditure vs. equity uplift.</w:t>
            </w:r>
          </w:p>
        </w:tc>
      </w:tr>
      <w:tr>
        <w:tc>
          <w:tcPr>
            <w:tcW w:type="dxa" w:w="1440"/>
            <w:tcMar>
              <w:top w:w="60" w:type="dxa"/>
              <w:bottom w:w="60" w:type="dxa"/>
              <w:left w:w="70" w:type="dxa"/>
              <w:right w:w="70" w:type="dxa"/>
            </w:tcMar>
          </w:tcPr>
          <w:p>
            <w:r>
              <w:rPr>
                <w:rFonts w:ascii="Calibri" w:hAnsi="Calibri"/>
                <w:color w:val="1A1A1A"/>
                <w:sz w:val="16"/>
              </w:rPr>
              <w:t>Page 6</w:t>
            </w:r>
          </w:p>
        </w:tc>
        <w:tc>
          <w:tcPr>
            <w:tcW w:type="dxa" w:w="3312"/>
            <w:tcMar>
              <w:top w:w="60" w:type="dxa"/>
              <w:bottom w:w="60" w:type="dxa"/>
              <w:left w:w="70" w:type="dxa"/>
              <w:right w:w="70" w:type="dxa"/>
            </w:tcMar>
          </w:tcPr>
          <w:p>
            <w:r>
              <w:rPr>
                <w:rFonts w:ascii="Calibri" w:hAnsi="Calibri"/>
                <w:color w:val="1A1A1A"/>
                <w:sz w:val="16"/>
              </w:rPr>
              <w:t>Methodological Integrity &amp; Disclosures</w:t>
            </w:r>
          </w:p>
        </w:tc>
        <w:tc>
          <w:tcPr>
            <w:tcW w:type="dxa" w:w="4608"/>
            <w:tcMar>
              <w:top w:w="60" w:type="dxa"/>
              <w:bottom w:w="60" w:type="dxa"/>
              <w:left w:w="70" w:type="dxa"/>
              <w:right w:w="70" w:type="dxa"/>
            </w:tcMar>
          </w:tcPr>
          <w:p>
            <w:r>
              <w:rPr>
                <w:rFonts w:ascii="Calibri" w:hAnsi="Calibri"/>
                <w:color w:val="1A1A1A"/>
                <w:sz w:val="16"/>
              </w:rPr>
              <w:t>Mathematical overview of SHAP and TreeSHAP formulations, model version hash, training date, legal appraisal disclaimer, and TruePlace Trust Guarantee.</w:t>
            </w:r>
          </w:p>
        </w:tc>
      </w:tr>
    </w:tbl>
    <w:p>
      <w:pPr>
        <w:spacing w:before="40" w:after="360" w:line="276" w:lineRule="auto"/>
      </w:pPr>
      <w:r>
        <w:rPr>
          <w:rFonts w:ascii="Calibri" w:hAnsi="Calibri"/>
          <w:color w:val="1A1A1A"/>
          <w:sz w:val="21"/>
        </w:rPr>
      </w:r>
    </w:p>
    <w:tbl>
      <w:tblPr>
        <w:tblW w:type="auto" w:w="0"/>
        <w:jc w:val="center"/>
        <w:tblLayout w:type="fixed"/>
        <w:tblLook w:firstColumn="1" w:firstRow="1" w:lastColumn="0" w:lastRow="0" w:noHBand="0" w:noVBand="1" w:val="04A0"/>
      </w:tblPr>
      <w:tblGrid>
        <w:gridCol w:w="9360"/>
      </w:tblGrid>
      <w:tr>
        <w:tc>
          <w:tcPr>
            <w:tcW w:type="dxa" w:w="9360"/>
            <w:shd w:fill="F4F7F6"/>
            <w:tcMar>
              <w:top w:w="160" w:type="dxa"/>
              <w:bottom w:w="160" w:type="dxa"/>
              <w:left w:w="220" w:type="dxa"/>
              <w:right w:w="200" w:type="dxa"/>
            </w:tcMar>
            <w:tcBorders>
              <w:left w:val="single" w:sz="36" w:space="0" w:color="004D40"/>
              <w:top w:val="none"/>
              <w:right w:val="none"/>
              <w:bottom w:val="none"/>
            </w:tcBorders>
          </w:tcPr>
          <w:p>
            <w:pPr>
              <w:spacing w:before="40" w:after="80"/>
            </w:pPr>
            <w:r>
              <w:rPr>
                <w:rFonts w:ascii="Arial" w:hAnsi="Arial"/>
                <w:b/>
                <w:color w:val="004D40"/>
                <w:sz w:val="20"/>
              </w:rPr>
              <w:t>■ DOCUMENT SIGN-OFF &amp; STATUS</w:t>
              <w:br/>
            </w:r>
          </w:p>
          <w:p>
            <w:pPr>
              <w:spacing w:before="40" w:after="40"/>
            </w:pPr>
            <w:r>
              <w:rPr>
                <w:rFonts w:ascii="Calibri" w:hAnsi="Calibri"/>
                <w:color w:val="1A1A1A"/>
                <w:sz w:val="20"/>
              </w:rPr>
              <w:t>Status: v2.4 Production Baseline Approved for Design &amp; Engineering Implementation.</w:t>
            </w:r>
          </w:p>
          <w:p>
            <w:pPr>
              <w:spacing w:before="40" w:after="40"/>
            </w:pPr>
            <w:r>
              <w:rPr>
                <w:rFonts w:ascii="Calibri" w:hAnsi="Calibri"/>
                <w:color w:val="1A1A1A"/>
                <w:sz w:val="20"/>
              </w:rPr>
              <w:t>Target Milestones: MVP launch at Month 6; V1.0 AI Renovation Studio at Month 12; National Human Appraiser Network at Month 18.</w:t>
            </w:r>
          </w:p>
          <w:p>
            <w:pPr>
              <w:spacing w:before="40" w:after="40"/>
            </w:pPr>
            <w:r>
              <w:rPr>
                <w:rFonts w:ascii="Calibri" w:hAnsi="Calibri"/>
                <w:color w:val="1A1A1A"/>
                <w:sz w:val="20"/>
              </w:rPr>
              <w:t>Document Owner: TruePlace Product &amp; Machine Learning Architecture Team.</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