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Arial" w:hAnsi="Arial"/>
          <w:b/>
          <w:color w:val="E07A5F"/>
          <w:sz w:val="22"/>
        </w:rPr>
        <w:t>TRUEPLACE ENGINEERING SPECIFICATION</w:t>
      </w:r>
    </w:p>
    <w:p>
      <w:pPr>
        <w:spacing w:before="120" w:after="160"/>
      </w:pPr>
      <w:r>
        <w:rPr>
          <w:rFonts w:ascii="Arial" w:hAnsi="Arial"/>
          <w:b/>
          <w:color w:val="004D40"/>
          <w:sz w:val="44"/>
        </w:rPr>
        <w:t>Software Requirements Specification (SRS) &amp; Epic Backlog</w:t>
        <w:br/>
        <w:t>Phase 1: Core Platform</w:t>
      </w:r>
    </w:p>
    <w:p>
      <w:pPr>
        <w:spacing w:before="80" w:after="400"/>
      </w:pPr>
      <w:r>
        <w:rPr>
          <w:rFonts w:ascii="Calibri" w:hAnsi="Calibri"/>
          <w:color w:val="555555"/>
          <w:sz w:val="24"/>
        </w:rPr>
        <w:t>Implementation Requirements for Epic 1 (User Management &amp; Ghost Mode), Epic 2 (Property Search &amp; Mapbox Overlays), and Epic 3 (Property Details Page &amp; Neighborhood Intelligence)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8" w:space="0" w:color="004D40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Document Version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v1.1.0-PROD (Phase 1 Baseline)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Epics Covered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Epic 1: User Management | Epic 2: Property Search | Epic 3: Property Details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Target Database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PostgreSQL 16 + PostGIS 3.4 Spatial Registry + Redis 7.2 Cache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4F7F6"/>
          </w:tcPr>
          <w:p>
            <w:r>
              <w:rPr>
                <w:rFonts w:ascii="Arial" w:hAnsi="Arial"/>
                <w:b/>
                <w:color w:val="004D40"/>
                <w:sz w:val="18"/>
              </w:rPr>
              <w:t>Frontend &amp; Mapping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Next.js 15 App Router, React Native (Expo 52), Mapbox GL Vector Tiles</w:t>
            </w:r>
          </w:p>
        </w:tc>
      </w:tr>
    </w:tbl>
    <w:p>
      <w:pPr>
        <w:spacing w:after="240"/>
      </w:pPr>
    </w:p>
    <w:p>
      <w:pPr>
        <w:keepNext/>
        <w:spacing w:before="400" w:after="80"/>
      </w:pPr>
      <w:r>
        <w:rPr>
          <w:rFonts w:ascii="Arial" w:hAnsi="Arial"/>
          <w:b/>
          <w:color w:val="004D40"/>
          <w:sz w:val="32"/>
        </w:rPr>
        <w:t>1. Relational &amp; Geospatial Schema (PostgreSQL 16 + PostGIS)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The Phase 1 database schema powers user identity, Ghost Mode flags, spatial boundary searches, environmental overlays, and listing metadata.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2D4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8D99AE"/>
                <w:sz w:val="16"/>
              </w:rPr>
              <w:t>// SQL DDL: Phase 1 Schema Core</w:t>
              <w:br/>
            </w:r>
            <w:r>
              <w:rPr>
                <w:rFonts w:ascii="Consolas" w:hAnsi="Consolas"/>
                <w:color w:val="EDF2F4"/>
                <w:sz w:val="16"/>
              </w:rPr>
              <w:t>-- Users &amp; Ghost Mode</w:t>
              <w:br/>
              <w:t>CREATE TABLE users (</w:t>
              <w:br/>
              <w:t xml:space="preserve">    id UUID PRIMARY KEY DEFAULT gen_random_uuid(),</w:t>
              <w:br/>
              <w:t xml:space="preserve">    email VARCHAR(255) UNIQUE NOT NULL,</w:t>
              <w:br/>
              <w:t xml:space="preserve">    password_hash VARCHAR(255) NOT NULL,</w:t>
              <w:br/>
              <w:t xml:space="preserve">    full_name VARCHAR(150) NOT NULL,</w:t>
              <w:br/>
              <w:t xml:space="preserve">    phone VARCHAR(32),</w:t>
              <w:br/>
              <w:t xml:space="preserve">    ghost_mode BOOLEAN NOT NULL DEFAULT FALSE,</w:t>
              <w:br/>
              <w:t xml:space="preserve">    mfa_enabled BOOLEAN NOT NULL DEFAULT FALSE,</w:t>
              <w:br/>
              <w:t xml:space="preserve">    mfa_secret VARCHAR(64),</w:t>
              <w:br/>
              <w:t xml:space="preserve">    preferences JSONB NOT NULL DEFAULT '{"theme": "warm_sand", "alerts": true}'::jsonb,</w:t>
              <w:br/>
              <w:t xml:space="preserve">    created_at TIMESTAMP WITH TIME ZONE DEFAULT NOW()</w:t>
              <w:br/>
              <w:t>);</w:t>
              <w:br/>
              <w:br/>
              <w:t>-- Properties &amp; Spatial Coordinates</w:t>
              <w:br/>
              <w:t>CREATE TABLE properties (</w:t>
              <w:br/>
              <w:t xml:space="preserve">    id UUID PRIMARY KEY DEFAULT gen_random_uuid(),</w:t>
              <w:br/>
              <w:t xml:space="preserve">    mls_id VARCHAR(64) UNIQUE,</w:t>
              <w:br/>
              <w:t xml:space="preserve">    listing_agent_id UUID,</w:t>
              <w:br/>
              <w:t xml:space="preserve">    title VARCHAR(255) NOT NULL,</w:t>
              <w:br/>
              <w:t xml:space="preserve">    list_price INTEGER NOT NULL,</w:t>
              <w:br/>
              <w:t xml:space="preserve">    address_street VARCHAR(255) NOT NULL,</w:t>
              <w:br/>
              <w:t xml:space="preserve">    city VARCHAR(100) NOT NULL,</w:t>
              <w:br/>
              <w:t xml:space="preserve">    state VARCHAR(2) NOT NULL,</w:t>
              <w:br/>
              <w:t xml:space="preserve">    zip VARCHAR(10) NOT NULL,</w:t>
              <w:br/>
              <w:t xml:space="preserve">    location GEOMETRY(Point, 4326) NOT NULL,</w:t>
              <w:br/>
              <w:t xml:space="preserve">    bedrooms SMALLINT NOT NULL,</w:t>
              <w:br/>
              <w:t xml:space="preserve">    bathrooms NUMERIC(3,1) NOT NULL,</w:t>
              <w:br/>
              <w:t xml:space="preserve">    living_area_sqft INTEGER NOT NULL,</w:t>
              <w:br/>
              <w:t xml:space="preserve">    lot_size_sqft INTEGER NOT NULL,</w:t>
              <w:br/>
              <w:t xml:space="preserve">    year_built SMALLINT NOT NULL,</w:t>
              <w:br/>
              <w:t xml:space="preserve">    school_rating_avg NUMERIC(3,1) DEFAULT 0.0,</w:t>
              <w:br/>
              <w:t xml:space="preserve">    climate_risk_score SMALLINT DEFAULT 1,</w:t>
              <w:br/>
              <w:t xml:space="preserve">    walk_score SMALLINT DEFAULT 0,</w:t>
              <w:br/>
              <w:t xml:space="preserve">    photo_urls TEXT[] NOT NULL DEFAULT '{}',</w:t>
              <w:br/>
              <w:t xml:space="preserve">    is_verified_active BOOLEAN DEFAULT TRUE,</w:t>
              <w:br/>
              <w:t xml:space="preserve">    created_at TIMESTAMP WITH TIME ZONE DEFAULT NOW()</w:t>
              <w:br/>
              <w:t>);</w:t>
              <w:br/>
              <w:t>CREATE INDEX idx_properties_location ON properties USING GIST(location);</w:t>
              <w:br/>
              <w:t>CREATE INDEX idx_properties_search ON properties(list_price, bedrooms, bathrooms, living_area_sqft);</w:t>
            </w:r>
          </w:p>
        </w:tc>
      </w:tr>
    </w:tbl>
    <w:p>
      <w:pPr>
        <w:spacing w:after="80"/>
      </w:pPr>
    </w:p>
    <w:p>
      <w:pPr>
        <w:keepNext/>
        <w:spacing w:before="400" w:after="80"/>
      </w:pPr>
      <w:r>
        <w:rPr>
          <w:rFonts w:ascii="Arial" w:hAnsi="Arial"/>
          <w:b/>
          <w:color w:val="004D40"/>
          <w:sz w:val="32"/>
        </w:rPr>
        <w:t>2. Epic 1: User Management &amp; Ghost Mode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User Management provides authenticated account features with enterprise-grade MFA and the proprietary Ghost Mode privacy engine that eliminates lead monetization.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User Story 1.1: Registration, Authentication &amp; MFA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Role: User | Action: Register, Login, Forgot Password, and configure TOTP MFA | Outcome: Secure account access to bookmark properties and save custom searches.</w:t>
      </w:r>
    </w:p>
    <w:p>
      <w:pPr>
        <w:spacing w:before="40" w:after="120" w:line="276" w:lineRule="auto"/>
      </w:pPr>
      <w:r>
        <w:rPr>
          <w:rFonts w:ascii="Calibri" w:hAnsi="Calibri"/>
          <w:b/>
          <w:color w:val="1A1A1A"/>
          <w:sz w:val="20"/>
        </w:rPr>
        <w:t xml:space="preserve">Acceptance Criteria: </w:t>
      </w:r>
      <w:r>
        <w:rPr>
          <w:rFonts w:ascii="Calibri" w:hAnsi="Calibri"/>
          <w:color w:val="1A1A1A"/>
          <w:sz w:val="20"/>
        </w:rPr>
        <w:t>Gherkin Acceptance Criteria: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Given an unauthenticated visitor on the registration screen,</w:t>
        <w:br/>
        <w:t>When valid email, Argon2id-hashed password, and full name are submitted,</w:t>
        <w:br/>
        <w:t>Then a user row is created with role 'buyer' and JWT access token is returned.</w:t>
        <w:br/>
        <w:t>When a user enables MFA in security settings,</w:t>
        <w:br/>
        <w:t>Then an RFC 6238 TOTP base32 secret is generated and verified with a 6-digit authenticator code.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User Story 1.2: Ghost Mode Privacy Engine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• Role: Homebuyer | Action: Toggle Ghost Mode ON | Outcome: Zero agent contact, zero lead resale, zero marketing tracking, and completely anonymous browsing.</w:t>
      </w:r>
    </w:p>
    <w:p>
      <w:pPr>
        <w:spacing w:before="40" w:after="120" w:line="276" w:lineRule="auto"/>
      </w:pPr>
      <w:r>
        <w:rPr>
          <w:rFonts w:ascii="Calibri" w:hAnsi="Calibri"/>
          <w:b/>
          <w:color w:val="1A1A1A"/>
          <w:sz w:val="20"/>
        </w:rPr>
        <w:t xml:space="preserve">Acceptance Criteria: </w:t>
      </w:r>
      <w:r>
        <w:rPr>
          <w:rFonts w:ascii="Calibri" w:hAnsi="Calibri"/>
          <w:color w:val="1A1A1A"/>
          <w:sz w:val="20"/>
        </w:rPr>
        <w:t>Gherkin Acceptance Criteria:</w:t>
      </w:r>
    </w:p>
    <w:p>
      <w:pPr>
        <w:spacing w:before="40" w:after="200" w:line="276" w:lineRule="auto"/>
      </w:pPr>
      <w:r>
        <w:rPr>
          <w:rFonts w:ascii="Calibri" w:hAnsi="Calibri"/>
          <w:color w:val="1A1A1A"/>
          <w:sz w:val="20"/>
        </w:rPr>
        <w:t>Given a user toggles 'Ghost Mode' to ON,</w:t>
        <w:br/>
        <w:t>Then the API Gateway sets a cryptographic session cookie and updates users.ghost_mode = TRUE,</w:t>
        <w:br/>
        <w:t>And all marketing tags (Google Analytics, Meta Pixel) are unloaded from the DOM,</w:t>
        <w:br/>
        <w:t>And when the user views a property or requests a tour, agent lead-routing webhooks are intercepted and blocked,</w:t>
        <w:br/>
        <w:t>And a privacy badge confirms: 'Ghost Mode Active: Your personal data will never be sold.'</w:t>
      </w:r>
    </w:p>
    <w:p>
      <w:pPr>
        <w:keepNext/>
        <w:spacing w:before="400" w:after="80"/>
      </w:pPr>
      <w:r>
        <w:rPr>
          <w:rFonts w:ascii="Arial" w:hAnsi="Arial"/>
          <w:b/>
          <w:color w:val="004D40"/>
          <w:sz w:val="32"/>
        </w:rPr>
        <w:t>3. Epic 2: Property Search &amp; Geospatial Discovery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Provides multi-filter search and Mapbox GL vector tile exploration with sub-100ms response times.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User Story 2.1: Multi-Filter Search Engine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Supports 10 simultaneous filters: Price ($min-$max), Bedrooms, Bathrooms, SQFT, Lot Size, Zip Code, School Rating (1-10), Climate Risk (1-10), and Property Type.</w:t>
      </w:r>
    </w:p>
    <w:p>
      <w:pPr>
        <w:spacing w:before="40" w:after="120" w:line="276" w:lineRule="auto"/>
      </w:pPr>
      <w:r>
        <w:rPr>
          <w:rFonts w:ascii="Calibri" w:hAnsi="Calibri"/>
          <w:b/>
          <w:color w:val="1A1A1A"/>
          <w:sz w:val="20"/>
        </w:rPr>
        <w:t xml:space="preserve">Acceptance Criteria: </w:t>
      </w:r>
      <w:r>
        <w:rPr>
          <w:rFonts w:ascii="Calibri" w:hAnsi="Calibri"/>
          <w:color w:val="1A1A1A"/>
          <w:sz w:val="20"/>
        </w:rPr>
        <w:t>Given search parameters price_min=500000, price_max=850000, beds=3, and school_rating_min=8.0,</w:t>
        <w:br/>
        <w:t>When the search API executes against PostgreSQL,</w:t>
        <w:br/>
        <w:t>Then parameterized query uses composite B-Tree indexes to return paginated results in &lt; 75ms.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User Story 2.2: Map Search &amp; Custom Boundary Drawing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Integrates Mapbox GL with interactive polygon drawing tool (@mapbox/mapbox-gl-draw) and environmental heatmap overlays.</w:t>
      </w:r>
    </w:p>
    <w:p>
      <w:pPr>
        <w:spacing w:before="40" w:after="120" w:line="276" w:lineRule="auto"/>
      </w:pPr>
      <w:r>
        <w:rPr>
          <w:rFonts w:ascii="Calibri" w:hAnsi="Calibri"/>
          <w:b/>
          <w:color w:val="1A1A1A"/>
          <w:sz w:val="20"/>
        </w:rPr>
        <w:t xml:space="preserve">Acceptance Criteria: </w:t>
      </w:r>
      <w:r>
        <w:rPr>
          <w:rFonts w:ascii="Calibri" w:hAnsi="Calibri"/>
          <w:color w:val="1A1A1A"/>
          <w:sz w:val="20"/>
        </w:rPr>
        <w:t>Given a user draws a 5-point polygon around a target neighborhood on Mapbox,</w:t>
        <w:br/>
        <w:t>When the client posts the GeoJSON boundary to /api/v1/properties/search/spatial,</w:t>
        <w:br/>
        <w:t>Then PostGIS executes ST_Contains(ST_GeomFromGeoJSON(:boundary), location) and updates pins in &lt; 100ms.</w:t>
        <w:br/>
        <w:t>When user activates 'Flood Zones' or 'School Boundaries' overlays,</w:t>
        <w:br/>
        <w:t>Then FEMA flood polygons (AE/VE) and NCES school districts render with interactive click cards.</w:t>
      </w:r>
    </w:p>
    <w:p>
      <w:pPr>
        <w:keepNext/>
        <w:spacing w:before="400" w:after="80"/>
      </w:pPr>
      <w:r>
        <w:rPr>
          <w:rFonts w:ascii="Arial" w:hAnsi="Arial"/>
          <w:b/>
          <w:color w:val="004D40"/>
          <w:sz w:val="32"/>
        </w:rPr>
        <w:t>4. Epic 3: Property Details Page (PDP)</w:t>
      </w:r>
    </w:p>
    <w:p>
      <w:pPr>
        <w:keepNext/>
        <w:spacing w:before="0" w:after="160"/>
      </w:pPr>
      <w:r>
        <w:rPr>
          <w:color w:val="E07A5F"/>
          <w:sz w:val="16"/>
        </w:rPr>
        <w:t>――――――――――――――――――――――――――――――――――――――――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High-performance Next.js Server-Side Rendered (SSR) page displaying verified property facts, high-resolution imagery, and hyper-local neighborhood intelligence.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User Story 3.1: Property Header, Details &amp; Neighborhood</w:t>
      </w:r>
    </w:p>
    <w:p>
      <w:pPr>
        <w:spacing w:before="40" w:after="80" w:line="276" w:lineRule="auto"/>
      </w:pPr>
      <w:r>
        <w:rPr>
          <w:rFonts w:ascii="Calibri" w:hAnsi="Calibri"/>
          <w:color w:val="1A1A1A"/>
          <w:sz w:val="20"/>
        </w:rPr>
        <w:t>Required Components: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1. Property Header: Address, listing price, TrueValue estimate ($711,400), verified 48h active badge, WebP photo carousel, and listing agent card.</w:t>
      </w:r>
    </w:p>
    <w:p>
      <w:pPr>
        <w:spacing w:before="40" w:after="120" w:line="276" w:lineRule="auto"/>
      </w:pPr>
      <w:r>
        <w:rPr>
          <w:rFonts w:ascii="Calibri" w:hAnsi="Calibri"/>
          <w:color w:val="1A1A1A"/>
          <w:sz w:val="20"/>
        </w:rPr>
        <w:t>2. Property Details Grid: Beds (4), Baths (3.0), SQFT (2,450), Year Built (2018), Lot Size (8,200 sqft / 0.19 acres), Stories (2), Garage (2 attached), HOA dues ($45/mo).</w:t>
      </w:r>
    </w:p>
    <w:p>
      <w:pPr>
        <w:spacing w:before="40" w:after="160" w:line="276" w:lineRule="auto"/>
      </w:pPr>
      <w:r>
        <w:rPr>
          <w:rFonts w:ascii="Calibri" w:hAnsi="Calibri"/>
          <w:color w:val="1A1A1A"/>
          <w:sz w:val="20"/>
        </w:rPr>
        <w:t>3. Neighborhood Intelligence: Assigned schools with GreatSchools ratings, WalkScore (88/100) and TransitScore gauges, 12-month crime trend ('Declining 8%'), and municipal development pipeline.</w:t>
      </w:r>
    </w:p>
    <w:p>
      <w:pPr>
        <w:keepNext/>
        <w:spacing w:before="280" w:after="80"/>
      </w:pPr>
      <w:r>
        <w:rPr>
          <w:rFonts w:ascii="Arial" w:hAnsi="Arial"/>
          <w:b/>
          <w:color w:val="004D40"/>
          <w:sz w:val="24"/>
        </w:rPr>
        <w:t>OpenAPI Contract: GET /api/v1/properties/{id}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2D4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8D99AE"/>
                <w:sz w:val="16"/>
              </w:rPr>
              <w:t>// REST API JSON: Property Details Payload</w:t>
              <w:br/>
            </w:r>
            <w:r>
              <w:rPr>
                <w:rFonts w:ascii="Consolas" w:hAnsi="Consolas"/>
                <w:color w:val="EDF2F4"/>
                <w:sz w:val="16"/>
              </w:rPr>
              <w:t>// Sample JSON Response from /api/v1/properties/{id}</w:t>
              <w:br/>
              <w:t>{</w:t>
              <w:br/>
              <w:t xml:space="preserve">  "id": "c1f7b03a-86cb-4022-86ee-71328eb97e68",</w:t>
              <w:br/>
              <w:t xml:space="preserve">  "title": "Modern Craftsman in Travis Heights",</w:t>
              <w:br/>
              <w:t xml:space="preserve">  "list_price": 725000,</w:t>
              <w:br/>
              <w:t xml:space="preserve">  "truevalue_estimate": 711400,</w:t>
              <w:br/>
              <w:t xml:space="preserve">  "confidence_score": 91,</w:t>
              <w:br/>
              <w:t xml:space="preserve">  "specs": {</w:t>
              <w:br/>
              <w:t xml:space="preserve">    "bedrooms": 4, "bathrooms": 3.0, "living_area_sqft": 2450,</w:t>
              <w:br/>
              <w:t xml:space="preserve">    "lot_size_sqft": 8200, "year_built": 2018</w:t>
              <w:br/>
              <w:t xml:space="preserve">  },</w:t>
              <w:br/>
              <w:t xml:space="preserve">  "neighborhood": {</w:t>
              <w:br/>
              <w:t xml:space="preserve">    "walk_score": 88,</w:t>
              <w:br/>
              <w:t xml:space="preserve">    "schools": [{"name": "Travis Heights Elem", "rating": 9}],</w:t>
              <w:br/>
              <w:t xml:space="preserve">    "crime_trend": "declining_by_8_percent",</w:t>
              <w:br/>
              <w:t xml:space="preserve">    "development_pipeline": "4-acre park renovation 0.6mi north"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