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62.png" ContentType="image/png"/>
  <Override PartName="/word/media/rId38.png" ContentType="image/png"/>
  <Override PartName="/word/media/rId34.png" ContentType="image/png"/>
  <Override PartName="/word/media/rId59.png" ContentType="image/png"/>
  <Override PartName="/word/media/rId439.png" ContentType="image/png"/>
  <Override PartName="/word/media/rId18.png" ContentType="image/png"/>
  <Override PartName="/word/media/rId23.png" ContentType="image/png"/>
  <Override PartName="/word/media/rId27.png" ContentType="image/png"/>
  <Override PartName="/word/media/rId70.png" ContentType="image/png"/>
  <Override PartName="/word/media/rId277.png" ContentType="image/png"/>
  <Override PartName="/word/media/rId281.png" ContentType="image/png"/>
  <Override PartName="/word/media/rId359.png" ContentType="image/png"/>
  <Override PartName="/word/media/rId333.png" ContentType="image/png"/>
  <Override PartName="/word/media/rId372.png" ContentType="image/png"/>
  <Override PartName="/word/media/rId400.png" ContentType="image/png"/>
  <Override PartName="/word/media/rId403.png" ContentType="image/png"/>
  <Override PartName="/word/media/rId338.png" ContentType="image/png"/>
  <Override PartName="/word/media/rId363.png" ContentType="image/png"/>
  <Override PartName="/word/media/rId376.png" ContentType="image/png"/>
  <Override PartName="/word/media/rId345.png" ContentType="image/png"/>
  <Override PartName="/word/media/rId409.png" ContentType="image/png"/>
  <Override PartName="/word/media/rId380.png" ContentType="image/png"/>
  <Override PartName="/word/media/rId412.png" ContentType="image/png"/>
  <Override PartName="/word/media/rId348.png" ContentType="image/png"/>
  <Override PartName="/word/media/rId367.png" ContentType="image/png"/>
  <Override PartName="/word/media/rId353.png" ContentType="image/png"/>
  <Override PartName="/word/media/rId385.png" ContentType="image/png"/>
  <Override PartName="/word/media/rId390.png" ContentType="image/png"/>
  <Override PartName="/word/media/rId3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Para los profesionales que se atrevan a enfrentar el presente</w:t>
      </w:r>
    </w:p>
    <w:p>
      <w:pPr>
        <w:pStyle w:val="Author"/>
      </w:pPr>
      <w:r>
        <w:t xml:space="preserve">Dante Guerrero y Manuel Santa Cruz</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32" w:name="introducción"/>
    <w:p>
      <w:pPr>
        <w:pStyle w:val="Ttulo1"/>
      </w:pPr>
      <w:r>
        <w:t xml:space="preserve">Introducción</w:t>
      </w:r>
    </w:p>
    <w:p>
      <w:pPr>
        <w:pStyle w:val="FirstParagraph"/>
      </w:pPr>
      <w:r>
        <w:t xml:space="preserve">Este manual nace de una convicción surgida en la experiencia profesional concreta de quienes lo escriben. Sus autores vienen de una formación legal clásica. Aprendieron, como muchos abogados peruanos, a leer con cuidado, a argumentar con rigor, a distinguir instituciones, a respetar la técnica normativa y a desconfiar de las respuestas fáciles. Esa formación no solo sigue siendo valiosa: sigue siendo indispensable. Pero la práctica fue mostrando, con una insistencia cada vez menos eludible, que había problemas para los cuales las herramientas tradicionales no bastaban. Había expedientes demasiado voluminosos, circuitos documentales demasiado lentos, tareas repetitivas demasiado costosas, información demasiado dispersa, decisiones que exigían mejor trazabilidad, y servicios que no podían seguir tratándose como si el entorno digital fuese una nota al pie de la profesión.</w:t>
      </w:r>
    </w:p>
    <w:p>
      <w:pPr>
        <w:pStyle w:val="Textoindependiente"/>
      </w:pPr>
      <w:r>
        <w:t xml:space="preserve">La motivación de este curso y de este manual proviene de ese choque. No del desprecio por la tradición jurídica, sino del descubrimiento de sus límites operativos cuando el contexto cambia. En entidades públicas y privadas, en espacios donde había que responder a problemas reales con recursos finitos, los autores fueron encontrando una y otra vez la misma escena: desafíos concretos que no se resolvían con más retórica, con más formularios o con más horas de trabajo manual, sino con mejores procesos, mejor información, mejores herramientas y, sobre todo, con una disposición a aprender lo que la formación inicial no había enseñado</w:t>
      </w:r>
      <w:r>
        <w:t xml:space="preserve"> </w:t>
      </w:r>
      <w:r>
        <w:t xml:space="preserve">(</w:t>
      </w:r>
      <w:hyperlink w:anchor="ref-mapeolegaltechperu2025">
        <w:r>
          <w:rPr>
            <w:rStyle w:val="Hipervnculo"/>
          </w:rPr>
          <w:t xml:space="preserve">Iniciativa Tech &amp; Law 2025</w:t>
        </w:r>
      </w:hyperlink>
      <w:r>
        <w:t xml:space="preserve">)</w:t>
      </w:r>
      <w:r>
        <w:t xml:space="preserve">. Ese aprendizaje no fue lineal. Hubo tropiezos, ensayos fallidos, automatizaciones mal pensadas, expectativas exageradas y muchas correcciones. Justamente por eso este libro no quiere hablar desde una falsa superioridad técnica, sino desde una experiencia de aprendizaje acumulado.</w:t>
      </w:r>
    </w:p>
    <w:p>
      <w:pPr>
        <w:pStyle w:val="Textoindependiente"/>
      </w:pPr>
      <w:r>
        <w:t xml:space="preserve">La tesis que recorre estas páginas es simple, pero exigente: el Perú necesita mirar al futuro con más ambición, y las nuevas generaciones de abogados no deberían conformarse con administrar inercias profesionales que ya muestran signos de agotamiento. El país enfrenta cuellos de botella públicos y privados que no desaparecerán por sí solos. La modernización del Estado, la trazabilidad de las decisiones, la seguridad digital, la interoperabilidad entre entidades y el uso responsable de inteligencia artificial son hoy parte del paisaje institucional, no una fantasía importada</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w:t>
      </w:r>
      <w:hyperlink w:anchor="ref-pcm2023pntd2030">
        <w:r>
          <w:rPr>
            <w:rStyle w:val="Hipervnculo"/>
          </w:rPr>
          <w:t xml:space="preserve">2023</w:t>
        </w:r>
      </w:hyperlink>
      <w:r>
        <w:t xml:space="preserve">)</w:t>
      </w:r>
      <w:r>
        <w:t xml:space="preserve">.</w:t>
      </w:r>
    </w:p>
    <w:p>
      <w:pPr>
        <w:pStyle w:val="Textoindependiente"/>
      </w:pPr>
      <w:r>
        <w:t xml:space="preserve">Por eso este no es un manual para reconciliarnos pasivamente con el presente. Es un manual para atreverse un poco más. Atreverse a salir de la cómoda división entre “abogados que piensan” y “técnicos que hacen”. Atreverse a dejar de repetir que la tecnología es importante mientras se la mantiene fuera del campo visual del trabajo jurídico serio. Atreverse, también, a reconocer que el futuro de la abogacía no será defendible si se limita a contemplar desde la tribuna cómo cambian los servicios, los mercados, la administración pública y la justicia. Una parte del propósito de este libro es invitar a romper esos viejos paradigmas con la serenidad de quien no busca destruir una profesión, sino ampliarla.</w:t>
      </w:r>
    </w:p>
    <w:p>
      <w:pPr>
        <w:pStyle w:val="Textoindependiente"/>
      </w:pPr>
      <w:r>
        <w:t xml:space="preserve">Ese gesto de ampliación tiene además una base normativa e institucional muy concreta. Desde hace más de dos décadas, el ordenamiento peruano viene afirmando que la gestión pública debe modernizarse y reorganizarse en función del ciudadano y de la calidad del servicio</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tarde, el gobierno digital fue configurado como un régimen transversal vinculado con identidad digital, interoperabilidad, seguridad, datos y servicios electrónicos</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El Sistema Nacional de Transformación Digital y la Política Nacional de Transformación Digital al 2030 profundizaron esa trayectoria al reconocer que la digitalización no es una suma accidental de proyectos, sino un proceso articulado que compromete infraestructura, ciudadanía, inclusión, confianza y capacidad de coordinación institucional</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 Incluso la Ley que fortalece el Laboratorio de Gobierno y Transformación Digital del Estado parte de la idea de que innovar públicamente exige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w:t>
      </w:r>
    </w:p>
    <w:p>
      <w:pPr>
        <w:pStyle w:val="Textoindependiente"/>
      </w:pPr>
      <w:r>
        <w:t xml:space="preserve">Este marco importa porque impide leer la relación entre Derecho y tecnología como si fuese una afición excéntrica de unos cuantos entusiastas. El propio Estado peruano ha ido reconociendo que servicios, trámites, plataformas, datos, identidad e innovación digital forman parte de la manera en que hoy se organiza la acción pública y se presta valor a la ciudadanía</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Y si eso es así, entonces la formación jurídica también necesita dar un paso. No para abandonar los conceptos clásicos, sino para volverlos capaces de habitar un entorno nuevo. La Ley del Procedimiento Administrativo General no deja de importar porque existan trámites digitales; al contrario, se vuelve todavía más importante cuando hay que pensar cómo subsisten el debido procedimiento, la motivación, la trazabilidad y la responsabilidad en entornos crecientemente automatizados o mediados por plataformas</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En este punto conviene decir algo que para los autores es central. Este manual no propone una fascinación ingenua por la novedad. La tecnología no es un conjuro que resuelve automáticamente los problemas del país. Automatizar puede desplazar errores en lugar de eliminarlos, y digitalizar puede volver más rápida una mala decisión. Una herramienta brillante puede seguir siendo institucionalmente pobre si no tiene fuente confiable, supervisión humana, reglas claras y control suficiente</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oecdaiprinciples2026">
        <w:r>
          <w:rPr>
            <w:rStyle w:val="Hipervnculo"/>
          </w:rPr>
          <w:t xml:space="preserve">OECD 2026</w:t>
        </w:r>
      </w:hyperlink>
      <w:r>
        <w:t xml:space="preserve">)</w:t>
      </w:r>
      <w:r>
        <w:t xml:space="preserve">. Parte del aprendizaje de quienes escriben estas páginas ha consistido en descubrir que el verdadero valor de la innovación no está en el brillo de la herramienta, sino en la calidad del problema que se intenta resolver.</w:t>
      </w:r>
    </w:p>
    <w:p>
      <w:pPr>
        <w:pStyle w:val="Textoindependiente"/>
      </w:pPr>
      <w:r>
        <w:t xml:space="preserve">Esa mirada práctica explica el tono del libro. Aquí la tecnología no aparece como un objeto para admirar desde lejos, sino como un conjunto de instrumentos que deben ser comprendidos, probados y juzgados con criterio jurídico. Por eso el curso se mueve entre varias capas a la vez. Enseña pensamiento computacional porque una parte creciente del trabajo jurídico ya convive con estructuras técnicas que conviene entender</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Trabaja con Python porque permite convertir problemas concretos en secuencias verificables sin convertir el aprendizaje en una barrera inaccesible para no especialistas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Introduce automatización y datos porque gran parte del legaltech real pasa por gestión documental, flujos, tablas, trazabilidad y reportes antes que por promesas espectaculares de inteligencia artificial</w:t>
      </w:r>
      <w:r>
        <w:t xml:space="preserve"> </w:t>
      </w:r>
      <w:r>
        <w:t xml:space="preserve">(</w:t>
      </w:r>
      <w:hyperlink w:anchor="ref-mapeolegaltechperu2025">
        <w:r>
          <w:rPr>
            <w:rStyle w:val="Hipervnculo"/>
          </w:rPr>
          <w:t xml:space="preserve">Iniciativa Tech &amp; Law 2025</w:t>
        </w:r>
      </w:hyperlink>
      <w:r>
        <w:t xml:space="preserve">)</w:t>
      </w:r>
      <w:r>
        <w:t xml:space="preserve">. Se ocupa de web, nube y seguridad porque las soluciones jurídicas contemporáneas circulan en infraestructuras conectadas y, por tanto, no pueden pensarse al margen del riesgo digital</w:t>
      </w:r>
      <w:r>
        <w:t xml:space="preserve"> </w:t>
      </w:r>
      <w:r>
        <w:t xml:space="preserve">(</w:t>
      </w:r>
      <w:hyperlink w:anchor="ref-mdnhtml2026">
        <w:r>
          <w:rPr>
            <w:rStyle w:val="Hipervnculo"/>
          </w:rPr>
          <w:t xml:space="preserve">MDN Web Docs 2026a</w:t>
        </w:r>
      </w:hyperlink>
      <w:r>
        <w:t xml:space="preserve">;</w:t>
      </w:r>
      <w:r>
        <w:t xml:space="preserve"> </w:t>
      </w:r>
      <w:hyperlink w:anchor="ref-githubpages2026">
        <w:r>
          <w:rPr>
            <w:rStyle w:val="Hipervnculo"/>
          </w:rPr>
          <w:t xml:space="preserve">GitHub Docs 2026d</w:t>
        </w:r>
      </w:hyperlink>
      <w:r>
        <w:t xml:space="preserve">,</w:t>
      </w:r>
      <w:r>
        <w:t xml:space="preserve"> </w:t>
      </w:r>
      <w:hyperlink w:anchor="ref-github2fa2026">
        <w:r>
          <w:rPr>
            <w:rStyle w:val="Hipervnculo"/>
          </w:rPr>
          <w:t xml:space="preserve">2026b</w:t>
        </w:r>
      </w:hyperlink>
      <w:r>
        <w:t xml:space="preserve">)</w:t>
      </w:r>
      <w:r>
        <w:t xml:space="preserve">. Y llega a la inteligencia artificial porque hoy resulta imposible formar juristas serios sin enseñarles a distinguir entre una herramienta útil, una automatización opaca y una confianza imprudente</w:t>
      </w:r>
      <w:r>
        <w:t xml:space="preserve"> </w:t>
      </w:r>
      <w:r>
        <w:t xml:space="preserve">(</w:t>
      </w:r>
      <w:hyperlink w:anchor="ref-perezugena2024ia">
        <w:r>
          <w:rPr>
            <w:rStyle w:val="Hipervnculo"/>
          </w:rPr>
          <w:t xml:space="preserve">Pérez-Ugena 2024</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nistgaiprofile2024">
        <w:r>
          <w:rPr>
            <w:rStyle w:val="Hipervnculo"/>
          </w:rPr>
          <w:t xml:space="preserve">Autio et al. 2024</w:t>
        </w:r>
      </w:hyperlink>
      <w:r>
        <w:t xml:space="preserve">)</w:t>
      </w:r>
      <w:r>
        <w:t xml:space="preserve">.</w:t>
      </w:r>
    </w:p>
    <w:p>
      <w:pPr>
        <w:pStyle w:val="Textoindependiente"/>
      </w:pPr>
      <w:r>
        <w:t xml:space="preserve">Este enfoque también se nutre de una tradición pedagógica más amplia que no es exclusivamente jurídica. Los autores admiran los cursos que enseñan con exigencia y humanidad al mismo tiempo; cursos que no subestiman al estudiante, pero tampoco lo abandonan frente a la complejidad. En esa genealogía, experiencias como CS50 funcionan más como inspiración de método que como modelo a copiar servilmente: partir de problemas, construir paso a paso, combinar teoría con práctica, exigir precisión sin matar la curiosidad, y recordar siempre que aprender técnica puede ser también una forma de formar carácter intelectual. Del mismo modo, el manual se alimenta del pensamiento de autores de muchos lugares y disciplinas distintas, algunos juristas y otros no, porque los problemas que atraviesan la digitalización del Derecho no caben dentro de una sola conversación disciplinaria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Esta apertura intelectual importa mucho. Un abogado que solo lee abogados corre el riesgo de entender tarde el mundo que ya está regulando. En cambio, una formación que dialoga con ciencia de datos, estudios sociales de la tecnología, diseño de servicios, gestión pública, seguridad digital y gobernanza de inteligencia artificial puede ofrecer un criterio más completo para intervenir en problemas contemporáneos. Eso no debilita la identidad jurídica; la vuelve más competente. Contreras y McGrath muestran que aprender código en Derecho no tiene como fin producir ingenieros frustrados, sino juristas con suficiente alfabetización tecnológica para entender el entorno que ya transforma su práctica</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tecnológica es parte de la formación profesional contemporánea del abogado y no un lujo marginal</w:t>
      </w:r>
      <w:r>
        <w:t xml:space="preserve"> </w:t>
      </w:r>
      <w:r>
        <w:t xml:space="preserve">(</w:t>
      </w:r>
      <w:hyperlink w:anchor="ref-volini2020technology">
        <w:r>
          <w:rPr>
            <w:rStyle w:val="Hipervnculo"/>
          </w:rPr>
          <w:t xml:space="preserve">Volini 2020</w:t>
        </w:r>
      </w:hyperlink>
      <w:r>
        <w:t xml:space="preserve">)</w:t>
      </w:r>
      <w:r>
        <w:t xml:space="preserve">. Ryan sugiere además que programar refuerza pensamiento crítico, disciplina lógica y capacidad de descomponer problemas</w:t>
      </w:r>
      <w:r>
        <w:t xml:space="preserve"> </w:t>
      </w:r>
      <w:r>
        <w:t xml:space="preserve">(</w:t>
      </w:r>
      <w:hyperlink w:anchor="ref-ryan2021coding">
        <w:r>
          <w:rPr>
            <w:rStyle w:val="Hipervnculo"/>
          </w:rPr>
          <w:t xml:space="preserve">Ryan 2021</w:t>
        </w:r>
      </w:hyperlink>
      <w:r>
        <w:t xml:space="preserve">)</w:t>
      </w:r>
      <w:r>
        <w:t xml:space="preserve">. Leído en conjunto, ese debate apoya la intuición central de este manual: formar abogados para el futuro exige también enseñarles a pensar con herramientas que antes parecían ajenas.</w:t>
      </w:r>
    </w:p>
    <w:p>
      <w:pPr>
        <w:pStyle w:val="Textoindependiente"/>
      </w:pPr>
      <w:r>
        <w:t xml:space="preserve">Ahora bien, la ambición de este libro no es fabricar una élite de “abogados tecnológicos” separada del resto de la profesión. La aspiración es más democrática: ofrecer a estudiantes de Derecho una puerta de entrada seria, usable y exigente para que puedan dialogar mejor con el mundo técnico, intervenir con mayor criterio en proyectos de innovación y reconocer dónde el Derecho puede ayudar a encauzar tecnologías que ya están reorganizando instituciones y mercados. La fuerza de Python como ecosistema abierto, documentado y extensible, por ejemplo, no radica solo en su potencia técnica, sino en que vuelve accesibles ciertos flujos complejos a personas que no provienen de una formación estrictamente informática</w:t>
      </w:r>
      <w:r>
        <w:t xml:space="preserve"> </w:t>
      </w:r>
      <w:r>
        <w:t xml:space="preserve">(</w:t>
      </w:r>
      <w:hyperlink w:anchor="ref-pythonfaq2026">
        <w:r>
          <w:rPr>
            <w:rStyle w:val="Hipervnculo"/>
          </w:rPr>
          <w:t xml:space="preserve">Python Documentation 2026b</w:t>
        </w:r>
      </w:hyperlink>
      <w:r>
        <w:t xml:space="preserve">;</w:t>
      </w:r>
      <w:r>
        <w:t xml:space="preserve"> </w:t>
      </w:r>
      <w:hyperlink w:anchor="ref-psfabout2026">
        <w:r>
          <w:rPr>
            <w:rStyle w:val="Hipervnculo"/>
          </w:rPr>
          <w:t xml:space="preserve">Python Software Foundation 2026</w:t>
        </w:r>
      </w:hyperlink>
      <w:r>
        <w:t xml:space="preserve">)</w:t>
      </w:r>
      <w:r>
        <w:t xml:space="preserve">. Algo parecido ocurre con Git, GitHub o GitHub Pages: no son objetos de culto, sino herramientas de historia trazable, colaboración y publicación reproducible</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Por eso este curso está diseñado para hacer y no solo para opinar. Se aprende leyendo, sí, pero también versionando, escribiendo pseudocódigo, ejecutando scripts, corrigiendo errores, armando pequeñas automatizaciones, publicando páginas y construyendo bitácoras de evaluación. La lógica es deliberada: una parte del respeto que merecen los estudiantes consiste en ofrecerles práctica real, aunque sea inicial, para que la tecnología deje de aparecer como una caja negra reservada a otros.</w:t>
      </w:r>
    </w:p>
    <w:p>
      <w:pPr>
        <w:pStyle w:val="Textoindependiente"/>
      </w:pPr>
      <w:r>
        <w:t xml:space="preserve">Ese punto tiene una importancia especial en el Perú. Durante demasiado tiempo, muchas conversaciones sobre futuro han oscilado entre la grandilocuencia y el derrotismo. O se promete una transformación milagrosa, o se concluye con resignación que aquí nada cambia. Este manual intenta escapar de ambos extremos. Sostiene que el país sí necesita más ambición, pero una ambición trabajada, sobria y concreta, capaz de convertir problemas públicos y privados en proyectos bien formulados, equipos interdisciplinarios, experimentación responsable y aprendizaje acumulativo. La propia institucionalidad peruana empieza a moverse en esa dirección cuando habla de ciudadanía digital, confianza, inclusión, laboratorios públicos y uso ético de tecnologías emergentes</w:t>
      </w:r>
      <w:r>
        <w:t xml:space="preserve"> </w:t>
      </w:r>
      <w:r>
        <w:t xml:space="preserve">(</w:t>
      </w:r>
      <w:hyperlink w:anchor="ref-pcm2023pntd2030">
        <w:r>
          <w:rPr>
            <w:rStyle w:val="Hipervnculo"/>
          </w:rPr>
          <w:t xml:space="preserve">Presidencia del Consejo de Ministros 2023</w:t>
        </w:r>
      </w:hyperlink>
      <w:r>
        <w:t xml:space="preserve">;</w:t>
      </w:r>
      <w:r>
        <w:t xml:space="preserve"> </w:t>
      </w:r>
      <w:hyperlink w:anchor="ref-peru2022laboratorio">
        <w:r>
          <w:rPr>
            <w:rStyle w:val="Hipervnculo"/>
          </w:rPr>
          <w:t xml:space="preserve">Perú 2022</w:t>
        </w:r>
      </w:hyperlink>
      <w:r>
        <w:t xml:space="preserve">,</w:t>
      </w:r>
      <w:r>
        <w:t xml:space="preserve"> </w:t>
      </w:r>
      <w:hyperlink w:anchor="ref-peru2023ia">
        <w:r>
          <w:rPr>
            <w:rStyle w:val="Hipervnculo"/>
          </w:rPr>
          <w:t xml:space="preserve">2023</w:t>
        </w:r>
      </w:hyperlink>
      <w:r>
        <w:t xml:space="preserve">)</w:t>
      </w:r>
      <w:r>
        <w:t xml:space="preserve">.</w:t>
      </w:r>
    </w:p>
    <w:p>
      <w:pPr>
        <w:pStyle w:val="Textoindependiente"/>
      </w:pPr>
      <w:r>
        <w:t xml:space="preserve">De ahí que una de las apuestas más íntimas del libro sea generacional. Los autores quisieran que las nuevas promociones de abogados peruanos se permitan imaginar una profesión menos defensiva y más creadora. Una profesión que no espere a que el cambio llegue empaquetado desde fuera para recién adaptarse. Una profesión que pueda participar en el rediseño de servicios, en la construcción de plataformas, en la evaluación crítica de inteligencia artificial y en la modernización de instituciones que el país necesita con urgencia. No porque todos deban convertirse en programadores, sino porque ya no es razonable que el abogado deba elegir entre comprender el problema jurídico o comprender el entorno técnico en el que ese problema se despliega.</w:t>
      </w:r>
    </w:p>
    <w:p>
      <w:pPr>
        <w:pStyle w:val="Textoindependiente"/>
      </w:pPr>
      <w:r>
        <w:t xml:space="preserve">El manual, entonces, se forja con cariño y con ilusión. No pretende disimular esa dimensión afectiva detrás de una falsa neutralidad. Hay aquí trabajo intelectual, pero también esperanza pedagógica y una confianza real en que enseñar mejor puede producir profesionales más valientes, más rigurosos y más útiles para su tiempo. Hay también gratitud por una conversación global que ha permitido aprender de profesores, investigadores, desarrolladores, equipos públicos y comunidades que comparten herramientas, métodos y preguntas más allá de fronteras disciplinares</w:t>
      </w:r>
      <w:r>
        <w:t xml:space="preserve"> </w:t>
      </w:r>
      <w:r>
        <w:t xml:space="preserve">(</w:t>
      </w:r>
      <w:hyperlink w:anchor="ref-savelka2021applied">
        <w:r>
          <w:rPr>
            <w:rStyle w:val="Hipervnculo"/>
          </w:rPr>
          <w:t xml:space="preserve">Ashley et al. 2021</w:t>
        </w:r>
      </w:hyperlink>
      <w:r>
        <w:t xml:space="preserve">;</w:t>
      </w:r>
      <w:r>
        <w:t xml:space="preserve"> </w:t>
      </w:r>
      <w:hyperlink w:anchor="ref-paez2025humancentered">
        <w:r>
          <w:rPr>
            <w:rStyle w:val="Hipervnculo"/>
          </w:rPr>
          <w:t xml:space="preserve">Páez et al. 2025</w:t>
        </w:r>
      </w:hyperlink>
      <w:r>
        <w:t xml:space="preserve">)</w:t>
      </w:r>
      <w:r>
        <w:t xml:space="preserve">. Y hay, finalmente, un deseo muy sencillo: que este libro sirva.</w:t>
      </w:r>
    </w:p>
    <w:p>
      <w:pPr>
        <w:pStyle w:val="Textoindependiente"/>
      </w:pPr>
      <w:r>
        <w:t xml:space="preserve">Servir, en este contexto, significa algo muy concreto. Significa que un estudiante pueda leer estas páginas y descubrir una manera distinta de pensar un problema jurídico. Que alguien en una entidad pública encuentre aquí una pista para reorganizar un proceso o volver más trazable una decisión. Que un abogado joven descubra que puede hacer mucho más con datos, documentos y herramientas abiertas de lo que le habían hecho creer. Que una profesora encuentre un lenguaje para enseñar Derecho sin darle la espalda al mundo técnico. Si una sola persona lee este manual y le sirve para resolver uno de los problemas por los que atraviesa el país, los autores se darán por bien servidos. Y si son más, que la gloria sea de Dios.</w:t>
      </w:r>
    </w:p>
    <w:p>
      <w:pPr>
        <w:pStyle w:val="Textoindependiente"/>
      </w:pPr>
      <w:r>
        <w:t xml:space="preserve">Con ese espíritu conviene entrar al curso. No como quien busca una fórmula mágica, sino como quien acepta el desafío de aprender una gramática nueva para intervenir mejor en problemas antiguos y nuevos. Lo que sigue no ofrece una promesa de facilidad. Ofrece algo más honesto: un camino de trabajo, errores, pruebas, ideas y herramientas para que el Derecho peruano dialogue con el futuro con mayor inteligencia, mayor ambición y mayor responsabilidad.</w:t>
      </w:r>
    </w:p>
    <w:bookmarkEnd w:id="32"/>
    <w:bookmarkStart w:id="33" w:name="X2b10536ee1d79d7750b9449d096dbf31837e1e0"/>
    <w:p>
      <w:pPr>
        <w:pStyle w:val="Ttulo1"/>
      </w:pPr>
      <w:r>
        <w:t xml:space="preserve">I. Pensamiento computacional para juristas</w:t>
      </w:r>
    </w:p>
    <w:p>
      <w:pPr>
        <w:pStyle w:val="FirstParagraph"/>
      </w:pPr>
      <w:r>
        <w:t xml:space="preserve">El punto de partida de este manual no es la inteligencia artificial, ni la automatización avanzada, ni la promesa de que un abogado deba transformarse en ingeniero. El punto de partida es más elemental y, por eso mismo, más importante: comprender que una parte creciente del trabajo jurídico ya convive con datos, plataformas, trámites digitalizados, repositorios, servicios electrónicos y sistemas que procesan información según reglas explícitas o patrones aprendidos. En ese entorno, aprender a pensar computacionalmente no es un lujo especializado, sino una forma básica de alfabetización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Ese desplazamiento merece subrayarse porque modifica una intuición todavía frecuente en las facultades de Derecho. Durante mucho tiempo pareció razonable suponer que bastaba con conocer normas, instituciones y técnicas de argumentación, dejando la infraestructura tecnológica como una cuestión periférica o delegable. Hoy esa separación se ha vuelto menos creíble. Cuando un expediente circula por canales digitales, cuando una notificación llega por medios electrónicos, cuando un servicio público depende de identidad digital, interoperabilidad o datos, y cuando un estudio jurídico organiza su trabajo sobre plataformas, hojas de cálculo o flujos automatizados, la lógica técnica deja de ser ajena al oficio y pasa a formar parte de sus condiciones de ejercicio</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w:t>
      </w:r>
    </w:p>
    <w:p>
      <w:pPr>
        <w:pStyle w:val="Textoindependiente"/>
      </w:pPr>
      <w:r>
        <w:t xml:space="preserve">Por eso este módulo cumple una función fundacional. No busca adelantar herramientas espectaculares, sino construir el puente entre la formación jurídica tradicional y la lógica con la que operan muchas tecnologías digitales. Ese puente empieza por una idea sencilla: una computadora no interpreta el derecho como lo hace un abogado. Ejecuta instrucciones, opera sobre representaciones, distingue condiciones, compara valores y produce salidas según estructuras previamente definidas. Si el jurista quiere habitar críticamente un entorno profesional mediado por tecnología, necesita empezar por entender cómo se estructuran esas instrucciones y qué ocurre cuando una regla, un trámite o una decisión se traduce a pasos verificables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La relevancia de este punto no es solo pedagógica. También tiene una dimensión institucional y normativa. La Ley Marco de Modernización de la Gestión del Estado declaró hace ya más de dos décadas que el aparato público peruano debía reorganizarse para mejorar la atención a la ciudadanía, fortalecer la transparencia y usar mejor sus recursos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la Ley de Gobierno Digital y el Sistema Nacional de Transformación Digital consolidaron una arquitectura en la que identidad digital, servicios digitales, interoperabilidad, datos y seguridad ya no aparecen como anexos decorativos, sino como piezas de gobernanza y de prestación estatal</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Política Nacional de Transformación Digital al 2030 refuerza esa misma trayectoria al presentar la transformación digital como una política integral orientada a derechos, inclusión, servicios y coordinación institucional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Nada de eso convierte automáticamente a un estudiante de Derecho en programador, pero sí vuelve menos sostenible la idea de que la tecnología puede dejarse siempre fuera del campo visual del jurista. Cuando el marco normativo del propio Estado asume que los servicios, los procedimientos y la información circularán cada vez más en medios digitales, la comprensión básica de cómo se estructura un proceso computable deja de ser una curiosidad y pasa a ser una competencia profesional razonable</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En el plano internacional, la literatura sobre educación jurídica y tecnología llega a una conclusión semejante por otra vía. Contreras y McGrath sostienen que enseñar código a estudiantes de Derecho no busca reemplazar la formación jurídica, sino contribuir a una abogacía más preparada para un entorno técnico cambiante</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legal contemporánea necesita incorporar capacidades tecnológicas suficientes para comprender cómo se transforman la práctica y los servicios jurídicos</w:t>
      </w:r>
      <w:r>
        <w:t xml:space="preserve"> </w:t>
      </w:r>
      <w:r>
        <w:t xml:space="preserve">(</w:t>
      </w:r>
      <w:hyperlink w:anchor="ref-volini2020technology">
        <w:r>
          <w:rPr>
            <w:rStyle w:val="Hipervnculo"/>
          </w:rPr>
          <w:t xml:space="preserve">Volini 2020</w:t>
        </w:r>
      </w:hyperlink>
      <w:r>
        <w:t xml:space="preserve">)</w:t>
      </w:r>
      <w:r>
        <w:t xml:space="preserve">. Ryan, por su parte, muestra que programar no solo añade una destreza instrumental, sino que refuerza pensamiento crítico, precisión lógica y disciplina para descomponer problemas</w:t>
      </w:r>
      <w:r>
        <w:t xml:space="preserve"> </w:t>
      </w:r>
      <w:r>
        <w:t xml:space="preserve">(</w:t>
      </w:r>
      <w:hyperlink w:anchor="ref-ryan2021coding">
        <w:r>
          <w:rPr>
            <w:rStyle w:val="Hipervnculo"/>
          </w:rPr>
          <w:t xml:space="preserve">Ryan 2021</w:t>
        </w:r>
      </w:hyperlink>
      <w:r>
        <w:t xml:space="preserve">)</w:t>
      </w:r>
      <w:r>
        <w:t xml:space="preserve">. Leído en conjunto, este debate sugiere que el pensamiento computacional no es un desvío respecto del Derecho, sino una forma adicional de rigor.</w:t>
      </w:r>
    </w:p>
    <w:p>
      <w:pPr>
        <w:pStyle w:val="Textoindependiente"/>
      </w:pPr>
      <w:r>
        <w:t xml:space="preserve">Ese rigor importa especialmente porque el módulo no presenta el código como un mundo aislado de la práctica legal. Su apuesta es otra: mostrar que codificar obliga a explicitar supuestos, distinguir condiciones, anticipar excepciones y ordenar secuencias. Dicho de otra manera, obliga a volver visibles ciertas operaciones que el jurista ya realiza de manera implícita cuando interpreta una norma, organiza un expediente, revisa requisitos, calcula plazos o compara alternativas. El valor formativo del módulo no está solo en aprender una sintaxis, sino en reconocer que la precisión computacional puede funcionar como ejercicio de claridad intelectual para problemas jurídicos concretos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Desde esa perspectiva, el marco normativo peruano no aparece aquí como un contenido accesorio, sino como una razón adicional para tomarse en serio esta alfabetización. El Decreto Legislativo 1412 regula el gobierno digital como un régimen transversal de identidad, servicios, arquitectura, interoperabilidad, seguridad y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define la transformación digital como un sistema nacional articulado entre entidades públicas, sector privado, academia y sociedad civil</w:t>
      </w:r>
      <w:r>
        <w:t xml:space="preserve"> </w:t>
      </w:r>
      <w:r>
        <w:t xml:space="preserve">(</w:t>
      </w:r>
      <w:hyperlink w:anchor="ref-peru2020transformaciondigital">
        <w:r>
          <w:rPr>
            <w:rStyle w:val="Hipervnculo"/>
          </w:rPr>
          <w:t xml:space="preserve">Perú 2020</w:t>
        </w:r>
      </w:hyperlink>
      <w:r>
        <w:t xml:space="preserve">)</w:t>
      </w:r>
      <w:r>
        <w:t xml:space="preserve">. Y el Reglamento de la Ley de Gobierno Digital precisa condiciones, requisitos y uso de tecnologías y medios electrónicos en el procedimiento administrativo, insistiendo en que la digitalización opera con observancia de derechos y deberes fundamentales</w:t>
      </w:r>
      <w:r>
        <w:t xml:space="preserve"> </w:t>
      </w:r>
      <w:r>
        <w:t xml:space="preserve">(</w:t>
      </w:r>
      <w:hyperlink w:anchor="ref-pcm2021gobdigitalreglamento">
        <w:r>
          <w:rPr>
            <w:rStyle w:val="Hipervnculo"/>
          </w:rPr>
          <w:t xml:space="preserve">Presidencia del Consejo de Ministros 2021</w:t>
        </w:r>
      </w:hyperlink>
      <w:r>
        <w:t xml:space="preserve">)</w:t>
      </w:r>
      <w:r>
        <w:t xml:space="preserve">. En ese contexto, la relación entre Derecho y cómputo deja de ser teórica: se instala en la propia infraestructura normativa del Estado.</w:t>
      </w:r>
    </w:p>
    <w:p>
      <w:pPr>
        <w:pStyle w:val="Textoindependiente"/>
      </w:pPr>
      <w:r>
        <w:t xml:space="preserve">El módulo, sin embargo, no empieza por esas capas institucionales más complejas. Empieza por lo más elemental, porque esa es la forma más sobria de enseñar. El primer capítulo, “Del bit al pseudocódigo”, abre con la pregunta por la representación. Qué significa que una máquina trabaje con bits, por qué la lógica booleana importa y cómo una secuencia de pasos puede formularse antes de escribir una sola línea de código. No se trata todavía de programar en sentido estricto, sino de aprender a describir con claridad un problema y a convertirlo en una estructura discutible y verificable. La promesa de esa sesión no es resolver mucho, sino aprender a mirar distinto.</w:t>
      </w:r>
    </w:p>
    <w:p>
      <w:pPr>
        <w:pStyle w:val="Textoindependiente"/>
      </w:pPr>
      <w:r>
        <w:t xml:space="preserve">El segundo capítulo, “Primeros pasos con Python”, da el siguiente movimiento. Si el primer capítulo enseña a pensar en pasos, este muestra cómo esos pasos empiezan a tomar forma en un lenguaje legible, extendido y especialmente apto para la enseñanza inicial</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Aquí aparecerá la sintaxis más básica, pero el sentido del capítulo no es celebrar un lenguaje por sí mismo, sino mostrar por qué Python funciona bien como puerta de entrada para no especialistas: porque permite trabajar con estructuras claras sin exigir desde el inicio un exceso de complejidad técnica</w:t>
      </w:r>
      <w:r>
        <w:t xml:space="preserve"> </w:t>
      </w:r>
      <w:r>
        <w:t xml:space="preserve">(</w:t>
      </w:r>
      <w:hyperlink w:anchor="ref-pythonfaq2026">
        <w:r>
          <w:rPr>
            <w:rStyle w:val="Hipervnculo"/>
          </w:rPr>
          <w:t xml:space="preserve">Python Documentation 2026b</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El tercer capítulo, “Python para fechas, archivos y datos”, expande el alcance del aprendizaje sin romper la progresión lenta del módulo. Una vez que las instrucciones básicas dejan de ser completamente nuevas, empieza a ser posible trabajar con materiales más parecidos a los de la práctica legal: fechas, archivos, registros y pequeñas tablas. El capítulo no se limita a enseñar operaciones aisladas; abre la puerta a una intuición más amplia: que una parte importante del trabajo jurídico puede beneficiarse de herramientas capaces de leer, ordenar y transformar información con consistencia</w:t>
      </w:r>
      <w:r>
        <w:t xml:space="preserve"> </w:t>
      </w:r>
      <w:r>
        <w:t xml:space="preserve">(</w:t>
      </w:r>
      <w:hyperlink w:anchor="ref-savelka2021applied">
        <w:r>
          <w:rPr>
            <w:rStyle w:val="Hipervnculo"/>
          </w:rPr>
          <w:t xml:space="preserve">Ashley et al. 2021</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cuarto capítulo, “Python para documentos, reportes y automatización jurídica básica”, termina de mostrar la dirección general del módulo. No propone todavía sistemas sofisticados, pero sí permite advertir que los scripts más sencillos ya pueden conectarse con tareas documentales, reportes y pequeñas automatizaciones de valor jurídico. Ese cierre importa porque convierte el aprendizaje previo en una imagen más tangible de lo que luego se profundizará en el resto del curso: procesos, datos, web, seguridad e inteligencia artificial no aparecen de la nada; descansan sobre la capacidad previa de estructurar instrucciones y tratar la información con disciplina.</w:t>
      </w:r>
    </w:p>
    <w:p>
      <w:pPr>
        <w:pStyle w:val="Textoindependiente"/>
      </w:pPr>
      <w:r>
        <w:t xml:space="preserve">Mirado en conjunto, el módulo enseña algo más que contenidos técnicos. Enseña una actitud. Antes de automatizar, hay que entender el problema. Antes de pedirle a una herramienta que resuelva, hay que poder describir con claridad qué debe hacer, con qué información y bajo qué condiciones. Y antes de confiar en una salida digital, hay que entender qué parte del resultado depende de una regla, qué parte del dato y qué parte de un supuesto que nosotros mismos decidimos introducir</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w:t>
      </w:r>
    </w:p>
    <w:p>
      <w:pPr>
        <w:pStyle w:val="Textoindependiente"/>
      </w:pPr>
      <w:r>
        <w:t xml:space="preserve">Esa actitud tiene consecuencias prácticas para la abogacía. Un jurista que entiende mínimamente la lógica computacional está mejor preparado para dialogar con equipos técnicos, revisar requisitos funcionales, cuestionar una mala traducción de la norma a una plataforma, detectar decisiones opacas en un flujo digital o simplemente reconocer cuándo una herramienta promete más de lo que realmente puede ofrecer. No se trata de sustituir conocimiento jurídico por conocimiento técnico, sino de evitar que la creciente mediación tecnológica vuelva al abogado dependiente de procesos que no puede siquiera describir</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También por eso el módulo conviene leerse como una introducción al resto del manual y no como un tramo menor que habrá que “superar” antes de llegar a lo interesante. Aquí se instala la gramática de trabajo del curso: describir, descomponer, probar, corregir, documentar. Sin esa base, los módulos posteriores correrían el riesgo de volverse un catálogo de herramientas sin hilo conductor. Con ella, en cambio, cada tecnología posterior puede leerse como una extensión de una misma pregunta: cómo convertir un problema jurídico en una secuencia inteligible, controlable y mejorable</w:t>
      </w:r>
      <w:r>
        <w:t xml:space="preserve"> </w:t>
      </w:r>
      <w:r>
        <w:t xml:space="preserve">(</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p>
      <w:pPr>
        <w:pStyle w:val="Textoindependiente"/>
      </w:pPr>
      <w:r>
        <w:t xml:space="preserve">Si una idea central debe quedar al abrir este módulo, podría formularse así: aprender pensamiento computacional en Derecho no significa renunciar a la especificidad del juicio jurídico, sino fortalecerlo en un entorno donde cada vez más reglas, servicios y decisiones circulan por infraestructuras técnicas. Este módulo ofrece el primer lenguaje para empezar a pensar ese entorno con seriedad. Lo hace de forma introductoria, gradual y aplicada, precisamente porque su ambición no es impresionar, sino construir una base intelectual duradera para el resto del curso.</w:t>
      </w:r>
    </w:p>
    <w:bookmarkEnd w:id="33"/>
    <w:bookmarkStart w:id="66"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37"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37"/>
    <w:bookmarkStart w:id="4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41"/>
    <w:bookmarkStart w:id="4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42"/>
    <w:bookmarkStart w:id="4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4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43"/>
    <w:bookmarkStart w:id="4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44"/>
    <w:bookmarkEnd w:id="45"/>
    <w:bookmarkStart w:id="4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4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46"/>
    <w:bookmarkEnd w:id="47"/>
    <w:bookmarkStart w:id="5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1"/>
              </w:numPr>
            </w:pPr>
            <w:r>
              <w:rPr>
                <w:b/>
                <w:bCs/>
              </w:rPr>
              <w:t xml:space="preserve">bit</w:t>
            </w:r>
            <w:r>
              <w:t xml:space="preserve">: unidad mínima de información binaria.</w:t>
            </w:r>
          </w:p>
          <w:p>
            <w:pPr>
              <w:pStyle w:val="Compact"/>
              <w:numPr>
                <w:ilvl w:val="0"/>
                <w:numId w:val="1001"/>
              </w:numPr>
            </w:pPr>
            <w:r>
              <w:rPr>
                <w:b/>
                <w:bCs/>
              </w:rPr>
              <w:t xml:space="preserve">byte</w:t>
            </w:r>
            <w:r>
              <w:t xml:space="preserve">: grupo de 8 bits.</w:t>
            </w:r>
          </w:p>
          <w:p>
            <w:pPr>
              <w:pStyle w:val="Compact"/>
              <w:numPr>
                <w:ilvl w:val="0"/>
                <w:numId w:val="1001"/>
              </w:numPr>
            </w:pPr>
            <w:r>
              <w:rPr>
                <w:b/>
                <w:bCs/>
              </w:rPr>
              <w:t xml:space="preserve">codificación</w:t>
            </w:r>
            <w:r>
              <w:t xml:space="preserve">: convención que asigna números a caracteres.</w:t>
            </w:r>
          </w:p>
          <w:p>
            <w:pPr>
              <w:pStyle w:val="Compact"/>
              <w:numPr>
                <w:ilvl w:val="0"/>
                <w:numId w:val="1001"/>
              </w:numPr>
            </w:pPr>
            <w:r>
              <w:rPr>
                <w:b/>
                <w:bCs/>
              </w:rPr>
              <w:t xml:space="preserve">tipo de dato</w:t>
            </w:r>
            <w:r>
              <w:t xml:space="preserve">: categoría que define cómo puede manipularse cierta información.</w:t>
            </w:r>
          </w:p>
          <w:p>
            <w:pPr>
              <w:pStyle w:val="Compact"/>
              <w:numPr>
                <w:ilvl w:val="0"/>
                <w:numId w:val="1001"/>
              </w:numPr>
            </w:pPr>
            <w:r>
              <w:rPr>
                <w:b/>
                <w:bCs/>
              </w:rPr>
              <w:t xml:space="preserve">valor booleano</w:t>
            </w:r>
            <w:r>
              <w:t xml:space="preserve">: expresión lógica de verdadero o falso.</w:t>
            </w:r>
          </w:p>
          <w:p/>
        </w:tc>
      </w:tr>
    </w:tbl>
    <w:bookmarkEnd w:id="50"/>
    <w:bookmarkStart w:id="5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51"/>
    <w:bookmarkStart w:id="5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5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52"/>
    <w:bookmarkEnd w:id="53"/>
    <w:bookmarkStart w:id="5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2"/>
        </w:numPr>
      </w:pPr>
      <w:r>
        <w:t xml:space="preserve">convertir números entre binario y decimal;</w:t>
      </w:r>
    </w:p>
    <w:p>
      <w:pPr>
        <w:pStyle w:val="Compact"/>
        <w:numPr>
          <w:ilvl w:val="0"/>
          <w:numId w:val="1002"/>
        </w:numPr>
      </w:pPr>
      <w:r>
        <w:t xml:space="preserve">reconocer que el texto también necesita una codificación estable;</w:t>
      </w:r>
    </w:p>
    <w:p>
      <w:pPr>
        <w:pStyle w:val="Compact"/>
        <w:numPr>
          <w:ilvl w:val="0"/>
          <w:numId w:val="1002"/>
        </w:numPr>
      </w:pPr>
      <w:r>
        <w:t xml:space="preserve">distinguir tipos de información;</w:t>
      </w:r>
    </w:p>
    <w:p>
      <w:pPr>
        <w:pStyle w:val="Compact"/>
        <w:numPr>
          <w:ilvl w:val="0"/>
          <w:numId w:val="1002"/>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54" w:name="práctica-1.-conversión-numérica"/>
    <w:p>
      <w:pPr>
        <w:pStyle w:val="Ttulo3"/>
      </w:pPr>
      <w:r>
        <w:t xml:space="preserve">Práctica 1. Conversión numérica</w:t>
      </w:r>
    </w:p>
    <w:p>
      <w:pPr>
        <w:pStyle w:val="Compact"/>
        <w:numPr>
          <w:ilvl w:val="0"/>
          <w:numId w:val="1003"/>
        </w:numPr>
      </w:pPr>
      <w:r>
        <w:t xml:space="preserve">Convierte</w:t>
      </w:r>
      <w:r>
        <w:t xml:space="preserve"> </w:t>
      </w:r>
      <w:r>
        <w:rPr>
          <w:rStyle w:val="VerbatimChar"/>
        </w:rPr>
        <w:t xml:space="preserve">1110</w:t>
      </w:r>
      <w:r>
        <w:t xml:space="preserve"> </w:t>
      </w:r>
      <w:r>
        <w:t xml:space="preserve">a decimal.</w:t>
      </w:r>
    </w:p>
    <w:p>
      <w:pPr>
        <w:pStyle w:val="Compact"/>
        <w:numPr>
          <w:ilvl w:val="0"/>
          <w:numId w:val="1003"/>
        </w:numPr>
      </w:pPr>
      <w:r>
        <w:t xml:space="preserve">Convierte</w:t>
      </w:r>
      <w:r>
        <w:t xml:space="preserve"> </w:t>
      </w:r>
      <w:r>
        <w:rPr>
          <w:rStyle w:val="VerbatimChar"/>
        </w:rPr>
        <w:t xml:space="preserve">10011</w:t>
      </w:r>
      <w:r>
        <w:t xml:space="preserve"> </w:t>
      </w:r>
      <w:r>
        <w:t xml:space="preserve">a decimal.</w:t>
      </w:r>
    </w:p>
    <w:p>
      <w:pPr>
        <w:pStyle w:val="Compact"/>
        <w:numPr>
          <w:ilvl w:val="0"/>
          <w:numId w:val="1003"/>
        </w:numPr>
      </w:pPr>
      <w:r>
        <w:t xml:space="preserve">Convierte</w:t>
      </w:r>
      <w:r>
        <w:t xml:space="preserve"> </w:t>
      </w:r>
      <w:r>
        <w:rPr>
          <w:rStyle w:val="VerbatimChar"/>
        </w:rPr>
        <w:t xml:space="preserve">6</w:t>
      </w:r>
      <w:r>
        <w:t xml:space="preserve"> </w:t>
      </w:r>
      <w:r>
        <w:t xml:space="preserve">a binario.</w:t>
      </w:r>
    </w:p>
    <w:p>
      <w:pPr>
        <w:pStyle w:val="Compact"/>
        <w:numPr>
          <w:ilvl w:val="0"/>
          <w:numId w:val="1003"/>
        </w:numPr>
      </w:pPr>
      <w:r>
        <w:t xml:space="preserve">Convierte</w:t>
      </w:r>
      <w:r>
        <w:t xml:space="preserve"> </w:t>
      </w:r>
      <w:r>
        <w:rPr>
          <w:rStyle w:val="VerbatimChar"/>
        </w:rPr>
        <w:t xml:space="preserve">14</w:t>
      </w:r>
      <w:r>
        <w:t xml:space="preserve"> </w:t>
      </w:r>
      <w:r>
        <w:t xml:space="preserve">a binario.</w:t>
      </w:r>
    </w:p>
    <w:bookmarkEnd w:id="54"/>
    <w:bookmarkStart w:id="5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4"/>
        </w:numPr>
      </w:pPr>
      <w:r>
        <w:t xml:space="preserve">Representa</w:t>
      </w:r>
      <w:r>
        <w:t xml:space="preserve"> </w:t>
      </w:r>
      <w:r>
        <w:rPr>
          <w:rStyle w:val="VerbatimChar"/>
        </w:rPr>
        <w:t xml:space="preserve">DADO</w:t>
      </w:r>
      <w:r>
        <w:t xml:space="preserve"> </w:t>
      </w:r>
      <w:r>
        <w:t xml:space="preserve">en decimal.</w:t>
      </w:r>
    </w:p>
    <w:p>
      <w:pPr>
        <w:pStyle w:val="Compact"/>
        <w:numPr>
          <w:ilvl w:val="0"/>
          <w:numId w:val="1004"/>
        </w:numPr>
      </w:pPr>
      <w:r>
        <w:t xml:space="preserve">Representa</w:t>
      </w:r>
      <w:r>
        <w:t xml:space="preserve"> </w:t>
      </w:r>
      <w:r>
        <w:rPr>
          <w:rStyle w:val="VerbatimChar"/>
        </w:rPr>
        <w:t xml:space="preserve">DADO</w:t>
      </w:r>
      <w:r>
        <w:t xml:space="preserve"> </w:t>
      </w:r>
      <w:r>
        <w:t xml:space="preserve">en binario.</w:t>
      </w:r>
    </w:p>
    <w:p>
      <w:pPr>
        <w:pStyle w:val="Compact"/>
        <w:numPr>
          <w:ilvl w:val="0"/>
          <w:numId w:val="1004"/>
        </w:numPr>
      </w:pPr>
      <w:r>
        <w:t xml:space="preserve">Explica brevemente por qué el texto digital necesita una convención compartida de codificación.</w:t>
      </w:r>
    </w:p>
    <w:bookmarkEnd w:id="55"/>
    <w:bookmarkStart w:id="5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56"/>
    <w:bookmarkEnd w:id="57"/>
    <w:bookmarkStart w:id="5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58"/>
    <w:bookmarkStart w:id="65"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5"/>
              </w:numPr>
            </w:pPr>
            <w:r>
              <w:t xml:space="preserve">La tecnología digital funciona sobre representaciones formales, no sobre intuiciones difusas.</w:t>
            </w:r>
          </w:p>
          <w:p>
            <w:pPr>
              <w:pStyle w:val="Compact"/>
              <w:numPr>
                <w:ilvl w:val="0"/>
                <w:numId w:val="1005"/>
              </w:numPr>
            </w:pPr>
            <w:r>
              <w:t xml:space="preserve">El sistema binario importa menos como destreza memorística que como ejercicio de descomposición y estructura.</w:t>
            </w:r>
          </w:p>
          <w:p>
            <w:pPr>
              <w:pStyle w:val="Compact"/>
              <w:numPr>
                <w:ilvl w:val="0"/>
                <w:numId w:val="1005"/>
              </w:numPr>
            </w:pPr>
            <w:r>
              <w:t xml:space="preserve">El texto también requiere estándares de codificación para poder almacenarse y circular sin corrupción.</w:t>
            </w:r>
          </w:p>
          <w:p>
            <w:pPr>
              <w:pStyle w:val="Compact"/>
              <w:numPr>
                <w:ilvl w:val="0"/>
                <w:numId w:val="1005"/>
              </w:numPr>
            </w:pPr>
            <w:r>
              <w:t xml:space="preserve">Pensar computacionalmente no equivale solo a programar: equivale a ordenar problemas en partes, reglas y secuencias verificables.</w:t>
            </w:r>
          </w:p>
          <w:p>
            <w:pPr>
              <w:pStyle w:val="Compact"/>
              <w:numPr>
                <w:ilvl w:val="0"/>
                <w:numId w:val="1005"/>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caution.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65"/>
    <w:bookmarkEnd w:id="66"/>
    <w:bookmarkStart w:id="139"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69"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 La utilidad formativa de esa entrada no depende de producir expertos en ingeniería, sino de dar al estudiante una familiaridad suficiente para moverse con criterio en entornos jurídicos crecientemente digitalizados</w:t>
      </w:r>
      <w:r>
        <w:t xml:space="preserve"> </w:t>
      </w:r>
      <w:r>
        <w:t xml:space="preserve">(</w:t>
      </w:r>
      <w:hyperlink w:anchor="ref-volini2020technology">
        <w:r>
          <w:rPr>
            <w:rStyle w:val="Hipervnculo"/>
          </w:rPr>
          <w:t xml:space="preserve">Volini 2020</w:t>
        </w:r>
      </w:hyperlink>
      <w:r>
        <w:t xml:space="preserve">)</w:t>
      </w:r>
      <w:r>
        <w:t xml:space="preserve">.</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69"/>
    <w:bookmarkStart w:id="73"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71" name="Picture"/>
            <a:graphic>
              <a:graphicData uri="http://schemas.openxmlformats.org/drawingml/2006/picture">
                <pic:pic>
                  <pic:nvPicPr>
                    <pic:cNvPr descr="parte-1-modulo-1/02-capitulo_files/figure-docx/mermaid-figure-1.png" id="72" name="Picture"/>
                    <pic:cNvPicPr>
                      <a:picLocks noChangeArrowheads="1" noChangeAspect="1"/>
                    </pic:cNvPicPr>
                  </pic:nvPicPr>
                  <pic:blipFill>
                    <a:blip r:embed="rId70"/>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73"/>
    <w:bookmarkStart w:id="74"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 Aprender código, en ese sentido, funciona también como una forma de alfabetización tecnológica para juristas que necesitan entender mejor los entornos profesionales donde ya circulan datos, algoritmos y plataformas</w:t>
      </w:r>
      <w:r>
        <w:t xml:space="preserve"> </w:t>
      </w:r>
      <w:r>
        <w:t xml:space="preserve">(</w:t>
      </w:r>
      <w:hyperlink w:anchor="ref-contreras2020pedagogy">
        <w:r>
          <w:rPr>
            <w:rStyle w:val="Hipervnculo"/>
          </w:rPr>
          <w:t xml:space="preserve">Contreras and McGrath 2020</w:t>
        </w:r>
      </w:hyperlink>
      <w:r>
        <w:t xml:space="preserve">)</w:t>
      </w:r>
      <w:r>
        <w:t xml:space="preserve">.</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74"/>
    <w:bookmarkStart w:id="133"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06"/>
              </w:numPr>
            </w:pPr>
            <w:r>
              <w:t xml:space="preserve">Python 3 instalado;</w:t>
            </w:r>
          </w:p>
          <w:p>
            <w:pPr>
              <w:pStyle w:val="Compact"/>
              <w:numPr>
                <w:ilvl w:val="0"/>
                <w:numId w:val="1006"/>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80"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77"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77"/>
    <w:bookmarkStart w:id="78" w:name="qué-hace-cada-parte"/>
    <w:p>
      <w:pPr>
        <w:pStyle w:val="Ttulo4"/>
      </w:pPr>
      <w:r>
        <w:t xml:space="preserve">Qué hace cada parte</w:t>
      </w:r>
    </w:p>
    <w:p>
      <w:pPr>
        <w:pStyle w:val="Compact"/>
        <w:numPr>
          <w:ilvl w:val="0"/>
          <w:numId w:val="1007"/>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07"/>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07"/>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07"/>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78"/>
    <w:bookmarkStart w:id="79"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79"/>
    <w:bookmarkEnd w:id="80"/>
    <w:bookmarkStart w:id="84"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81"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81"/>
    <w:bookmarkStart w:id="82" w:name="qué-hace-cada-parte-1"/>
    <w:p>
      <w:pPr>
        <w:pStyle w:val="Ttulo4"/>
      </w:pPr>
      <w:r>
        <w:t xml:space="preserve">Qué hace cada parte</w:t>
      </w:r>
    </w:p>
    <w:p>
      <w:pPr>
        <w:pStyle w:val="Compact"/>
        <w:numPr>
          <w:ilvl w:val="0"/>
          <w:numId w:val="1008"/>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08"/>
        </w:numPr>
      </w:pPr>
      <w:r>
        <w:rPr>
          <w:rStyle w:val="VerbatimChar"/>
        </w:rPr>
        <w:t xml:space="preserve">edad = 36</w:t>
      </w:r>
      <w:r>
        <w:t xml:space="preserve"> </w:t>
      </w:r>
      <w:r>
        <w:t xml:space="preserve">guarda un entero. Los enteros sirven para cantidades sin decimales.</w:t>
      </w:r>
    </w:p>
    <w:p>
      <w:pPr>
        <w:pStyle w:val="Compact"/>
        <w:numPr>
          <w:ilvl w:val="0"/>
          <w:numId w:val="1008"/>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08"/>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08"/>
        </w:numPr>
      </w:pPr>
      <w:r>
        <w:rPr>
          <w:rStyle w:val="VerbatimChar"/>
        </w:rPr>
        <w:t xml:space="preserve">type(...)</w:t>
      </w:r>
      <w:r>
        <w:t xml:space="preserve"> </w:t>
      </w:r>
      <w:r>
        <w:t xml:space="preserve">es una función incorporada que devuelve la clase o tipo de un valor.</w:t>
      </w:r>
    </w:p>
    <w:p>
      <w:pPr>
        <w:pStyle w:val="Compact"/>
        <w:numPr>
          <w:ilvl w:val="0"/>
          <w:numId w:val="1008"/>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82"/>
    <w:bookmarkStart w:id="83"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83"/>
    <w:bookmarkEnd w:id="84"/>
    <w:bookmarkStart w:id="88"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85"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85"/>
    <w:bookmarkStart w:id="86" w:name="qué-hace-cada-parte-2"/>
    <w:p>
      <w:pPr>
        <w:pStyle w:val="Ttulo4"/>
      </w:pPr>
      <w:r>
        <w:t xml:space="preserve">Qué hace cada parte</w:t>
      </w:r>
    </w:p>
    <w:p>
      <w:pPr>
        <w:pStyle w:val="Compact"/>
        <w:numPr>
          <w:ilvl w:val="0"/>
          <w:numId w:val="1009"/>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09"/>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09"/>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09"/>
        </w:numPr>
      </w:pPr>
      <w:r>
        <w:rPr>
          <w:rStyle w:val="VerbatimChar"/>
        </w:rPr>
        <w:t xml:space="preserve">print("Hola,", nombre_usuario)</w:t>
      </w:r>
      <w:r>
        <w:t xml:space="preserve"> </w:t>
      </w:r>
      <w:r>
        <w:t xml:space="preserve">combina un texto fijo con el dato ingresado por el usuario.</w:t>
      </w:r>
    </w:p>
    <w:p>
      <w:pPr>
        <w:pStyle w:val="Compact"/>
        <w:numPr>
          <w:ilvl w:val="0"/>
          <w:numId w:val="1009"/>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86"/>
    <w:bookmarkStart w:id="87"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87"/>
    <w:bookmarkEnd w:id="88"/>
    <w:bookmarkStart w:id="92"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89"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89"/>
    <w:bookmarkStart w:id="90" w:name="qué-hace-cada-parte-3"/>
    <w:p>
      <w:pPr>
        <w:pStyle w:val="Ttulo4"/>
      </w:pPr>
      <w:r>
        <w:t xml:space="preserve">Qué hace cada parte</w:t>
      </w:r>
    </w:p>
    <w:p>
      <w:pPr>
        <w:pStyle w:val="Compact"/>
        <w:numPr>
          <w:ilvl w:val="0"/>
          <w:numId w:val="1010"/>
        </w:numPr>
      </w:pPr>
      <w:r>
        <w:rPr>
          <w:rStyle w:val="VerbatimChar"/>
        </w:rPr>
        <w:t xml:space="preserve">texto_numero = input(...)</w:t>
      </w:r>
      <w:r>
        <w:t xml:space="preserve"> </w:t>
      </w:r>
      <w:r>
        <w:t xml:space="preserve">recibe lo que escribes y lo guarda como texto.</w:t>
      </w:r>
    </w:p>
    <w:p>
      <w:pPr>
        <w:pStyle w:val="Compact"/>
        <w:numPr>
          <w:ilvl w:val="0"/>
          <w:numId w:val="1010"/>
        </w:numPr>
      </w:pPr>
      <w:r>
        <w:rPr>
          <w:rStyle w:val="VerbatimChar"/>
        </w:rPr>
        <w:t xml:space="preserve">type(texto_numero)</w:t>
      </w:r>
      <w:r>
        <w:t xml:space="preserve"> </w:t>
      </w:r>
      <w:r>
        <w:t xml:space="preserve">comprueba ese punto de partida.</w:t>
      </w:r>
    </w:p>
    <w:p>
      <w:pPr>
        <w:pStyle w:val="Compact"/>
        <w:numPr>
          <w:ilvl w:val="0"/>
          <w:numId w:val="1010"/>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0"/>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0"/>
        </w:numPr>
      </w:pPr>
      <w:r>
        <w:rPr>
          <w:rStyle w:val="VerbatimChar"/>
        </w:rPr>
        <w:t xml:space="preserve">str(numero_entero)</w:t>
      </w:r>
      <w:r>
        <w:t xml:space="preserve"> </w:t>
      </w:r>
      <w:r>
        <w:t xml:space="preserve">hace el camino inverso: convierte el número nuevamente en texto.</w:t>
      </w:r>
    </w:p>
    <w:p>
      <w:pPr>
        <w:pStyle w:val="Compact"/>
        <w:numPr>
          <w:ilvl w:val="0"/>
          <w:numId w:val="1010"/>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90"/>
    <w:bookmarkStart w:id="91"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91"/>
    <w:bookmarkEnd w:id="92"/>
    <w:bookmarkStart w:id="96"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93"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93"/>
    <w:bookmarkStart w:id="94" w:name="qué-hace-cada-parte-4"/>
    <w:p>
      <w:pPr>
        <w:pStyle w:val="Ttulo4"/>
      </w:pPr>
      <w:r>
        <w:t xml:space="preserve">Qué hace cada parte</w:t>
      </w:r>
    </w:p>
    <w:p>
      <w:pPr>
        <w:pStyle w:val="Compact"/>
        <w:numPr>
          <w:ilvl w:val="0"/>
          <w:numId w:val="1011"/>
        </w:numPr>
      </w:pPr>
      <w:r>
        <w:rPr>
          <w:rStyle w:val="VerbatimChar"/>
        </w:rPr>
        <w:t xml:space="preserve">int(input(...))</w:t>
      </w:r>
      <w:r>
        <w:t xml:space="preserve"> </w:t>
      </w:r>
      <w:r>
        <w:t xml:space="preserve">combina dos acciones: pedir un dato y convertirlo inmediatamente a entero.</w:t>
      </w:r>
    </w:p>
    <w:p>
      <w:pPr>
        <w:pStyle w:val="Compact"/>
        <w:numPr>
          <w:ilvl w:val="0"/>
          <w:numId w:val="1011"/>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1"/>
        </w:numPr>
      </w:pPr>
      <w:r>
        <w:rPr>
          <w:rStyle w:val="VerbatimChar"/>
        </w:rPr>
        <w:t xml:space="preserve">if segundo_numero != 0:</w:t>
      </w:r>
      <w:r>
        <w:t xml:space="preserve"> </w:t>
      </w:r>
      <w:r>
        <w:t xml:space="preserve">verifica si la división es válida antes de ejecutarla.</w:t>
      </w:r>
    </w:p>
    <w:p>
      <w:pPr>
        <w:pStyle w:val="Compact"/>
        <w:numPr>
          <w:ilvl w:val="0"/>
          <w:numId w:val="1011"/>
        </w:numPr>
      </w:pPr>
      <w:r>
        <w:rPr>
          <w:rStyle w:val="VerbatimChar"/>
        </w:rPr>
        <w:t xml:space="preserve">/</w:t>
      </w:r>
      <w:r>
        <w:t xml:space="preserve"> </w:t>
      </w:r>
      <w:r>
        <w:t xml:space="preserve">produce una división decimal.</w:t>
      </w:r>
    </w:p>
    <w:p>
      <w:pPr>
        <w:pStyle w:val="Compact"/>
        <w:numPr>
          <w:ilvl w:val="0"/>
          <w:numId w:val="1011"/>
        </w:numPr>
      </w:pPr>
      <w:r>
        <w:rPr>
          <w:rStyle w:val="VerbatimChar"/>
        </w:rPr>
        <w:t xml:space="preserve">//</w:t>
      </w:r>
      <w:r>
        <w:t xml:space="preserve"> </w:t>
      </w:r>
      <w:r>
        <w:t xml:space="preserve">produce una división entera, es decir, el cociente sin decimales.</w:t>
      </w:r>
    </w:p>
    <w:p>
      <w:pPr>
        <w:pStyle w:val="Compact"/>
        <w:numPr>
          <w:ilvl w:val="0"/>
          <w:numId w:val="1011"/>
        </w:numPr>
      </w:pPr>
      <w:r>
        <w:rPr>
          <w:rStyle w:val="VerbatimChar"/>
        </w:rPr>
        <w:t xml:space="preserve">%</w:t>
      </w:r>
      <w:r>
        <w:t xml:space="preserve"> </w:t>
      </w:r>
      <w:r>
        <w:t xml:space="preserve">calcula el residuo de una división.</w:t>
      </w:r>
    </w:p>
    <w:p>
      <w:pPr>
        <w:pStyle w:val="Compact"/>
        <w:numPr>
          <w:ilvl w:val="0"/>
          <w:numId w:val="1011"/>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1"/>
        </w:numPr>
      </w:pPr>
      <w:r>
        <w:rPr>
          <w:rStyle w:val="VerbatimChar"/>
        </w:rPr>
        <w:t xml:space="preserve">**</w:t>
      </w:r>
      <w:r>
        <w:t xml:space="preserve"> </w:t>
      </w:r>
      <w:r>
        <w:t xml:space="preserve">calcula potencias.</w:t>
      </w:r>
    </w:p>
    <w:p>
      <w:pPr>
        <w:pStyle w:val="Compact"/>
        <w:numPr>
          <w:ilvl w:val="0"/>
          <w:numId w:val="1011"/>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1"/>
        </w:numPr>
      </w:pPr>
      <w:r>
        <w:t xml:space="preserve">Se escribe la condición antes de dividir porque un programa bien construido no solo calcula: también prevé cuándo una operación puede romperse.</w:t>
      </w:r>
    </w:p>
    <w:bookmarkEnd w:id="94"/>
    <w:bookmarkStart w:id="95"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95"/>
    <w:bookmarkEnd w:id="96"/>
    <w:bookmarkStart w:id="100"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97"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97"/>
    <w:bookmarkStart w:id="98" w:name="qué-hace-cada-parte-5"/>
    <w:p>
      <w:pPr>
        <w:pStyle w:val="Ttulo4"/>
      </w:pPr>
      <w:r>
        <w:t xml:space="preserve">Qué hace cada parte</w:t>
      </w:r>
    </w:p>
    <w:p>
      <w:pPr>
        <w:pStyle w:val="Compact"/>
        <w:numPr>
          <w:ilvl w:val="0"/>
          <w:numId w:val="1012"/>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2"/>
        </w:numPr>
      </w:pPr>
      <w:r>
        <w:rPr>
          <w:rStyle w:val="VerbatimChar"/>
        </w:rPr>
        <w:t xml:space="preserve">if nota &gt;= 11:</w:t>
      </w:r>
      <w:r>
        <w:t xml:space="preserve"> </w:t>
      </w:r>
      <w:r>
        <w:t xml:space="preserve">formula la condición principal.</w:t>
      </w:r>
    </w:p>
    <w:p>
      <w:pPr>
        <w:pStyle w:val="Compact"/>
        <w:numPr>
          <w:ilvl w:val="0"/>
          <w:numId w:val="1012"/>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2"/>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2"/>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2"/>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98"/>
    <w:bookmarkStart w:id="99"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99"/>
    <w:bookmarkEnd w:id="100"/>
    <w:bookmarkStart w:id="104"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01"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01"/>
    <w:bookmarkStart w:id="102" w:name="qué-hace-cada-parte-6"/>
    <w:p>
      <w:pPr>
        <w:pStyle w:val="Ttulo4"/>
      </w:pPr>
      <w:r>
        <w:t xml:space="preserve">Qué hace cada parte</w:t>
      </w:r>
    </w:p>
    <w:p>
      <w:pPr>
        <w:pStyle w:val="Compact"/>
        <w:numPr>
          <w:ilvl w:val="0"/>
          <w:numId w:val="1013"/>
        </w:numPr>
      </w:pPr>
      <w:r>
        <w:rPr>
          <w:rStyle w:val="VerbatimChar"/>
        </w:rPr>
        <w:t xml:space="preserve">if nota &gt;= 18:</w:t>
      </w:r>
      <w:r>
        <w:t xml:space="preserve"> </w:t>
      </w:r>
      <w:r>
        <w:t xml:space="preserve">revisa primero el tramo más alto.</w:t>
      </w:r>
    </w:p>
    <w:p>
      <w:pPr>
        <w:pStyle w:val="Compact"/>
        <w:numPr>
          <w:ilvl w:val="0"/>
          <w:numId w:val="1013"/>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3"/>
        </w:numPr>
      </w:pPr>
      <w:r>
        <w:rPr>
          <w:rStyle w:val="VerbatimChar"/>
        </w:rPr>
        <w:t xml:space="preserve">else:</w:t>
      </w:r>
      <w:r>
        <w:t xml:space="preserve"> </w:t>
      </w:r>
      <w:r>
        <w:t xml:space="preserve">recoge todos los casos restantes.</w:t>
      </w:r>
    </w:p>
    <w:p>
      <w:pPr>
        <w:pStyle w:val="Compact"/>
        <w:numPr>
          <w:ilvl w:val="0"/>
          <w:numId w:val="1013"/>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3"/>
        </w:numPr>
      </w:pPr>
      <w:r>
        <w:t xml:space="preserve">El orden importa: Python evalúa de arriba hacia abajo y se detiene apenas encuentra una condición verdadera.</w:t>
      </w:r>
    </w:p>
    <w:bookmarkEnd w:id="102"/>
    <w:bookmarkStart w:id="103"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03"/>
    <w:bookmarkEnd w:id="104"/>
    <w:bookmarkStart w:id="108"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05"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05"/>
    <w:bookmarkStart w:id="106" w:name="qué-hace-cada-parte-7"/>
    <w:p>
      <w:pPr>
        <w:pStyle w:val="Ttulo4"/>
      </w:pPr>
      <w:r>
        <w:t xml:space="preserve">Qué hace cada parte</w:t>
      </w:r>
    </w:p>
    <w:p>
      <w:pPr>
        <w:pStyle w:val="Compact"/>
        <w:numPr>
          <w:ilvl w:val="0"/>
          <w:numId w:val="1014"/>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4"/>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4"/>
        </w:numPr>
      </w:pPr>
      <w:r>
        <w:rPr>
          <w:rStyle w:val="VerbatimChar"/>
        </w:rPr>
        <w:t xml:space="preserve">numero</w:t>
      </w:r>
      <w:r>
        <w:t xml:space="preserve"> </w:t>
      </w:r>
      <w:r>
        <w:t xml:space="preserve">es una variable que va tomando cada valor de la secuencia.</w:t>
      </w:r>
    </w:p>
    <w:p>
      <w:pPr>
        <w:pStyle w:val="Compact"/>
        <w:numPr>
          <w:ilvl w:val="0"/>
          <w:numId w:val="1014"/>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4"/>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06"/>
    <w:bookmarkStart w:id="107"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07"/>
    <w:bookmarkEnd w:id="108"/>
    <w:bookmarkStart w:id="112"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09"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09"/>
    <w:bookmarkStart w:id="110" w:name="qué-hace-cada-parte-8"/>
    <w:p>
      <w:pPr>
        <w:pStyle w:val="Ttulo4"/>
      </w:pPr>
      <w:r>
        <w:t xml:space="preserve">Qué hace cada parte</w:t>
      </w:r>
    </w:p>
    <w:p>
      <w:pPr>
        <w:pStyle w:val="Compact"/>
        <w:numPr>
          <w:ilvl w:val="0"/>
          <w:numId w:val="1015"/>
        </w:numPr>
      </w:pPr>
      <w:r>
        <w:rPr>
          <w:rStyle w:val="VerbatimChar"/>
        </w:rPr>
        <w:t xml:space="preserve">clave_ingresada = ""</w:t>
      </w:r>
      <w:r>
        <w:t xml:space="preserve"> </w:t>
      </w:r>
      <w:r>
        <w:t xml:space="preserve">prepara una variable inicial vacía.</w:t>
      </w:r>
    </w:p>
    <w:p>
      <w:pPr>
        <w:pStyle w:val="Compact"/>
        <w:numPr>
          <w:ilvl w:val="0"/>
          <w:numId w:val="1015"/>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5"/>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5"/>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5"/>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5"/>
        </w:numPr>
      </w:pPr>
      <w:r>
        <w:t xml:space="preserve">Se usa</w:t>
      </w:r>
      <w:r>
        <w:t xml:space="preserve"> </w:t>
      </w:r>
      <w:r>
        <w:rPr>
          <w:rStyle w:val="VerbatimChar"/>
        </w:rPr>
        <w:t xml:space="preserve">while</w:t>
      </w:r>
      <w:r>
        <w:t xml:space="preserve"> </w:t>
      </w:r>
      <w:r>
        <w:t xml:space="preserve">porque no sabemos cuántos intentos harán falta.</w:t>
      </w:r>
    </w:p>
    <w:bookmarkEnd w:id="110"/>
    <w:bookmarkStart w:id="111"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11"/>
    <w:bookmarkEnd w:id="112"/>
    <w:bookmarkStart w:id="116"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13"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13"/>
    <w:bookmarkStart w:id="114" w:name="qué-hace-cada-parte-9"/>
    <w:p>
      <w:pPr>
        <w:pStyle w:val="Ttulo4"/>
      </w:pPr>
      <w:r>
        <w:t xml:space="preserve">Qué hace cada parte</w:t>
      </w:r>
    </w:p>
    <w:p>
      <w:pPr>
        <w:pStyle w:val="Compact"/>
        <w:numPr>
          <w:ilvl w:val="0"/>
          <w:numId w:val="1016"/>
        </w:numPr>
      </w:pPr>
      <w:r>
        <w:rPr>
          <w:rStyle w:val="VerbatimChar"/>
        </w:rPr>
        <w:t xml:space="preserve">def sumar(primer_numero, segundo_numero):</w:t>
      </w:r>
      <w:r>
        <w:t xml:space="preserve"> </w:t>
      </w:r>
      <w:r>
        <w:t xml:space="preserve">define una función.</w:t>
      </w:r>
    </w:p>
    <w:p>
      <w:pPr>
        <w:pStyle w:val="Compact"/>
        <w:numPr>
          <w:ilvl w:val="0"/>
          <w:numId w:val="1016"/>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16"/>
        </w:numPr>
      </w:pPr>
      <w:r>
        <w:rPr>
          <w:rStyle w:val="VerbatimChar"/>
        </w:rPr>
        <w:t xml:space="preserve">resultado = primer_numero + segundo_numero</w:t>
      </w:r>
      <w:r>
        <w:t xml:space="preserve"> </w:t>
      </w:r>
      <w:r>
        <w:t xml:space="preserve">realiza el trabajo central.</w:t>
      </w:r>
    </w:p>
    <w:p>
      <w:pPr>
        <w:pStyle w:val="Compact"/>
        <w:numPr>
          <w:ilvl w:val="0"/>
          <w:numId w:val="1016"/>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16"/>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16"/>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14"/>
    <w:bookmarkStart w:id="115"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15"/>
    <w:bookmarkEnd w:id="116"/>
    <w:bookmarkStart w:id="120"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17"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17"/>
    <w:bookmarkStart w:id="118" w:name="qué-hace-cada-parte-10"/>
    <w:p>
      <w:pPr>
        <w:pStyle w:val="Ttulo4"/>
      </w:pPr>
      <w:r>
        <w:t xml:space="preserve">Qué hace cada parte</w:t>
      </w:r>
    </w:p>
    <w:p>
      <w:pPr>
        <w:pStyle w:val="Compact"/>
        <w:numPr>
          <w:ilvl w:val="0"/>
          <w:numId w:val="1017"/>
        </w:numPr>
      </w:pPr>
      <w:r>
        <w:rPr>
          <w:rStyle w:val="VerbatimChar"/>
        </w:rPr>
        <w:t xml:space="preserve">expedientes = [...]</w:t>
      </w:r>
      <w:r>
        <w:t xml:space="preserve"> </w:t>
      </w:r>
      <w:r>
        <w:t xml:space="preserve">crea una lista.</w:t>
      </w:r>
    </w:p>
    <w:p>
      <w:pPr>
        <w:pStyle w:val="Compact"/>
        <w:numPr>
          <w:ilvl w:val="0"/>
          <w:numId w:val="1017"/>
        </w:numPr>
      </w:pPr>
      <w:r>
        <w:t xml:space="preserve">Una lista mantiene el orden de los elementos y permite tratarlos como un conjunto organizado.</w:t>
      </w:r>
    </w:p>
    <w:p>
      <w:pPr>
        <w:pStyle w:val="Compact"/>
        <w:numPr>
          <w:ilvl w:val="0"/>
          <w:numId w:val="1017"/>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17"/>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18"/>
    <w:bookmarkStart w:id="119"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19"/>
    <w:bookmarkEnd w:id="120"/>
    <w:bookmarkStart w:id="124"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21"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21"/>
    <w:bookmarkStart w:id="122" w:name="qué-hace-cada-parte-11"/>
    <w:p>
      <w:pPr>
        <w:pStyle w:val="Ttulo4"/>
      </w:pPr>
      <w:r>
        <w:t xml:space="preserve">Qué hace cada parte</w:t>
      </w:r>
    </w:p>
    <w:p>
      <w:pPr>
        <w:pStyle w:val="Compact"/>
        <w:numPr>
          <w:ilvl w:val="0"/>
          <w:numId w:val="1018"/>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18"/>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18"/>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18"/>
        </w:numPr>
      </w:pPr>
      <w:r>
        <w:rPr>
          <w:rStyle w:val="VerbatimChar"/>
        </w:rPr>
        <w:t xml:space="preserve">for codigo, estado, prioridad in ...</w:t>
      </w:r>
      <w:r>
        <w:t xml:space="preserve"> </w:t>
      </w:r>
      <w:r>
        <w:t xml:space="preserve">desempaqueta cada grupo en tres variables nuevas.</w:t>
      </w:r>
    </w:p>
    <w:p>
      <w:pPr>
        <w:pStyle w:val="Compact"/>
        <w:numPr>
          <w:ilvl w:val="0"/>
          <w:numId w:val="1018"/>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22"/>
    <w:bookmarkStart w:id="123"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23"/>
    <w:bookmarkEnd w:id="124"/>
    <w:bookmarkStart w:id="128"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25"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25"/>
    <w:bookmarkStart w:id="126" w:name="qué-hace-cada-parte-12"/>
    <w:p>
      <w:pPr>
        <w:pStyle w:val="Ttulo4"/>
      </w:pPr>
      <w:r>
        <w:t xml:space="preserve">Qué hace cada parte</w:t>
      </w:r>
    </w:p>
    <w:p>
      <w:pPr>
        <w:pStyle w:val="Compact"/>
        <w:numPr>
          <w:ilvl w:val="0"/>
          <w:numId w:val="1019"/>
        </w:numPr>
      </w:pPr>
      <w:r>
        <w:rPr>
          <w:rStyle w:val="VerbatimChar"/>
        </w:rPr>
        <w:t xml:space="preserve">palabras = [...]</w:t>
      </w:r>
      <w:r>
        <w:t xml:space="preserve"> </w:t>
      </w:r>
      <w:r>
        <w:t xml:space="preserve">crea una lista con términos jurídicos.</w:t>
      </w:r>
    </w:p>
    <w:p>
      <w:pPr>
        <w:pStyle w:val="Compact"/>
        <w:numPr>
          <w:ilvl w:val="0"/>
          <w:numId w:val="1019"/>
        </w:numPr>
      </w:pPr>
      <w:r>
        <w:rPr>
          <w:rStyle w:val="VerbatimChar"/>
        </w:rPr>
        <w:t xml:space="preserve">sorted(palabras)</w:t>
      </w:r>
      <w:r>
        <w:t xml:space="preserve"> </w:t>
      </w:r>
      <w:r>
        <w:t xml:space="preserve">devuelve una nueva lista ordenada.</w:t>
      </w:r>
    </w:p>
    <w:p>
      <w:pPr>
        <w:pStyle w:val="Compact"/>
        <w:numPr>
          <w:ilvl w:val="0"/>
          <w:numId w:val="1019"/>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19"/>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19"/>
        </w:numPr>
      </w:pPr>
      <w:r>
        <w:t xml:space="preserve">Esa diferencia importa: en programación, muchas veces conviene conservar una versión original y otra transformada.</w:t>
      </w:r>
    </w:p>
    <w:bookmarkEnd w:id="126"/>
    <w:bookmarkStart w:id="127"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27"/>
    <w:bookmarkEnd w:id="128"/>
    <w:bookmarkStart w:id="132"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29"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29"/>
    <w:bookmarkStart w:id="130" w:name="qué-hace-cada-parte-13"/>
    <w:p>
      <w:pPr>
        <w:pStyle w:val="Ttulo4"/>
      </w:pPr>
      <w:r>
        <w:t xml:space="preserve">Qué hace cada parte</w:t>
      </w:r>
    </w:p>
    <w:p>
      <w:pPr>
        <w:pStyle w:val="Compact"/>
        <w:numPr>
          <w:ilvl w:val="0"/>
          <w:numId w:val="1020"/>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0"/>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0"/>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0"/>
        </w:numPr>
      </w:pPr>
      <w:r>
        <w:rPr>
          <w:rStyle w:val="VerbatimChar"/>
        </w:rPr>
        <w:t xml:space="preserve">split()</w:t>
      </w:r>
      <w:r>
        <w:t xml:space="preserve"> </w:t>
      </w:r>
      <w:r>
        <w:t xml:space="preserve">divide una cadena en partes y produce una lista.</w:t>
      </w:r>
    </w:p>
    <w:p>
      <w:pPr>
        <w:pStyle w:val="Compact"/>
        <w:numPr>
          <w:ilvl w:val="0"/>
          <w:numId w:val="1020"/>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0"/>
        </w:numPr>
      </w:pPr>
      <w:r>
        <w:rPr>
          <w:rStyle w:val="VerbatimChar"/>
        </w:rPr>
        <w:t xml:space="preserve">replace("Java", "Python")</w:t>
      </w:r>
      <w:r>
        <w:t xml:space="preserve"> </w:t>
      </w:r>
      <w:r>
        <w:t xml:space="preserve">sustituye una parte del texto por otra.</w:t>
      </w:r>
    </w:p>
    <w:p>
      <w:pPr>
        <w:pStyle w:val="Compact"/>
        <w:numPr>
          <w:ilvl w:val="0"/>
          <w:numId w:val="1020"/>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0"/>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0"/>
        </w:numPr>
      </w:pPr>
      <w:r>
        <w:t xml:space="preserve">La razón de combinar funciones pequeñas es que, en programación, muchas soluciones no surgen de una instrucción gigante, sino de una secuencia ordenada de transformaciones simples.</w:t>
      </w:r>
    </w:p>
    <w:bookmarkEnd w:id="130"/>
    <w:bookmarkStart w:id="131"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31"/>
    <w:bookmarkEnd w:id="132"/>
    <w:bookmarkEnd w:id="133"/>
    <w:bookmarkStart w:id="138"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tip.png" id="13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1"/>
              </w:numPr>
            </w:pPr>
            <w:r>
              <w:t xml:space="preserve">Python es útil no solo por su popularidad actual, sino porque permite traducir instrucciones y problemas en pasos legibles y ejecutables.</w:t>
            </w:r>
          </w:p>
          <w:p>
            <w:pPr>
              <w:pStyle w:val="Compact"/>
              <w:numPr>
                <w:ilvl w:val="0"/>
                <w:numId w:val="1021"/>
              </w:numPr>
            </w:pPr>
            <w:r>
              <w:t xml:space="preserve">La historia de Python muestra que su claridad, su comunidad y su evolución técnica explican por qué sigue siendo un lenguaje central en tantos campos.</w:t>
            </w:r>
          </w:p>
          <w:p>
            <w:pPr>
              <w:pStyle w:val="Compact"/>
              <w:numPr>
                <w:ilvl w:val="0"/>
                <w:numId w:val="1021"/>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1"/>
              </w:numPr>
            </w:pPr>
            <w:r>
              <w:t xml:space="preserve">Las variables sirven para dar nombre a los datos y trabajar con ellos según su tipo: texto, entero, decimal o booleano.</w:t>
            </w:r>
          </w:p>
          <w:p>
            <w:pPr>
              <w:pStyle w:val="Compact"/>
              <w:numPr>
                <w:ilvl w:val="0"/>
                <w:numId w:val="1021"/>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1"/>
              </w:numPr>
            </w:pPr>
            <w:r>
              <w:t xml:space="preserve">Convertir tipos de datos es indispensable cuando el valor recibido no viene en el formato que el problema necesita.</w:t>
            </w:r>
          </w:p>
          <w:p>
            <w:pPr>
              <w:pStyle w:val="Compact"/>
              <w:numPr>
                <w:ilvl w:val="0"/>
                <w:numId w:val="1021"/>
              </w:numPr>
            </w:pPr>
            <w:r>
              <w:t xml:space="preserve">Programar también implica calcular, comparar y prevenir errores previsibles antes de que ocurran.</w:t>
            </w:r>
          </w:p>
          <w:p>
            <w:pPr>
              <w:pStyle w:val="Compact"/>
              <w:numPr>
                <w:ilvl w:val="0"/>
                <w:numId w:val="1021"/>
              </w:numPr>
            </w:pPr>
            <w:r>
              <w:t xml:space="preserve">Los condicionales permiten que el programa elija entre distintos caminos a partir de reglas explícitas.</w:t>
            </w:r>
          </w:p>
          <w:p>
            <w:pPr>
              <w:pStyle w:val="Compact"/>
              <w:numPr>
                <w:ilvl w:val="0"/>
                <w:numId w:val="1021"/>
              </w:numPr>
            </w:pPr>
            <w:r>
              <w:t xml:space="preserve">El orden de las condiciones importa cuando existen varios resultados posibles.</w:t>
            </w:r>
          </w:p>
          <w:p>
            <w:pPr>
              <w:pStyle w:val="Compact"/>
              <w:numPr>
                <w:ilvl w:val="0"/>
                <w:numId w:val="1021"/>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1"/>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1"/>
              </w:numPr>
            </w:pPr>
            <w:r>
              <w:t xml:space="preserve">Las funciones permiten encapsular una lógica y reutilizarla varias veces con distintos datos.</w:t>
            </w:r>
          </w:p>
          <w:p>
            <w:pPr>
              <w:pStyle w:val="Compact"/>
              <w:numPr>
                <w:ilvl w:val="0"/>
                <w:numId w:val="1021"/>
              </w:numPr>
            </w:pPr>
            <w:r>
              <w:t xml:space="preserve">Las listas permiten guardar varios elementos en una misma estructura sin perder el orden.</w:t>
            </w:r>
          </w:p>
          <w:p>
            <w:pPr>
              <w:pStyle w:val="Compact"/>
              <w:numPr>
                <w:ilvl w:val="0"/>
                <w:numId w:val="1021"/>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1"/>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1"/>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caution.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2"/>
              </w:numPr>
            </w:pPr>
            <w:r>
              <w:t xml:space="preserve">¿Qué cambia en tu manera de entender la programación cuando ves que un programa puede leerse como una secuencia ordenada de instrucciones comprensibles?</w:t>
            </w:r>
          </w:p>
          <w:p>
            <w:pPr>
              <w:pStyle w:val="Compact"/>
              <w:numPr>
                <w:ilvl w:val="0"/>
                <w:numId w:val="1022"/>
              </w:numPr>
            </w:pPr>
            <w:r>
              <w:t xml:space="preserve">¿Por qué crees que aprender variables, condicionales, bucles, listas y texto por separado ayuda a preparar problemas más complejos después?</w:t>
            </w:r>
          </w:p>
          <w:p>
            <w:pPr>
              <w:pStyle w:val="Compact"/>
              <w:numPr>
                <w:ilvl w:val="0"/>
                <w:numId w:val="1022"/>
              </w:numPr>
            </w:pPr>
            <w:r>
              <w:t xml:space="preserve">¿Qué ejercicio te mostró con mayor claridad que una tarea aparentemente simple puede requerir varios pasos distintos para funcionar bien?</w:t>
            </w:r>
          </w:p>
          <w:p>
            <w:pPr>
              <w:pStyle w:val="Compact"/>
              <w:numPr>
                <w:ilvl w:val="0"/>
                <w:numId w:val="1022"/>
              </w:numPr>
            </w:pPr>
            <w:r>
              <w:t xml:space="preserve">¿De qué manera la historia de Python ayuda a entender por qué este lenguaje se usa tanto para enseñar, automatizar y construir herramientas reales?</w:t>
            </w:r>
          </w:p>
          <w:p>
            <w:pPr>
              <w:pStyle w:val="Compact"/>
              <w:numPr>
                <w:ilvl w:val="0"/>
                <w:numId w:val="1022"/>
              </w:numPr>
            </w:pPr>
            <w:r>
              <w:t xml:space="preserve">Si tuvieras que adaptar uno de los ejercicios del capítulo a una situación jurídica concreta, ¿cuál elegirías y qué cambiarías para volverlo más cercano a esa práctica?</w:t>
            </w:r>
          </w:p>
          <w:p/>
        </w:tc>
      </w:tr>
    </w:tbl>
    <w:bookmarkEnd w:id="138"/>
    <w:bookmarkEnd w:id="139"/>
    <w:bookmarkStart w:id="196"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note.png" id="14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42"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 La programación gana poder pedagógico justamente cuando deja de sentirse como sintaxis aislada y empieza a vincularse con tareas reconocibles de la práctica</w:t>
      </w:r>
      <w:r>
        <w:t xml:space="preserve"> </w:t>
      </w:r>
      <w:r>
        <w:t xml:space="preserve">(</w:t>
      </w:r>
      <w:hyperlink w:anchor="ref-contreras2020pedagogy">
        <w:r>
          <w:rPr>
            <w:rStyle w:val="Hipervnculo"/>
          </w:rPr>
          <w:t xml:space="preserve">Contreras and McGrath 2020</w:t>
        </w:r>
      </w:hyperlink>
      <w:r>
        <w:t xml:space="preserve">)</w:t>
      </w:r>
      <w:r>
        <w:t xml:space="preserve">.</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42"/>
    <w:bookmarkStart w:id="143"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3"/>
        </w:numPr>
      </w:pPr>
      <w:r>
        <w:t xml:space="preserve">¿qué fecha tiene hoy el sistema?;</w:t>
      </w:r>
    </w:p>
    <w:p>
      <w:pPr>
        <w:pStyle w:val="Compact"/>
        <w:numPr>
          <w:ilvl w:val="0"/>
          <w:numId w:val="1023"/>
        </w:numPr>
      </w:pPr>
      <w:r>
        <w:t xml:space="preserve">¿cuántos días han pasado entre una presentación y una audiencia?;</w:t>
      </w:r>
    </w:p>
    <w:p>
      <w:pPr>
        <w:pStyle w:val="Compact"/>
        <w:numPr>
          <w:ilvl w:val="0"/>
          <w:numId w:val="1023"/>
        </w:numPr>
      </w:pPr>
      <w:r>
        <w:t xml:space="preserve">¿cuándo vence un plazo si se suman ciertos días?;</w:t>
      </w:r>
    </w:p>
    <w:p>
      <w:pPr>
        <w:pStyle w:val="Compact"/>
        <w:numPr>
          <w:ilvl w:val="0"/>
          <w:numId w:val="1023"/>
        </w:numPr>
      </w:pPr>
      <w:r>
        <w:t xml:space="preserve">¿cómo se lee un documento desde un archivo?;</w:t>
      </w:r>
    </w:p>
    <w:p>
      <w:pPr>
        <w:pStyle w:val="Compact"/>
        <w:numPr>
          <w:ilvl w:val="0"/>
          <w:numId w:val="1023"/>
        </w:numPr>
      </w:pPr>
      <w:r>
        <w:t xml:space="preserve">¿cómo se guarda una nota generada por el programa?;</w:t>
      </w:r>
    </w:p>
    <w:p>
      <w:pPr>
        <w:pStyle w:val="Compact"/>
        <w:numPr>
          <w:ilvl w:val="0"/>
          <w:numId w:val="1023"/>
        </w:numPr>
      </w:pPr>
      <w:r>
        <w:t xml:space="preserve">¿cómo se leen registros de un CSV?;</w:t>
      </w:r>
    </w:p>
    <w:p>
      <w:pPr>
        <w:pStyle w:val="Compact"/>
        <w:numPr>
          <w:ilvl w:val="0"/>
          <w:numId w:val="1023"/>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43"/>
    <w:bookmarkStart w:id="144"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44"/>
    <w:bookmarkStart w:id="147"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important.png" id="1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4"/>
              </w:numPr>
            </w:pPr>
            <w:r>
              <w:t xml:space="preserve">Python 3 instalado;</w:t>
            </w:r>
          </w:p>
          <w:p>
            <w:pPr>
              <w:pStyle w:val="Compact"/>
              <w:numPr>
                <w:ilvl w:val="0"/>
                <w:numId w:val="1024"/>
              </w:numPr>
            </w:pPr>
            <w:r>
              <w:t xml:space="preserve">Visual Studio Code o un editor equivalente;</w:t>
            </w:r>
          </w:p>
          <w:p>
            <w:pPr>
              <w:pStyle w:val="Compact"/>
              <w:numPr>
                <w:ilvl w:val="0"/>
                <w:numId w:val="1024"/>
              </w:numPr>
            </w:pPr>
            <w:r>
              <w:t xml:space="preserve">una carpeta de trabajo para esta sesión;</w:t>
            </w:r>
          </w:p>
          <w:p>
            <w:pPr>
              <w:pStyle w:val="Compact"/>
              <w:numPr>
                <w:ilvl w:val="0"/>
                <w:numId w:val="1024"/>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4"/>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47"/>
    <w:bookmarkStart w:id="160"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51"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48"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48"/>
    <w:bookmarkStart w:id="149" w:name="qué-hace-cada-parte-14"/>
    <w:p>
      <w:pPr>
        <w:pStyle w:val="Ttulo4"/>
      </w:pPr>
      <w:r>
        <w:t xml:space="preserve">Qué hace cada parte</w:t>
      </w:r>
    </w:p>
    <w:p>
      <w:pPr>
        <w:pStyle w:val="Compact"/>
        <w:numPr>
          <w:ilvl w:val="0"/>
          <w:numId w:val="1025"/>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5"/>
        </w:numPr>
      </w:pPr>
      <w:r>
        <w:rPr>
          <w:rStyle w:val="VerbatimChar"/>
        </w:rPr>
        <w:t xml:space="preserve">date</w:t>
      </w:r>
      <w:r>
        <w:t xml:space="preserve"> </w:t>
      </w:r>
      <w:r>
        <w:t xml:space="preserve">representa una fecha sin hora: año, mes y día.</w:t>
      </w:r>
    </w:p>
    <w:p>
      <w:pPr>
        <w:pStyle w:val="Compact"/>
        <w:numPr>
          <w:ilvl w:val="0"/>
          <w:numId w:val="1025"/>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5"/>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5"/>
        </w:numPr>
      </w:pPr>
      <w:r>
        <w:t xml:space="preserve">Se usan esos atributos porque muchas veces no basta con ver la fecha completa: también interesa extraer partes concretas para compararlas o mostrarlas de otra forma.</w:t>
      </w:r>
    </w:p>
    <w:bookmarkEnd w:id="149"/>
    <w:bookmarkStart w:id="150"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50"/>
    <w:bookmarkEnd w:id="151"/>
    <w:bookmarkStart w:id="155"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52"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52"/>
    <w:bookmarkStart w:id="153" w:name="qué-hace-cada-parte-15"/>
    <w:p>
      <w:pPr>
        <w:pStyle w:val="Ttulo4"/>
      </w:pPr>
      <w:r>
        <w:t xml:space="preserve">Qué hace cada parte</w:t>
      </w:r>
    </w:p>
    <w:p>
      <w:pPr>
        <w:pStyle w:val="Compact"/>
        <w:numPr>
          <w:ilvl w:val="0"/>
          <w:numId w:val="1026"/>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26"/>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26"/>
        </w:numPr>
      </w:pPr>
      <w:r>
        <w:rPr>
          <w:rStyle w:val="VerbatimChar"/>
        </w:rPr>
        <w:t xml:space="preserve">"%Y-%m-%d"</w:t>
      </w:r>
      <w:r>
        <w:t xml:space="preserve"> </w:t>
      </w:r>
      <w:r>
        <w:t xml:space="preserve">le dice a Python que espere año con cuatro dígitos, luego mes y luego día.</w:t>
      </w:r>
    </w:p>
    <w:p>
      <w:pPr>
        <w:pStyle w:val="Compact"/>
        <w:numPr>
          <w:ilvl w:val="0"/>
          <w:numId w:val="1026"/>
        </w:numPr>
      </w:pPr>
      <w:r>
        <w:rPr>
          <w:rStyle w:val="VerbatimChar"/>
        </w:rPr>
        <w:t xml:space="preserve">fecha_audiencia - fecha_presentacion</w:t>
      </w:r>
      <w:r>
        <w:t xml:space="preserve"> </w:t>
      </w:r>
      <w:r>
        <w:t xml:space="preserve">produce una diferencia de tiempo.</w:t>
      </w:r>
    </w:p>
    <w:p>
      <w:pPr>
        <w:pStyle w:val="Compact"/>
        <w:numPr>
          <w:ilvl w:val="0"/>
          <w:numId w:val="1026"/>
        </w:numPr>
      </w:pPr>
      <w:r>
        <w:rPr>
          <w:rStyle w:val="VerbatimChar"/>
        </w:rPr>
        <w:t xml:space="preserve">diferencia.days</w:t>
      </w:r>
      <w:r>
        <w:t xml:space="preserve"> </w:t>
      </w:r>
      <w:r>
        <w:t xml:space="preserve">extrae el número de días de esa diferencia.</w:t>
      </w:r>
    </w:p>
    <w:p>
      <w:pPr>
        <w:pStyle w:val="Compact"/>
        <w:numPr>
          <w:ilvl w:val="0"/>
          <w:numId w:val="1026"/>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53"/>
    <w:bookmarkStart w:id="154"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54"/>
    <w:bookmarkEnd w:id="155"/>
    <w:bookmarkStart w:id="159"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56"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56"/>
    <w:bookmarkStart w:id="157" w:name="qué-hace-cada-parte-16"/>
    <w:p>
      <w:pPr>
        <w:pStyle w:val="Ttulo4"/>
      </w:pPr>
      <w:r>
        <w:t xml:space="preserve">Qué hace cada parte</w:t>
      </w:r>
    </w:p>
    <w:p>
      <w:pPr>
        <w:pStyle w:val="Compact"/>
        <w:numPr>
          <w:ilvl w:val="0"/>
          <w:numId w:val="1027"/>
        </w:numPr>
      </w:pPr>
      <w:r>
        <w:rPr>
          <w:rStyle w:val="VerbatimChar"/>
        </w:rPr>
        <w:t xml:space="preserve">timedelta(days=5)</w:t>
      </w:r>
      <w:r>
        <w:t xml:space="preserve"> </w:t>
      </w:r>
      <w:r>
        <w:t xml:space="preserve">crea una duración de cinco días.</w:t>
      </w:r>
    </w:p>
    <w:p>
      <w:pPr>
        <w:pStyle w:val="Compact"/>
        <w:numPr>
          <w:ilvl w:val="0"/>
          <w:numId w:val="1027"/>
        </w:numPr>
      </w:pPr>
      <w:r>
        <w:rPr>
          <w:rStyle w:val="VerbatimChar"/>
        </w:rPr>
        <w:t xml:space="preserve">timedelta</w:t>
      </w:r>
      <w:r>
        <w:t xml:space="preserve"> </w:t>
      </w:r>
      <w:r>
        <w:t xml:space="preserve">no representa una fecha, sino una cantidad de tiempo.</w:t>
      </w:r>
    </w:p>
    <w:p>
      <w:pPr>
        <w:pStyle w:val="Compact"/>
        <w:numPr>
          <w:ilvl w:val="0"/>
          <w:numId w:val="1027"/>
        </w:numPr>
      </w:pPr>
      <w:r>
        <w:rPr>
          <w:rStyle w:val="VerbatimChar"/>
        </w:rPr>
        <w:t xml:space="preserve">fecha_notificacion + plazo</w:t>
      </w:r>
      <w:r>
        <w:t xml:space="preserve"> </w:t>
      </w:r>
      <w:r>
        <w:t xml:space="preserve">suma esa duración a la fecha inicial.</w:t>
      </w:r>
    </w:p>
    <w:p>
      <w:pPr>
        <w:pStyle w:val="Compact"/>
        <w:numPr>
          <w:ilvl w:val="0"/>
          <w:numId w:val="1027"/>
        </w:numPr>
      </w:pPr>
      <w:r>
        <w:rPr>
          <w:rStyle w:val="VerbatimChar"/>
        </w:rPr>
        <w:t xml:space="preserve">plazo.days</w:t>
      </w:r>
      <w:r>
        <w:t xml:space="preserve"> </w:t>
      </w:r>
      <w:r>
        <w:t xml:space="preserve">muestra el número de días contenidos en el objeto plazo.</w:t>
      </w:r>
    </w:p>
    <w:p>
      <w:pPr>
        <w:pStyle w:val="Compact"/>
        <w:numPr>
          <w:ilvl w:val="0"/>
          <w:numId w:val="1027"/>
        </w:numPr>
      </w:pPr>
      <w:r>
        <w:t xml:space="preserve">Se usa esta lógica porque, en muchos contextos, el problema no es comparar dos fechas ya dadas, sino calcular una nueva fecha a partir de una regla temporal.</w:t>
      </w:r>
    </w:p>
    <w:bookmarkEnd w:id="157"/>
    <w:bookmarkStart w:id="158"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58"/>
    <w:bookmarkEnd w:id="159"/>
    <w:bookmarkEnd w:id="160"/>
    <w:bookmarkStart w:id="173"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64"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61"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61"/>
    <w:bookmarkStart w:id="162" w:name="qué-hace-cada-parte-17"/>
    <w:p>
      <w:pPr>
        <w:pStyle w:val="Ttulo4"/>
      </w:pPr>
      <w:r>
        <w:t xml:space="preserve">Qué hace cada parte</w:t>
      </w:r>
    </w:p>
    <w:p>
      <w:pPr>
        <w:pStyle w:val="Compact"/>
        <w:numPr>
          <w:ilvl w:val="0"/>
          <w:numId w:val="1028"/>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28"/>
        </w:numPr>
      </w:pPr>
      <w:r>
        <w:rPr>
          <w:rStyle w:val="VerbatimChar"/>
        </w:rPr>
        <w:t xml:space="preserve">Path(__file__).parent</w:t>
      </w:r>
      <w:r>
        <w:t xml:space="preserve"> </w:t>
      </w:r>
      <w:r>
        <w:t xml:space="preserve">se refiere a la carpeta donde está guardado el script.</w:t>
      </w:r>
    </w:p>
    <w:p>
      <w:pPr>
        <w:pStyle w:val="Compact"/>
        <w:numPr>
          <w:ilvl w:val="0"/>
          <w:numId w:val="1028"/>
        </w:numPr>
      </w:pPr>
      <w:r>
        <w:rPr>
          <w:rStyle w:val="VerbatimChar"/>
        </w:rPr>
        <w:t xml:space="preserve">/ "data" / "edicto.txt"</w:t>
      </w:r>
      <w:r>
        <w:t xml:space="preserve"> </w:t>
      </w:r>
      <w:r>
        <w:t xml:space="preserve">completa la ruta hacia el archivo que se quiere leer.</w:t>
      </w:r>
    </w:p>
    <w:p>
      <w:pPr>
        <w:pStyle w:val="Compact"/>
        <w:numPr>
          <w:ilvl w:val="0"/>
          <w:numId w:val="1028"/>
        </w:numPr>
      </w:pPr>
      <w:r>
        <w:rPr>
          <w:rStyle w:val="VerbatimChar"/>
        </w:rPr>
        <w:t xml:space="preserve">open(ruta_archivo, "r", encoding="utf-8")</w:t>
      </w:r>
      <w:r>
        <w:t xml:space="preserve"> </w:t>
      </w:r>
      <w:r>
        <w:t xml:space="preserve">abre el archivo en modo lectura.</w:t>
      </w:r>
    </w:p>
    <w:p>
      <w:pPr>
        <w:pStyle w:val="Compact"/>
        <w:numPr>
          <w:ilvl w:val="0"/>
          <w:numId w:val="1028"/>
        </w:numPr>
      </w:pPr>
      <w:r>
        <w:rPr>
          <w:rStyle w:val="VerbatimChar"/>
        </w:rPr>
        <w:t xml:space="preserve">encoding="utf-8"</w:t>
      </w:r>
      <w:r>
        <w:t xml:space="preserve"> </w:t>
      </w:r>
      <w:r>
        <w:t xml:space="preserve">ayuda a leer bien acentos y caracteres propios del español.</w:t>
      </w:r>
    </w:p>
    <w:p>
      <w:pPr>
        <w:pStyle w:val="Compact"/>
        <w:numPr>
          <w:ilvl w:val="0"/>
          <w:numId w:val="1028"/>
        </w:numPr>
      </w:pPr>
      <w:r>
        <w:rPr>
          <w:rStyle w:val="VerbatimChar"/>
        </w:rPr>
        <w:t xml:space="preserve">archivo.read()</w:t>
      </w:r>
      <w:r>
        <w:t xml:space="preserve"> </w:t>
      </w:r>
      <w:r>
        <w:t xml:space="preserve">toma todo el contenido del archivo como un solo bloque de texto.</w:t>
      </w:r>
    </w:p>
    <w:p>
      <w:pPr>
        <w:pStyle w:val="Compact"/>
        <w:numPr>
          <w:ilvl w:val="0"/>
          <w:numId w:val="1028"/>
        </w:numPr>
      </w:pPr>
      <w:r>
        <w:rPr>
          <w:rStyle w:val="VerbatimChar"/>
        </w:rPr>
        <w:t xml:space="preserve">with ... as archivo:</w:t>
      </w:r>
      <w:r>
        <w:t xml:space="preserve"> </w:t>
      </w:r>
      <w:r>
        <w:t xml:space="preserve">asegura que el archivo se cierre correctamente cuando termina la lectura.</w:t>
      </w:r>
    </w:p>
    <w:bookmarkEnd w:id="162"/>
    <w:bookmarkStart w:id="163"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63"/>
    <w:bookmarkEnd w:id="164"/>
    <w:bookmarkStart w:id="168"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65"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65"/>
    <w:bookmarkStart w:id="166" w:name="qué-hace-cada-parte-18"/>
    <w:p>
      <w:pPr>
        <w:pStyle w:val="Ttulo4"/>
      </w:pPr>
      <w:r>
        <w:t xml:space="preserve">Qué hace cada parte</w:t>
      </w:r>
    </w:p>
    <w:p>
      <w:pPr>
        <w:pStyle w:val="Compact"/>
        <w:numPr>
          <w:ilvl w:val="0"/>
          <w:numId w:val="1029"/>
        </w:numPr>
      </w:pPr>
      <w:r>
        <w:rPr>
          <w:rStyle w:val="VerbatimChar"/>
        </w:rPr>
        <w:t xml:space="preserve">ruta_salida = ...</w:t>
      </w:r>
      <w:r>
        <w:t xml:space="preserve"> </w:t>
      </w:r>
      <w:r>
        <w:t xml:space="preserve">define dónde se guardará el archivo.</w:t>
      </w:r>
    </w:p>
    <w:p>
      <w:pPr>
        <w:pStyle w:val="Compact"/>
        <w:numPr>
          <w:ilvl w:val="0"/>
          <w:numId w:val="1029"/>
        </w:numPr>
      </w:pPr>
      <w:r>
        <w:rPr>
          <w:rStyle w:val="VerbatimChar"/>
        </w:rPr>
        <w:t xml:space="preserve">texto = ...</w:t>
      </w:r>
      <w:r>
        <w:t xml:space="preserve"> </w:t>
      </w:r>
      <w:r>
        <w:t xml:space="preserve">contiene el mensaje que quieres escribir.</w:t>
      </w:r>
    </w:p>
    <w:p>
      <w:pPr>
        <w:pStyle w:val="Compact"/>
        <w:numPr>
          <w:ilvl w:val="0"/>
          <w:numId w:val="1029"/>
        </w:numPr>
      </w:pPr>
      <w:r>
        <w:rPr>
          <w:rStyle w:val="VerbatimChar"/>
        </w:rPr>
        <w:t xml:space="preserve">open(ruta_salida, "w", encoding="utf-8")</w:t>
      </w:r>
      <w:r>
        <w:t xml:space="preserve"> </w:t>
      </w:r>
      <w:r>
        <w:t xml:space="preserve">abre el archivo en modo escritura.</w:t>
      </w:r>
    </w:p>
    <w:p>
      <w:pPr>
        <w:pStyle w:val="Compact"/>
        <w:numPr>
          <w:ilvl w:val="0"/>
          <w:numId w:val="1029"/>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29"/>
        </w:numPr>
      </w:pPr>
      <w:r>
        <w:rPr>
          <w:rStyle w:val="VerbatimChar"/>
        </w:rPr>
        <w:t xml:space="preserve">archivo.write(texto)</w:t>
      </w:r>
      <w:r>
        <w:t xml:space="preserve"> </w:t>
      </w:r>
      <w:r>
        <w:t xml:space="preserve">escribe el texto en el archivo.</w:t>
      </w:r>
    </w:p>
    <w:p>
      <w:pPr>
        <w:pStyle w:val="Compact"/>
        <w:numPr>
          <w:ilvl w:val="0"/>
          <w:numId w:val="1029"/>
        </w:numPr>
      </w:pPr>
      <w:r>
        <w:rPr>
          <w:rStyle w:val="VerbatimChar"/>
        </w:rPr>
        <w:t xml:space="preserve">print("Archivo guardado en:", ruta_salida)</w:t>
      </w:r>
      <w:r>
        <w:t xml:space="preserve"> </w:t>
      </w:r>
      <w:r>
        <w:t xml:space="preserve">sirve para confirmar visualmente dónde quedó guardado el documento.</w:t>
      </w:r>
    </w:p>
    <w:bookmarkEnd w:id="166"/>
    <w:bookmarkStart w:id="167"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67"/>
    <w:bookmarkEnd w:id="168"/>
    <w:bookmarkStart w:id="172"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69"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69"/>
    <w:bookmarkStart w:id="170" w:name="qué-hace-cada-parte-19"/>
    <w:p>
      <w:pPr>
        <w:pStyle w:val="Ttulo4"/>
      </w:pPr>
      <w:r>
        <w:t xml:space="preserve">Qué hace cada parte</w:t>
      </w:r>
    </w:p>
    <w:p>
      <w:pPr>
        <w:pStyle w:val="Compact"/>
        <w:numPr>
          <w:ilvl w:val="0"/>
          <w:numId w:val="1030"/>
        </w:numPr>
      </w:pPr>
      <w:r>
        <w:rPr>
          <w:rStyle w:val="VerbatimChar"/>
        </w:rPr>
        <w:t xml:space="preserve">import csv</w:t>
      </w:r>
      <w:r>
        <w:t xml:space="preserve"> </w:t>
      </w:r>
      <w:r>
        <w:t xml:space="preserve">carga la biblioteca estándar de Python para trabajar con archivos CSV.</w:t>
      </w:r>
    </w:p>
    <w:p>
      <w:pPr>
        <w:pStyle w:val="Compact"/>
        <w:numPr>
          <w:ilvl w:val="0"/>
          <w:numId w:val="1030"/>
        </w:numPr>
      </w:pPr>
      <w:r>
        <w:rPr>
          <w:rStyle w:val="VerbatimChar"/>
        </w:rPr>
        <w:t xml:space="preserve">csv.DictReader(archivo)</w:t>
      </w:r>
      <w:r>
        <w:t xml:space="preserve"> </w:t>
      </w:r>
      <w:r>
        <w:t xml:space="preserve">lee cada fila como un diccionario.</w:t>
      </w:r>
    </w:p>
    <w:p>
      <w:pPr>
        <w:pStyle w:val="Compact"/>
        <w:numPr>
          <w:ilvl w:val="0"/>
          <w:numId w:val="1030"/>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0"/>
        </w:numPr>
      </w:pPr>
      <w:r>
        <w:rPr>
          <w:rStyle w:val="VerbatimChar"/>
        </w:rPr>
        <w:t xml:space="preserve">for fila in lector:</w:t>
      </w:r>
      <w:r>
        <w:t xml:space="preserve"> </w:t>
      </w:r>
      <w:r>
        <w:t xml:space="preserve">recorre una fila por vez.</w:t>
      </w:r>
    </w:p>
    <w:p>
      <w:pPr>
        <w:pStyle w:val="Compact"/>
        <w:numPr>
          <w:ilvl w:val="0"/>
          <w:numId w:val="1030"/>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0"/>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70"/>
    <w:bookmarkStart w:id="171"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71"/>
    <w:bookmarkEnd w:id="172"/>
    <w:bookmarkEnd w:id="173"/>
    <w:bookmarkStart w:id="190"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 Esa familiaridad con registros y tablas no es un desvío técnico: es una preparación útil para etapas posteriores de analítica legal, donde la información jurídica ya no se revisa solo caso por caso, sino también como conjunto estructurado</w:t>
      </w:r>
      <w:r>
        <w:t xml:space="preserve"> </w:t>
      </w:r>
      <w:r>
        <w:t xml:space="preserve">(</w:t>
      </w:r>
      <w:hyperlink w:anchor="ref-savelka2021applied">
        <w:r>
          <w:rPr>
            <w:rStyle w:val="Hipervnculo"/>
          </w:rPr>
          <w:t xml:space="preserve">Ashley et al. 2021</w:t>
        </w:r>
      </w:hyperlink>
      <w:r>
        <w:t xml:space="preserve">)</w:t>
      </w:r>
      <w:r>
        <w:t xml:space="preserve">.</w:t>
      </w:r>
    </w:p>
    <w:bookmarkStart w:id="177"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74"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 Detrás de esta operación sencilla ya asoma una de las razones por las que Python se volvió tan importante para trabajar con datos: incluso ejercicios introductorios descansan sobre un ecosistema técnico amplio y maduro de bibliotecas interoperables</w:t>
      </w:r>
      <w:r>
        <w:t xml:space="preserve"> </w:t>
      </w:r>
      <w:r>
        <w:t xml:space="preserve">(</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w:t>
      </w:r>
    </w:p>
    <w:bookmarkEnd w:id="174"/>
    <w:bookmarkStart w:id="175" w:name="qué-hace-cada-parte-20"/>
    <w:p>
      <w:pPr>
        <w:pStyle w:val="Ttulo4"/>
      </w:pPr>
      <w:r>
        <w:t xml:space="preserve">Qué hace cada parte</w:t>
      </w:r>
    </w:p>
    <w:p>
      <w:pPr>
        <w:pStyle w:val="Compact"/>
        <w:numPr>
          <w:ilvl w:val="0"/>
          <w:numId w:val="1031"/>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1"/>
        </w:numPr>
      </w:pPr>
      <w:r>
        <w:rPr>
          <w:rStyle w:val="VerbatimChar"/>
        </w:rPr>
        <w:t xml:space="preserve">datos = {...}</w:t>
      </w:r>
      <w:r>
        <w:t xml:space="preserve"> </w:t>
      </w:r>
      <w:r>
        <w:t xml:space="preserve">crea una estructura donde cada clave será una columna.</w:t>
      </w:r>
    </w:p>
    <w:p>
      <w:pPr>
        <w:pStyle w:val="Compact"/>
        <w:numPr>
          <w:ilvl w:val="0"/>
          <w:numId w:val="1031"/>
        </w:numPr>
      </w:pPr>
      <w:r>
        <w:rPr>
          <w:rStyle w:val="VerbatimChar"/>
        </w:rPr>
        <w:t xml:space="preserve">pd.DataFrame(datos)</w:t>
      </w:r>
      <w:r>
        <w:t xml:space="preserve"> </w:t>
      </w:r>
      <w:r>
        <w:t xml:space="preserve">convierte ese diccionario en una tabla.</w:t>
      </w:r>
    </w:p>
    <w:p>
      <w:pPr>
        <w:pStyle w:val="Compact"/>
        <w:numPr>
          <w:ilvl w:val="0"/>
          <w:numId w:val="1031"/>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1"/>
        </w:numPr>
      </w:pPr>
      <w:r>
        <w:rPr>
          <w:rStyle w:val="VerbatimChar"/>
        </w:rPr>
        <w:t xml:space="preserve">print(tabla)</w:t>
      </w:r>
      <w:r>
        <w:t xml:space="preserve"> </w:t>
      </w:r>
      <w:r>
        <w:t xml:space="preserve">muestra la tabla completa.</w:t>
      </w:r>
    </w:p>
    <w:p>
      <w:pPr>
        <w:pStyle w:val="Compact"/>
        <w:numPr>
          <w:ilvl w:val="0"/>
          <w:numId w:val="1031"/>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75"/>
    <w:bookmarkStart w:id="176"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76"/>
    <w:bookmarkEnd w:id="177"/>
    <w:bookmarkStart w:id="181"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78"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78"/>
    <w:bookmarkStart w:id="179" w:name="qué-hace-cada-parte-21"/>
    <w:p>
      <w:pPr>
        <w:pStyle w:val="Ttulo4"/>
      </w:pPr>
      <w:r>
        <w:t xml:space="preserve">Qué hace cada parte</w:t>
      </w:r>
    </w:p>
    <w:p>
      <w:pPr>
        <w:pStyle w:val="Compact"/>
        <w:numPr>
          <w:ilvl w:val="0"/>
          <w:numId w:val="1032"/>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2"/>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2"/>
        </w:numPr>
      </w:pPr>
      <w:r>
        <w:rPr>
          <w:rStyle w:val="VerbatimChar"/>
        </w:rPr>
        <w:t xml:space="preserve">tabla["estado"] == "Pendiente"</w:t>
      </w:r>
      <w:r>
        <w:t xml:space="preserve"> </w:t>
      </w:r>
      <w:r>
        <w:t xml:space="preserve">produce una serie de valores verdaderos o falsos.</w:t>
      </w:r>
    </w:p>
    <w:p>
      <w:pPr>
        <w:pStyle w:val="Compact"/>
        <w:numPr>
          <w:ilvl w:val="0"/>
          <w:numId w:val="1032"/>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2"/>
        </w:numPr>
      </w:pPr>
      <w:r>
        <w:rPr>
          <w:rStyle w:val="VerbatimChar"/>
        </w:rPr>
        <w:t xml:space="preserve">pendientes</w:t>
      </w:r>
      <w:r>
        <w:t xml:space="preserve"> </w:t>
      </w:r>
      <w:r>
        <w:t xml:space="preserve">guarda la tabla filtrada.</w:t>
      </w:r>
    </w:p>
    <w:p>
      <w:pPr>
        <w:pStyle w:val="Compact"/>
        <w:numPr>
          <w:ilvl w:val="0"/>
          <w:numId w:val="1032"/>
        </w:numPr>
      </w:pPr>
      <w:r>
        <w:t xml:space="preserve">Se usa este tipo de filtro porque muchas preguntas reales empiezan así: mostrar solo los casos abiertos, pendientes, observados o archivados.</w:t>
      </w:r>
    </w:p>
    <w:bookmarkEnd w:id="179"/>
    <w:bookmarkStart w:id="180"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80"/>
    <w:bookmarkEnd w:id="181"/>
    <w:bookmarkStart w:id="185"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182"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182"/>
    <w:bookmarkStart w:id="183" w:name="qué-hace-cada-parte-22"/>
    <w:p>
      <w:pPr>
        <w:pStyle w:val="Ttulo4"/>
      </w:pPr>
      <w:r>
        <w:t xml:space="preserve">Qué hace cada parte</w:t>
      </w:r>
    </w:p>
    <w:p>
      <w:pPr>
        <w:pStyle w:val="Compact"/>
        <w:numPr>
          <w:ilvl w:val="0"/>
          <w:numId w:val="1033"/>
        </w:numPr>
      </w:pPr>
      <w:r>
        <w:rPr>
          <w:rStyle w:val="VerbatimChar"/>
        </w:rPr>
        <w:t xml:space="preserve">tabla["estado"]</w:t>
      </w:r>
      <w:r>
        <w:t xml:space="preserve"> </w:t>
      </w:r>
      <w:r>
        <w:t xml:space="preserve">selecciona la columna que quieres resumir.</w:t>
      </w:r>
    </w:p>
    <w:p>
      <w:pPr>
        <w:pStyle w:val="Compact"/>
        <w:numPr>
          <w:ilvl w:val="0"/>
          <w:numId w:val="1033"/>
        </w:numPr>
      </w:pPr>
      <w:r>
        <w:rPr>
          <w:rStyle w:val="VerbatimChar"/>
        </w:rPr>
        <w:t xml:space="preserve">value_counts()</w:t>
      </w:r>
      <w:r>
        <w:t xml:space="preserve"> </w:t>
      </w:r>
      <w:r>
        <w:t xml:space="preserve">cuenta la frecuencia de cada categoría.</w:t>
      </w:r>
    </w:p>
    <w:p>
      <w:pPr>
        <w:pStyle w:val="Compact"/>
        <w:numPr>
          <w:ilvl w:val="0"/>
          <w:numId w:val="1033"/>
        </w:numPr>
      </w:pPr>
      <w:r>
        <w:t xml:space="preserve">El resultado ya no es una tabla completa como antes, sino una serie resumida.</w:t>
      </w:r>
    </w:p>
    <w:p>
      <w:pPr>
        <w:pStyle w:val="Compact"/>
        <w:numPr>
          <w:ilvl w:val="0"/>
          <w:numId w:val="1033"/>
        </w:numPr>
      </w:pPr>
      <w:r>
        <w:rPr>
          <w:rStyle w:val="VerbatimChar"/>
        </w:rPr>
        <w:t xml:space="preserve">print(conteo_estados)</w:t>
      </w:r>
      <w:r>
        <w:t xml:space="preserve"> </w:t>
      </w:r>
      <w:r>
        <w:t xml:space="preserve">muestra ese resumen en la terminal.</w:t>
      </w:r>
    </w:p>
    <w:p>
      <w:pPr>
        <w:pStyle w:val="Compact"/>
        <w:numPr>
          <w:ilvl w:val="0"/>
          <w:numId w:val="1033"/>
        </w:numPr>
      </w:pPr>
      <w:r>
        <w:t xml:space="preserve">Se usa esta operación porque muchas veces no interesa revisar expediente por expediente, sino obtener una visión rápida del conjunto.</w:t>
      </w:r>
    </w:p>
    <w:bookmarkEnd w:id="183"/>
    <w:bookmarkStart w:id="184"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184"/>
    <w:bookmarkEnd w:id="185"/>
    <w:bookmarkStart w:id="189"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186"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186"/>
    <w:bookmarkStart w:id="187" w:name="qué-hace-cada-parte-23"/>
    <w:p>
      <w:pPr>
        <w:pStyle w:val="Ttulo4"/>
      </w:pPr>
      <w:r>
        <w:t xml:space="preserve">Qué hace cada parte</w:t>
      </w:r>
    </w:p>
    <w:p>
      <w:pPr>
        <w:pStyle w:val="Compact"/>
        <w:numPr>
          <w:ilvl w:val="0"/>
          <w:numId w:val="1034"/>
        </w:numPr>
      </w:pPr>
      <w:r>
        <w:rPr>
          <w:rStyle w:val="VerbatimChar"/>
        </w:rPr>
        <w:t xml:space="preserve">tabla["monto"]</w:t>
      </w:r>
      <w:r>
        <w:t xml:space="preserve"> </w:t>
      </w:r>
      <w:r>
        <w:t xml:space="preserve">selecciona la columna de valores numéricos.</w:t>
      </w:r>
    </w:p>
    <w:p>
      <w:pPr>
        <w:pStyle w:val="Compact"/>
        <w:numPr>
          <w:ilvl w:val="0"/>
          <w:numId w:val="1034"/>
        </w:numPr>
      </w:pPr>
      <w:r>
        <w:rPr>
          <w:rStyle w:val="VerbatimChar"/>
        </w:rPr>
        <w:t xml:space="preserve">mean()</w:t>
      </w:r>
      <w:r>
        <w:t xml:space="preserve"> </w:t>
      </w:r>
      <w:r>
        <w:t xml:space="preserve">calcula la media aritmética de esa columna.</w:t>
      </w:r>
    </w:p>
    <w:p>
      <w:pPr>
        <w:pStyle w:val="Compact"/>
        <w:numPr>
          <w:ilvl w:val="0"/>
          <w:numId w:val="1034"/>
        </w:numPr>
      </w:pPr>
      <w:r>
        <w:rPr>
          <w:rStyle w:val="VerbatimChar"/>
        </w:rPr>
        <w:t xml:space="preserve">promedio_monto</w:t>
      </w:r>
      <w:r>
        <w:t xml:space="preserve"> </w:t>
      </w:r>
      <w:r>
        <w:t xml:space="preserve">guarda el resultado.</w:t>
      </w:r>
    </w:p>
    <w:p>
      <w:pPr>
        <w:pStyle w:val="Compact"/>
        <w:numPr>
          <w:ilvl w:val="0"/>
          <w:numId w:val="1034"/>
        </w:numPr>
      </w:pPr>
      <w:r>
        <w:rPr>
          <w:rStyle w:val="VerbatimChar"/>
        </w:rPr>
        <w:t xml:space="preserve">print(...)</w:t>
      </w:r>
      <w:r>
        <w:t xml:space="preserve"> </w:t>
      </w:r>
      <w:r>
        <w:t xml:space="preserve">muestra el promedio en la terminal.</w:t>
      </w:r>
    </w:p>
    <w:p>
      <w:pPr>
        <w:pStyle w:val="Compact"/>
        <w:numPr>
          <w:ilvl w:val="0"/>
          <w:numId w:val="1034"/>
        </w:numPr>
      </w:pPr>
      <w:r>
        <w:t xml:space="preserve">Se usa esta operación porque muchas preguntas sobre datos no se responden leyendo fila por fila, sino resumiendo con indicadores simples.</w:t>
      </w:r>
    </w:p>
    <w:bookmarkEnd w:id="187"/>
    <w:bookmarkStart w:id="188"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188"/>
    <w:bookmarkEnd w:id="189"/>
    <w:bookmarkEnd w:id="190"/>
    <w:bookmarkStart w:id="195"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quarto/share/formats/docx/tip.png" id="19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5"/>
              </w:numPr>
            </w:pPr>
            <w:r>
              <w:t xml:space="preserve">trabajar con fechas permite modelar de forma básica problemas de plazos, diferencias temporales y vencimientos;</w:t>
            </w:r>
          </w:p>
          <w:p>
            <w:pPr>
              <w:pStyle w:val="Compact"/>
              <w:numPr>
                <w:ilvl w:val="0"/>
                <w:numId w:val="1035"/>
              </w:numPr>
            </w:pPr>
            <w:r>
              <w:t xml:space="preserve">un programa puede leer y escribir archivos, lo que lo vuelve útil para interactuar con documentos reales;</w:t>
            </w:r>
          </w:p>
          <w:p>
            <w:pPr>
              <w:pStyle w:val="Compact"/>
              <w:numPr>
                <w:ilvl w:val="0"/>
                <w:numId w:val="1035"/>
              </w:numPr>
            </w:pPr>
            <w:r>
              <w:t xml:space="preserve">los archivos CSV son una forma simple y muy común de almacenar registros en filas y columnas;</w:t>
            </w:r>
          </w:p>
          <w:p>
            <w:pPr>
              <w:pStyle w:val="Compact"/>
              <w:numPr>
                <w:ilvl w:val="0"/>
                <w:numId w:val="1035"/>
              </w:numPr>
            </w:pPr>
            <w:r>
              <w:rPr>
                <w:rStyle w:val="VerbatimChar"/>
              </w:rPr>
              <w:t xml:space="preserve">Path</w:t>
            </w:r>
            <w:r>
              <w:t xml:space="preserve"> </w:t>
            </w:r>
            <w:r>
              <w:t xml:space="preserve">ayuda a construir rutas de archivo de una forma más ordenada y portable;</w:t>
            </w:r>
          </w:p>
          <w:p>
            <w:pPr>
              <w:pStyle w:val="Compact"/>
              <w:numPr>
                <w:ilvl w:val="0"/>
                <w:numId w:val="1035"/>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5"/>
              </w:numPr>
            </w:pPr>
            <w:r>
              <w:rPr>
                <w:rStyle w:val="VerbatimChar"/>
              </w:rPr>
              <w:t xml:space="preserve">csv.DictReader()</w:t>
            </w:r>
            <w:r>
              <w:t xml:space="preserve"> </w:t>
            </w:r>
            <w:r>
              <w:t xml:space="preserve">ayuda a pensar cada fila como un registro con campos nombrados;</w:t>
            </w:r>
          </w:p>
          <w:p>
            <w:pPr>
              <w:pStyle w:val="Compact"/>
              <w:numPr>
                <w:ilvl w:val="0"/>
                <w:numId w:val="1035"/>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5"/>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5"/>
              </w:numPr>
            </w:pPr>
            <w:r>
              <w:t xml:space="preserve">filtrar, contar categorías y calcular promedios son pasos iniciales muy importantes en cualquier trabajo con datos;</w:t>
            </w:r>
          </w:p>
          <w:p>
            <w:pPr>
              <w:pStyle w:val="Compact"/>
              <w:numPr>
                <w:ilvl w:val="0"/>
                <w:numId w:val="1035"/>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caution.png" id="19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36"/>
              </w:numPr>
            </w:pPr>
            <w:r>
              <w:t xml:space="preserve">¿Qué diferencia notas entre escribir código para practicar sintaxis y escribir código para resolver una tarea concreta con fechas o archivos?</w:t>
            </w:r>
          </w:p>
          <w:p>
            <w:pPr>
              <w:pStyle w:val="Compact"/>
              <w:numPr>
                <w:ilvl w:val="0"/>
                <w:numId w:val="1036"/>
              </w:numPr>
            </w:pPr>
            <w:r>
              <w:t xml:space="preserve">¿Por qué puede ser útil representar un plazo o una diferencia de días con objetos de fecha en lugar de hacerlo manualmente?</w:t>
            </w:r>
          </w:p>
          <w:p>
            <w:pPr>
              <w:pStyle w:val="Compact"/>
              <w:numPr>
                <w:ilvl w:val="0"/>
                <w:numId w:val="1036"/>
              </w:numPr>
            </w:pPr>
            <w:r>
              <w:t xml:space="preserve">¿Qué ventajas tiene leer un CSV como tabla frente a revisar sus filas una por una sin estructura?</w:t>
            </w:r>
          </w:p>
          <w:p>
            <w:pPr>
              <w:pStyle w:val="Compact"/>
              <w:numPr>
                <w:ilvl w:val="0"/>
                <w:numId w:val="1036"/>
              </w:numPr>
            </w:pPr>
            <w:r>
              <w:t xml:space="preserve">¿Qué riesgos habría si intentaras automatizar una tarea jurídica sin revisar primero la calidad de los datos o del archivo de entrada?</w:t>
            </w:r>
          </w:p>
          <w:p>
            <w:pPr>
              <w:pStyle w:val="Compact"/>
              <w:numPr>
                <w:ilvl w:val="0"/>
                <w:numId w:val="1036"/>
              </w:numPr>
            </w:pPr>
            <w:r>
              <w:t xml:space="preserve">Si tuvieras que adaptar uno de estos ejercicios a una tarea legal real, ¿cuál elegirías y qué información cambiarías para volverlo más cercano a esa práctica?</w:t>
            </w:r>
          </w:p>
          <w:p/>
        </w:tc>
      </w:tr>
    </w:tbl>
    <w:bookmarkEnd w:id="195"/>
    <w:bookmarkEnd w:id="196"/>
    <w:bookmarkStart w:id="264"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note.png" id="19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199"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199"/>
    <w:bookmarkStart w:id="200"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37"/>
        </w:numPr>
      </w:pPr>
      <w:r>
        <w:t xml:space="preserve">recibir información;</w:t>
      </w:r>
    </w:p>
    <w:p>
      <w:pPr>
        <w:pStyle w:val="Compact"/>
        <w:numPr>
          <w:ilvl w:val="0"/>
          <w:numId w:val="1037"/>
        </w:numPr>
      </w:pPr>
      <w:r>
        <w:t xml:space="preserve">revisarla o transformarla;</w:t>
      </w:r>
    </w:p>
    <w:p>
      <w:pPr>
        <w:pStyle w:val="Compact"/>
        <w:numPr>
          <w:ilvl w:val="0"/>
          <w:numId w:val="1037"/>
        </w:numPr>
      </w:pPr>
      <w:r>
        <w:t xml:space="preserve">producir una salida legible;</w:t>
      </w:r>
    </w:p>
    <w:p>
      <w:pPr>
        <w:pStyle w:val="Compact"/>
        <w:numPr>
          <w:ilvl w:val="0"/>
          <w:numId w:val="1037"/>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00"/>
    <w:bookmarkStart w:id="201"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01"/>
    <w:bookmarkStart w:id="204"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important.png" id="20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38"/>
              </w:numPr>
            </w:pPr>
            <w:r>
              <w:rPr>
                <w:rStyle w:val="VerbatimChar"/>
              </w:rPr>
              <w:t xml:space="preserve">data</w:t>
            </w:r>
            <w:r>
              <w:t xml:space="preserve"> </w:t>
            </w:r>
            <w:r>
              <w:t xml:space="preserve">para CSV y textos de entrada;</w:t>
            </w:r>
          </w:p>
          <w:p>
            <w:pPr>
              <w:pStyle w:val="Compact"/>
              <w:numPr>
                <w:ilvl w:val="0"/>
                <w:numId w:val="1038"/>
              </w:numPr>
            </w:pPr>
            <w:r>
              <w:rPr>
                <w:rStyle w:val="VerbatimChar"/>
              </w:rPr>
              <w:t xml:space="preserve">images</w:t>
            </w:r>
            <w:r>
              <w:t xml:space="preserve"> </w:t>
            </w:r>
            <w:r>
              <w:t xml:space="preserve">para logos o imágenes;</w:t>
            </w:r>
          </w:p>
          <w:p>
            <w:pPr>
              <w:pStyle w:val="Compact"/>
              <w:numPr>
                <w:ilvl w:val="0"/>
                <w:numId w:val="1038"/>
              </w:numPr>
            </w:pPr>
            <w:r>
              <w:rPr>
                <w:rStyle w:val="VerbatimChar"/>
              </w:rPr>
              <w:t xml:space="preserve">pdfs_entrada</w:t>
            </w:r>
            <w:r>
              <w:t xml:space="preserve"> </w:t>
            </w:r>
            <w:r>
              <w:t xml:space="preserve">para PDF generados o reunidos;</w:t>
            </w:r>
          </w:p>
          <w:p>
            <w:pPr>
              <w:pStyle w:val="Compact"/>
              <w:numPr>
                <w:ilvl w:val="0"/>
                <w:numId w:val="1038"/>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39"/>
              </w:numPr>
            </w:pPr>
            <w:r>
              <w:rPr>
                <w:rStyle w:val="VerbatimChar"/>
              </w:rPr>
              <w:t xml:space="preserve">reportlab</w:t>
            </w:r>
            <w:r>
              <w:t xml:space="preserve"> </w:t>
            </w:r>
            <w:r>
              <w:t xml:space="preserve">para crear PDF;</w:t>
            </w:r>
          </w:p>
          <w:p>
            <w:pPr>
              <w:pStyle w:val="Compact"/>
              <w:numPr>
                <w:ilvl w:val="0"/>
                <w:numId w:val="1039"/>
              </w:numPr>
            </w:pPr>
            <w:r>
              <w:rPr>
                <w:rStyle w:val="VerbatimChar"/>
              </w:rPr>
              <w:t xml:space="preserve">pypdf</w:t>
            </w:r>
            <w:r>
              <w:t xml:space="preserve"> </w:t>
            </w:r>
            <w:r>
              <w:t xml:space="preserve">para unir PDF;</w:t>
            </w:r>
          </w:p>
          <w:p>
            <w:pPr>
              <w:pStyle w:val="Compact"/>
              <w:numPr>
                <w:ilvl w:val="0"/>
                <w:numId w:val="1039"/>
              </w:numPr>
            </w:pPr>
            <w:r>
              <w:rPr>
                <w:rStyle w:val="VerbatimChar"/>
              </w:rPr>
              <w:t xml:space="preserve">matplotlib</w:t>
            </w:r>
            <w:r>
              <w:t xml:space="preserve"> </w:t>
            </w:r>
            <w:r>
              <w:t xml:space="preserve">para gráficos;</w:t>
            </w:r>
          </w:p>
          <w:p>
            <w:pPr>
              <w:pStyle w:val="Compact"/>
              <w:numPr>
                <w:ilvl w:val="0"/>
                <w:numId w:val="1039"/>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04"/>
    <w:bookmarkStart w:id="225"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08"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05"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05"/>
    <w:bookmarkStart w:id="206" w:name="qué-hace-cada-parte-24"/>
    <w:p>
      <w:pPr>
        <w:pStyle w:val="Ttulo4"/>
      </w:pPr>
      <w:r>
        <w:t xml:space="preserve">Qué hace cada parte</w:t>
      </w:r>
    </w:p>
    <w:p>
      <w:pPr>
        <w:pStyle w:val="Compact"/>
        <w:numPr>
          <w:ilvl w:val="0"/>
          <w:numId w:val="1040"/>
        </w:numPr>
      </w:pPr>
      <w:r>
        <w:rPr>
          <w:rStyle w:val="VerbatimChar"/>
        </w:rPr>
        <w:t xml:space="preserve">multa_por_dia = 25</w:t>
      </w:r>
      <w:r>
        <w:t xml:space="preserve"> </w:t>
      </w:r>
      <w:r>
        <w:t xml:space="preserve">guarda la tarifa diaria de la multa.</w:t>
      </w:r>
    </w:p>
    <w:p>
      <w:pPr>
        <w:pStyle w:val="Compact"/>
        <w:numPr>
          <w:ilvl w:val="0"/>
          <w:numId w:val="1040"/>
        </w:numPr>
      </w:pPr>
      <w:r>
        <w:rPr>
          <w:rStyle w:val="VerbatimChar"/>
        </w:rPr>
        <w:t xml:space="preserve">dias_retraso = 4</w:t>
      </w:r>
      <w:r>
        <w:t xml:space="preserve"> </w:t>
      </w:r>
      <w:r>
        <w:t xml:space="preserve">representa la cantidad de días.</w:t>
      </w:r>
    </w:p>
    <w:p>
      <w:pPr>
        <w:pStyle w:val="Compact"/>
        <w:numPr>
          <w:ilvl w:val="0"/>
          <w:numId w:val="1040"/>
        </w:numPr>
      </w:pPr>
      <w:r>
        <w:rPr>
          <w:rStyle w:val="VerbatimChar"/>
        </w:rPr>
        <w:t xml:space="preserve">monto_total = multa_por_dia * dias_retraso</w:t>
      </w:r>
      <w:r>
        <w:t xml:space="preserve"> </w:t>
      </w:r>
      <w:r>
        <w:t xml:space="preserve">aplica la multiplicación.</w:t>
      </w:r>
    </w:p>
    <w:p>
      <w:pPr>
        <w:pStyle w:val="Compact"/>
        <w:numPr>
          <w:ilvl w:val="0"/>
          <w:numId w:val="1040"/>
        </w:numPr>
      </w:pPr>
      <w:r>
        <w:rPr>
          <w:rStyle w:val="VerbatimChar"/>
        </w:rPr>
        <w:t xml:space="preserve">print(...)</w:t>
      </w:r>
      <w:r>
        <w:t xml:space="preserve"> </w:t>
      </w:r>
      <w:r>
        <w:t xml:space="preserve">se usa para mostrar tanto los datos de entrada como el resultado final.</w:t>
      </w:r>
    </w:p>
    <w:p>
      <w:pPr>
        <w:pStyle w:val="Compact"/>
        <w:numPr>
          <w:ilvl w:val="0"/>
          <w:numId w:val="1040"/>
        </w:numPr>
      </w:pPr>
      <w:r>
        <w:t xml:space="preserve">Se presenta así porque, cuando recién empiezas, conviene que el cálculo no quede oculto en una sola línea.</w:t>
      </w:r>
    </w:p>
    <w:bookmarkEnd w:id="206"/>
    <w:bookmarkStart w:id="207"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07"/>
    <w:bookmarkEnd w:id="208"/>
    <w:bookmarkStart w:id="212"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09"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09"/>
    <w:bookmarkStart w:id="210" w:name="qué-hace-cada-parte-25"/>
    <w:p>
      <w:pPr>
        <w:pStyle w:val="Ttulo4"/>
      </w:pPr>
      <w:r>
        <w:t xml:space="preserve">Qué hace cada parte</w:t>
      </w:r>
    </w:p>
    <w:p>
      <w:pPr>
        <w:pStyle w:val="Compact"/>
        <w:numPr>
          <w:ilvl w:val="0"/>
          <w:numId w:val="1041"/>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1"/>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1"/>
        </w:numPr>
      </w:pPr>
      <w:r>
        <w:rPr>
          <w:rStyle w:val="VerbatimChar"/>
        </w:rPr>
        <w:t xml:space="preserve">for expediente in expedientes:</w:t>
      </w:r>
      <w:r>
        <w:t xml:space="preserve"> </w:t>
      </w:r>
      <w:r>
        <w:t xml:space="preserve">recorre uno por uno los elementos de la lista.</w:t>
      </w:r>
    </w:p>
    <w:p>
      <w:pPr>
        <w:pStyle w:val="Compact"/>
        <w:numPr>
          <w:ilvl w:val="0"/>
          <w:numId w:val="1041"/>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1"/>
        </w:numPr>
      </w:pPr>
      <w:r>
        <w:t xml:space="preserve">Este patrón importa mucho porque una gran parte del trabajo con datos jurídicos empieza justamente así: una lista de casos con atributos nombrados.</w:t>
      </w:r>
    </w:p>
    <w:bookmarkEnd w:id="210"/>
    <w:bookmarkStart w:id="211"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11"/>
    <w:bookmarkEnd w:id="212"/>
    <w:bookmarkStart w:id="216"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13"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13"/>
    <w:bookmarkStart w:id="214" w:name="qué-hace-cada-parte-26"/>
    <w:p>
      <w:pPr>
        <w:pStyle w:val="Ttulo4"/>
      </w:pPr>
      <w:r>
        <w:t xml:space="preserve">Qué hace cada parte</w:t>
      </w:r>
    </w:p>
    <w:p>
      <w:pPr>
        <w:pStyle w:val="Compact"/>
        <w:numPr>
          <w:ilvl w:val="0"/>
          <w:numId w:val="1042"/>
        </w:numPr>
      </w:pPr>
      <w:r>
        <w:rPr>
          <w:rStyle w:val="VerbatimChar"/>
        </w:rPr>
        <w:t xml:space="preserve">codigo_documento = ...</w:t>
      </w:r>
      <w:r>
        <w:t xml:space="preserve"> </w:t>
      </w:r>
      <w:r>
        <w:t xml:space="preserve">guarda el texto que se quiere revisar.</w:t>
      </w:r>
    </w:p>
    <w:p>
      <w:pPr>
        <w:pStyle w:val="Compact"/>
        <w:numPr>
          <w:ilvl w:val="0"/>
          <w:numId w:val="1042"/>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2"/>
        </w:numPr>
      </w:pPr>
      <w:r>
        <w:rPr>
          <w:rStyle w:val="VerbatimChar"/>
        </w:rPr>
        <w:t xml:space="preserve">if ...:</w:t>
      </w:r>
      <w:r>
        <w:t xml:space="preserve"> </w:t>
      </w:r>
      <w:r>
        <w:t xml:space="preserve">usa ese resultado para elegir entre dos caminos.</w:t>
      </w:r>
    </w:p>
    <w:p>
      <w:pPr>
        <w:pStyle w:val="Compact"/>
        <w:numPr>
          <w:ilvl w:val="0"/>
          <w:numId w:val="1042"/>
        </w:numPr>
      </w:pPr>
      <w:r>
        <w:t xml:space="preserve">Se usa este tipo de validación porque muchos documentos y archivos dependen de convenciones mínimas de nombre o numeración.</w:t>
      </w:r>
    </w:p>
    <w:bookmarkEnd w:id="214"/>
    <w:bookmarkStart w:id="215"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15"/>
    <w:bookmarkEnd w:id="216"/>
    <w:bookmarkStart w:id="220"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17"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17"/>
    <w:bookmarkStart w:id="218" w:name="qué-hace-cada-parte-27"/>
    <w:p>
      <w:pPr>
        <w:pStyle w:val="Ttulo4"/>
      </w:pPr>
      <w:r>
        <w:t xml:space="preserve">Qué hace cada parte</w:t>
      </w:r>
    </w:p>
    <w:p>
      <w:pPr>
        <w:pStyle w:val="Compact"/>
        <w:numPr>
          <w:ilvl w:val="0"/>
          <w:numId w:val="1043"/>
        </w:numPr>
      </w:pPr>
      <w:r>
        <w:rPr>
          <w:rStyle w:val="VerbatimChar"/>
        </w:rPr>
        <w:t xml:space="preserve">texto_resolucion</w:t>
      </w:r>
      <w:r>
        <w:t xml:space="preserve"> </w:t>
      </w:r>
      <w:r>
        <w:t xml:space="preserve">contiene el texto principal.</w:t>
      </w:r>
    </w:p>
    <w:p>
      <w:pPr>
        <w:pStyle w:val="Compact"/>
        <w:numPr>
          <w:ilvl w:val="0"/>
          <w:numId w:val="1043"/>
        </w:numPr>
      </w:pPr>
      <w:r>
        <w:rPr>
          <w:rStyle w:val="VerbatimChar"/>
        </w:rPr>
        <w:t xml:space="preserve">palabra_clave</w:t>
      </w:r>
      <w:r>
        <w:t xml:space="preserve"> </w:t>
      </w:r>
      <w:r>
        <w:t xml:space="preserve">guarda la expresión que quieres buscar.</w:t>
      </w:r>
    </w:p>
    <w:p>
      <w:pPr>
        <w:pStyle w:val="Compact"/>
        <w:numPr>
          <w:ilvl w:val="0"/>
          <w:numId w:val="1043"/>
        </w:numPr>
      </w:pPr>
      <w:r>
        <w:rPr>
          <w:rStyle w:val="VerbatimChar"/>
        </w:rPr>
        <w:t xml:space="preserve">.lower()</w:t>
      </w:r>
      <w:r>
        <w:t xml:space="preserve"> </w:t>
      </w:r>
      <w:r>
        <w:t xml:space="preserve">convierte el texto a minúsculas.</w:t>
      </w:r>
    </w:p>
    <w:p>
      <w:pPr>
        <w:pStyle w:val="Compact"/>
        <w:numPr>
          <w:ilvl w:val="0"/>
          <w:numId w:val="1043"/>
        </w:numPr>
      </w:pPr>
      <w:r>
        <w:rPr>
          <w:rStyle w:val="VerbatimChar"/>
        </w:rPr>
        <w:t xml:space="preserve">in</w:t>
      </w:r>
      <w:r>
        <w:t xml:space="preserve"> </w:t>
      </w:r>
      <w:r>
        <w:t xml:space="preserve">verifica si una cadena está contenida dentro de otra.</w:t>
      </w:r>
    </w:p>
    <w:p>
      <w:pPr>
        <w:pStyle w:val="Compact"/>
        <w:numPr>
          <w:ilvl w:val="0"/>
          <w:numId w:val="1043"/>
        </w:numPr>
      </w:pPr>
      <w:r>
        <w:t xml:space="preserve">Se convierten ambos textos a minúsculas para que la búsqueda no falle por diferencias de capitalización.</w:t>
      </w:r>
    </w:p>
    <w:bookmarkEnd w:id="218"/>
    <w:bookmarkStart w:id="219"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19"/>
    <w:bookmarkEnd w:id="220"/>
    <w:bookmarkStart w:id="224"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21"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21"/>
    <w:bookmarkStart w:id="222" w:name="qué-hace-cada-parte-28"/>
    <w:p>
      <w:pPr>
        <w:pStyle w:val="Ttulo4"/>
      </w:pPr>
      <w:r>
        <w:t xml:space="preserve">Qué hace cada parte</w:t>
      </w:r>
    </w:p>
    <w:p>
      <w:pPr>
        <w:pStyle w:val="Compact"/>
        <w:numPr>
          <w:ilvl w:val="0"/>
          <w:numId w:val="1044"/>
        </w:numPr>
      </w:pPr>
      <w:r>
        <w:rPr>
          <w:rStyle w:val="VerbatimChar"/>
        </w:rPr>
        <w:t xml:space="preserve">casos = [...]</w:t>
      </w:r>
      <w:r>
        <w:t xml:space="preserve"> </w:t>
      </w:r>
      <w:r>
        <w:t xml:space="preserve">contiene las categorías observadas.</w:t>
      </w:r>
    </w:p>
    <w:p>
      <w:pPr>
        <w:pStyle w:val="Compact"/>
        <w:numPr>
          <w:ilvl w:val="0"/>
          <w:numId w:val="1044"/>
        </w:numPr>
      </w:pPr>
      <w:r>
        <w:rPr>
          <w:rStyle w:val="VerbatimChar"/>
        </w:rPr>
        <w:t xml:space="preserve">conteo = {}</w:t>
      </w:r>
      <w:r>
        <w:t xml:space="preserve"> </w:t>
      </w:r>
      <w:r>
        <w:t xml:space="preserve">crea un diccionario vacío donde se guardarán los resultados.</w:t>
      </w:r>
    </w:p>
    <w:p>
      <w:pPr>
        <w:pStyle w:val="Compact"/>
        <w:numPr>
          <w:ilvl w:val="0"/>
          <w:numId w:val="1044"/>
        </w:numPr>
      </w:pPr>
      <w:r>
        <w:rPr>
          <w:rStyle w:val="VerbatimChar"/>
        </w:rPr>
        <w:t xml:space="preserve">if categoria in conteo:</w:t>
      </w:r>
      <w:r>
        <w:t xml:space="preserve"> </w:t>
      </w:r>
      <w:r>
        <w:t xml:space="preserve">revisa si la categoría ya tiene contador.</w:t>
      </w:r>
    </w:p>
    <w:p>
      <w:pPr>
        <w:pStyle w:val="Compact"/>
        <w:numPr>
          <w:ilvl w:val="0"/>
          <w:numId w:val="1044"/>
        </w:numPr>
      </w:pPr>
      <w:r>
        <w:t xml:space="preserve">Si ya existe, se incrementa en uno.</w:t>
      </w:r>
    </w:p>
    <w:p>
      <w:pPr>
        <w:pStyle w:val="Compact"/>
        <w:numPr>
          <w:ilvl w:val="0"/>
          <w:numId w:val="1044"/>
        </w:numPr>
      </w:pPr>
      <w:r>
        <w:t xml:space="preserve">Si no existe, se crea con valor</w:t>
      </w:r>
      <w:r>
        <w:t xml:space="preserve"> </w:t>
      </w:r>
      <w:r>
        <w:rPr>
          <w:rStyle w:val="VerbatimChar"/>
        </w:rPr>
        <w:t xml:space="preserve">1</w:t>
      </w:r>
      <w:r>
        <w:t xml:space="preserve">.</w:t>
      </w:r>
    </w:p>
    <w:p>
      <w:pPr>
        <w:pStyle w:val="Compact"/>
        <w:numPr>
          <w:ilvl w:val="0"/>
          <w:numId w:val="1044"/>
        </w:numPr>
      </w:pPr>
      <w:r>
        <w:t xml:space="preserve">Este patrón importa porque muchas tareas reales empiezan justamente así: contar cuántas veces aparece cada tipo de asunto o estado.</w:t>
      </w:r>
    </w:p>
    <w:bookmarkEnd w:id="222"/>
    <w:bookmarkStart w:id="223"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23"/>
    <w:bookmarkEnd w:id="224"/>
    <w:bookmarkEnd w:id="225"/>
    <w:bookmarkStart w:id="258"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29"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26"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26"/>
    <w:bookmarkStart w:id="227" w:name="qué-hace-cada-parte-29"/>
    <w:p>
      <w:pPr>
        <w:pStyle w:val="Ttulo4"/>
      </w:pPr>
      <w:r>
        <w:t xml:space="preserve">Qué hace cada parte</w:t>
      </w:r>
    </w:p>
    <w:p>
      <w:pPr>
        <w:pStyle w:val="Compact"/>
        <w:numPr>
          <w:ilvl w:val="0"/>
          <w:numId w:val="1045"/>
        </w:numPr>
      </w:pPr>
      <w:r>
        <w:rPr>
          <w:rStyle w:val="VerbatimChar"/>
        </w:rPr>
        <w:t xml:space="preserve">canvas.Canvas(...)</w:t>
      </w:r>
      <w:r>
        <w:t xml:space="preserve"> </w:t>
      </w:r>
      <w:r>
        <w:t xml:space="preserve">crea el lienzo PDF donde se dibujará el contenido.</w:t>
      </w:r>
    </w:p>
    <w:p>
      <w:pPr>
        <w:pStyle w:val="Compact"/>
        <w:numPr>
          <w:ilvl w:val="0"/>
          <w:numId w:val="1045"/>
        </w:numPr>
      </w:pPr>
      <w:r>
        <w:rPr>
          <w:rStyle w:val="VerbatimChar"/>
        </w:rPr>
        <w:t xml:space="preserve">LETTER</w:t>
      </w:r>
      <w:r>
        <w:t xml:space="preserve"> </w:t>
      </w:r>
      <w:r>
        <w:t xml:space="preserve">define el tamaño de página.</w:t>
      </w:r>
    </w:p>
    <w:p>
      <w:pPr>
        <w:pStyle w:val="Compact"/>
        <w:numPr>
          <w:ilvl w:val="0"/>
          <w:numId w:val="1045"/>
        </w:numPr>
      </w:pPr>
      <w:r>
        <w:rPr>
          <w:rStyle w:val="VerbatimChar"/>
        </w:rPr>
        <w:t xml:space="preserve">drawString(...)</w:t>
      </w:r>
      <w:r>
        <w:t xml:space="preserve"> </w:t>
      </w:r>
      <w:r>
        <w:t xml:space="preserve">escribe texto en una posición específica.</w:t>
      </w:r>
    </w:p>
    <w:p>
      <w:pPr>
        <w:pStyle w:val="Compact"/>
        <w:numPr>
          <w:ilvl w:val="0"/>
          <w:numId w:val="1045"/>
        </w:numPr>
      </w:pPr>
      <w:r>
        <w:rPr>
          <w:rStyle w:val="VerbatimChar"/>
        </w:rPr>
        <w:t xml:space="preserve">enumerate(..., start=1)</w:t>
      </w:r>
      <w:r>
        <w:t xml:space="preserve"> </w:t>
      </w:r>
      <w:r>
        <w:t xml:space="preserve">sirve para numerar la lista.</w:t>
      </w:r>
    </w:p>
    <w:p>
      <w:pPr>
        <w:pStyle w:val="Compact"/>
        <w:numPr>
          <w:ilvl w:val="0"/>
          <w:numId w:val="1045"/>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5"/>
        </w:numPr>
      </w:pPr>
      <w:r>
        <w:t xml:space="preserve">Se usa un bucle porque el objetivo es mostrar cómo una estructura de datos puede transformarse en un documento repetible.</w:t>
      </w:r>
    </w:p>
    <w:bookmarkEnd w:id="227"/>
    <w:bookmarkStart w:id="228"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28"/>
    <w:bookmarkEnd w:id="229"/>
    <w:bookmarkStart w:id="233"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30"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30"/>
    <w:bookmarkStart w:id="231" w:name="qué-hace-cada-parte-30"/>
    <w:p>
      <w:pPr>
        <w:pStyle w:val="Ttulo4"/>
      </w:pPr>
      <w:r>
        <w:t xml:space="preserve">Qué hace cada parte</w:t>
      </w:r>
    </w:p>
    <w:p>
      <w:pPr>
        <w:pStyle w:val="Compact"/>
        <w:numPr>
          <w:ilvl w:val="0"/>
          <w:numId w:val="1046"/>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46"/>
        </w:numPr>
      </w:pPr>
      <w:r>
        <w:rPr>
          <w:rStyle w:val="VerbatimChar"/>
        </w:rPr>
        <w:t xml:space="preserve">getSize()</w:t>
      </w:r>
      <w:r>
        <w:t xml:space="preserve"> </w:t>
      </w:r>
      <w:r>
        <w:t xml:space="preserve">permite conocer su tamaño original.</w:t>
      </w:r>
    </w:p>
    <w:p>
      <w:pPr>
        <w:pStyle w:val="Compact"/>
        <w:numPr>
          <w:ilvl w:val="0"/>
          <w:numId w:val="1046"/>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46"/>
        </w:numPr>
      </w:pPr>
      <w:r>
        <w:rPr>
          <w:rStyle w:val="VerbatimChar"/>
        </w:rPr>
        <w:t xml:space="preserve">drawImage(...)</w:t>
      </w:r>
      <w:r>
        <w:t xml:space="preserve"> </w:t>
      </w:r>
      <w:r>
        <w:t xml:space="preserve">inserta la imagen dentro del PDF.</w:t>
      </w:r>
    </w:p>
    <w:p>
      <w:pPr>
        <w:pStyle w:val="Compact"/>
        <w:numPr>
          <w:ilvl w:val="0"/>
          <w:numId w:val="1046"/>
        </w:numPr>
      </w:pPr>
      <w:r>
        <w:t xml:space="preserve">Se calculan tamaño y posición porque trabajar con documentos generados también implica controlar composición visual básica.</w:t>
      </w:r>
    </w:p>
    <w:bookmarkEnd w:id="231"/>
    <w:bookmarkStart w:id="232"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32"/>
    <w:bookmarkEnd w:id="233"/>
    <w:bookmarkStart w:id="237"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34"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34"/>
    <w:bookmarkStart w:id="235" w:name="qué-hace-cada-parte-31"/>
    <w:p>
      <w:pPr>
        <w:pStyle w:val="Ttulo4"/>
      </w:pPr>
      <w:r>
        <w:t xml:space="preserve">Qué hace cada parte</w:t>
      </w:r>
    </w:p>
    <w:p>
      <w:pPr>
        <w:pStyle w:val="Compact"/>
        <w:numPr>
          <w:ilvl w:val="0"/>
          <w:numId w:val="1047"/>
        </w:numPr>
      </w:pPr>
      <w:r>
        <w:rPr>
          <w:rStyle w:val="VerbatimChar"/>
        </w:rPr>
        <w:t xml:space="preserve">csv.DictReader(...)</w:t>
      </w:r>
      <w:r>
        <w:t xml:space="preserve"> </w:t>
      </w:r>
      <w:r>
        <w:t xml:space="preserve">permite leer cada fila como diccionario.</w:t>
      </w:r>
    </w:p>
    <w:p>
      <w:pPr>
        <w:pStyle w:val="Compact"/>
        <w:numPr>
          <w:ilvl w:val="0"/>
          <w:numId w:val="1047"/>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47"/>
        </w:numPr>
      </w:pPr>
      <w:r>
        <w:rPr>
          <w:rStyle w:val="VerbatimChar"/>
        </w:rPr>
        <w:t xml:space="preserve">enumerate(..., start=3)</w:t>
      </w:r>
      <w:r>
        <w:t xml:space="preserve"> </w:t>
      </w:r>
      <w:r>
        <w:t xml:space="preserve">agrega una numeración a cada carta.</w:t>
      </w:r>
    </w:p>
    <w:p>
      <w:pPr>
        <w:pStyle w:val="Compact"/>
        <w:numPr>
          <w:ilvl w:val="0"/>
          <w:numId w:val="1047"/>
        </w:numPr>
      </w:pPr>
      <w:r>
        <w:t xml:space="preserve">Dentro del bucle se construye un PDF nuevo para cada fila.</w:t>
      </w:r>
    </w:p>
    <w:p>
      <w:pPr>
        <w:pStyle w:val="Compact"/>
        <w:numPr>
          <w:ilvl w:val="0"/>
          <w:numId w:val="1047"/>
        </w:numPr>
      </w:pPr>
      <w:r>
        <w:t xml:space="preserve">Se usa este patrón porque muchas tareas documentales repiten una misma estructura cambiando solo algunos datos.</w:t>
      </w:r>
    </w:p>
    <w:bookmarkEnd w:id="235"/>
    <w:bookmarkStart w:id="236"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36"/>
    <w:bookmarkEnd w:id="237"/>
    <w:bookmarkStart w:id="241"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38"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38"/>
    <w:bookmarkStart w:id="239" w:name="qué-hace-cada-parte-32"/>
    <w:p>
      <w:pPr>
        <w:pStyle w:val="Ttulo4"/>
      </w:pPr>
      <w:r>
        <w:t xml:space="preserve">Qué hace cada parte</w:t>
      </w:r>
    </w:p>
    <w:p>
      <w:pPr>
        <w:pStyle w:val="Compact"/>
        <w:numPr>
          <w:ilvl w:val="0"/>
          <w:numId w:val="1048"/>
        </w:numPr>
      </w:pPr>
      <w:r>
        <w:rPr>
          <w:rStyle w:val="VerbatimChar"/>
        </w:rPr>
        <w:t xml:space="preserve">colors.HexColor(...)</w:t>
      </w:r>
      <w:r>
        <w:t xml:space="preserve"> </w:t>
      </w:r>
      <w:r>
        <w:t xml:space="preserve">define colores personalizados.</w:t>
      </w:r>
    </w:p>
    <w:p>
      <w:pPr>
        <w:pStyle w:val="Compact"/>
        <w:numPr>
          <w:ilvl w:val="0"/>
          <w:numId w:val="1048"/>
        </w:numPr>
      </w:pPr>
      <w:r>
        <w:rPr>
          <w:rStyle w:val="VerbatimChar"/>
        </w:rPr>
        <w:t xml:space="preserve">ParagraphStyle(...)</w:t>
      </w:r>
      <w:r>
        <w:t xml:space="preserve"> </w:t>
      </w:r>
      <w:r>
        <w:t xml:space="preserve">crea un estilo de texto reutilizable.</w:t>
      </w:r>
    </w:p>
    <w:p>
      <w:pPr>
        <w:pStyle w:val="Compact"/>
        <w:numPr>
          <w:ilvl w:val="0"/>
          <w:numId w:val="1048"/>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48"/>
        </w:numPr>
      </w:pPr>
      <w:r>
        <w:rPr>
          <w:rStyle w:val="VerbatimChar"/>
        </w:rPr>
        <w:t xml:space="preserve">drawOn(...)</w:t>
      </w:r>
      <w:r>
        <w:t xml:space="preserve"> </w:t>
      </w:r>
      <w:r>
        <w:t xml:space="preserve">coloca ese párrafo en una posición específica de la página.</w:t>
      </w:r>
    </w:p>
    <w:p>
      <w:pPr>
        <w:pStyle w:val="Compact"/>
        <w:numPr>
          <w:ilvl w:val="0"/>
          <w:numId w:val="1048"/>
        </w:numPr>
      </w:pPr>
      <w:r>
        <w:t xml:space="preserve">Este tipo de ejercicio importa porque muestra que la automatización documental no tiene que limitarse a documentos visualmente pobres.</w:t>
      </w:r>
    </w:p>
    <w:bookmarkEnd w:id="239"/>
    <w:bookmarkStart w:id="240"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40"/>
    <w:bookmarkEnd w:id="241"/>
    <w:bookmarkStart w:id="245"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42"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42"/>
    <w:bookmarkStart w:id="243" w:name="qué-hace-cada-parte-33"/>
    <w:p>
      <w:pPr>
        <w:pStyle w:val="Ttulo4"/>
      </w:pPr>
      <w:r>
        <w:t xml:space="preserve">Qué hace cada parte</w:t>
      </w:r>
    </w:p>
    <w:p>
      <w:pPr>
        <w:pStyle w:val="Compact"/>
        <w:numPr>
          <w:ilvl w:val="0"/>
          <w:numId w:val="1049"/>
        </w:numPr>
      </w:pPr>
      <w:r>
        <w:rPr>
          <w:rStyle w:val="VerbatimChar"/>
        </w:rPr>
        <w:t xml:space="preserve">glob("*.pdf")</w:t>
      </w:r>
      <w:r>
        <w:t xml:space="preserve"> </w:t>
      </w:r>
      <w:r>
        <w:t xml:space="preserve">busca todos los archivos PDF de la carpeta.</w:t>
      </w:r>
    </w:p>
    <w:p>
      <w:pPr>
        <w:pStyle w:val="Compact"/>
        <w:numPr>
          <w:ilvl w:val="0"/>
          <w:numId w:val="1049"/>
        </w:numPr>
      </w:pPr>
      <w:r>
        <w:rPr>
          <w:rStyle w:val="VerbatimChar"/>
        </w:rPr>
        <w:t xml:space="preserve">sorted(...)</w:t>
      </w:r>
      <w:r>
        <w:t xml:space="preserve"> </w:t>
      </w:r>
      <w:r>
        <w:t xml:space="preserve">los ordena por nombre.</w:t>
      </w:r>
    </w:p>
    <w:p>
      <w:pPr>
        <w:pStyle w:val="Compact"/>
        <w:numPr>
          <w:ilvl w:val="0"/>
          <w:numId w:val="1049"/>
        </w:numPr>
      </w:pPr>
      <w:r>
        <w:rPr>
          <w:rStyle w:val="VerbatimChar"/>
        </w:rPr>
        <w:t xml:space="preserve">PdfWriter()</w:t>
      </w:r>
      <w:r>
        <w:t xml:space="preserve"> </w:t>
      </w:r>
      <w:r>
        <w:t xml:space="preserve">crea el objeto que irá reuniendo los documentos.</w:t>
      </w:r>
    </w:p>
    <w:p>
      <w:pPr>
        <w:pStyle w:val="Compact"/>
        <w:numPr>
          <w:ilvl w:val="0"/>
          <w:numId w:val="1049"/>
        </w:numPr>
      </w:pPr>
      <w:r>
        <w:rPr>
          <w:rStyle w:val="VerbatimChar"/>
        </w:rPr>
        <w:t xml:space="preserve">writer.append(...)</w:t>
      </w:r>
      <w:r>
        <w:t xml:space="preserve"> </w:t>
      </w:r>
      <w:r>
        <w:t xml:space="preserve">agrega cada PDF al resultado final.</w:t>
      </w:r>
    </w:p>
    <w:p>
      <w:pPr>
        <w:pStyle w:val="Compact"/>
        <w:numPr>
          <w:ilvl w:val="0"/>
          <w:numId w:val="1049"/>
        </w:numPr>
      </w:pPr>
      <w:r>
        <w:t xml:space="preserve">El archivo final se escribe en modo binario con</w:t>
      </w:r>
      <w:r>
        <w:t xml:space="preserve"> </w:t>
      </w:r>
      <w:r>
        <w:rPr>
          <w:rStyle w:val="VerbatimChar"/>
        </w:rPr>
        <w:t xml:space="preserve">"wb"</w:t>
      </w:r>
      <w:r>
        <w:t xml:space="preserve">.</w:t>
      </w:r>
    </w:p>
    <w:p>
      <w:pPr>
        <w:pStyle w:val="Compact"/>
        <w:numPr>
          <w:ilvl w:val="0"/>
          <w:numId w:val="1049"/>
        </w:numPr>
      </w:pPr>
      <w:r>
        <w:t xml:space="preserve">Se usa este proceso porque muchas tareas documentales no terminan al crear un archivo: a veces también hace falta consolidar varios insumos en un solo expediente o reporte.</w:t>
      </w:r>
    </w:p>
    <w:bookmarkEnd w:id="243"/>
    <w:bookmarkStart w:id="244"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44"/>
    <w:bookmarkEnd w:id="245"/>
    <w:bookmarkStart w:id="249"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46"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46"/>
    <w:bookmarkStart w:id="247" w:name="qué-hace-cada-parte-34"/>
    <w:p>
      <w:pPr>
        <w:pStyle w:val="Ttulo4"/>
      </w:pPr>
      <w:r>
        <w:t xml:space="preserve">Qué hace cada parte</w:t>
      </w:r>
    </w:p>
    <w:p>
      <w:pPr>
        <w:pStyle w:val="Compact"/>
        <w:numPr>
          <w:ilvl w:val="0"/>
          <w:numId w:val="1050"/>
        </w:numPr>
      </w:pPr>
      <w:r>
        <w:rPr>
          <w:rStyle w:val="VerbatimChar"/>
        </w:rPr>
        <w:t xml:space="preserve">csv.DictReader(...)</w:t>
      </w:r>
      <w:r>
        <w:t xml:space="preserve"> </w:t>
      </w:r>
      <w:r>
        <w:t xml:space="preserve">recupera cada fila como diccionario.</w:t>
      </w:r>
    </w:p>
    <w:p>
      <w:pPr>
        <w:pStyle w:val="Compact"/>
        <w:numPr>
          <w:ilvl w:val="0"/>
          <w:numId w:val="1050"/>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0"/>
        </w:numPr>
      </w:pPr>
      <w:r>
        <w:rPr>
          <w:rStyle w:val="VerbatimChar"/>
        </w:rPr>
        <w:t xml:space="preserve">plt.bar(...)</w:t>
      </w:r>
      <w:r>
        <w:t xml:space="preserve"> </w:t>
      </w:r>
      <w:r>
        <w:t xml:space="preserve">dibuja las barras.</w:t>
      </w:r>
    </w:p>
    <w:p>
      <w:pPr>
        <w:pStyle w:val="Compact"/>
        <w:numPr>
          <w:ilvl w:val="0"/>
          <w:numId w:val="1050"/>
        </w:numPr>
      </w:pPr>
      <w:r>
        <w:rPr>
          <w:rStyle w:val="VerbatimChar"/>
        </w:rPr>
        <w:t xml:space="preserve">plt.text(...)</w:t>
      </w:r>
      <w:r>
        <w:t xml:space="preserve"> </w:t>
      </w:r>
      <w:r>
        <w:t xml:space="preserve">coloca etiquetas numéricas encima de cada barra.</w:t>
      </w:r>
    </w:p>
    <w:p>
      <w:pPr>
        <w:pStyle w:val="Compact"/>
        <w:numPr>
          <w:ilvl w:val="0"/>
          <w:numId w:val="1050"/>
        </w:numPr>
      </w:pPr>
      <w:r>
        <w:rPr>
          <w:rStyle w:val="VerbatimChar"/>
        </w:rPr>
        <w:t xml:space="preserve">plt.savefig(...)</w:t>
      </w:r>
      <w:r>
        <w:t xml:space="preserve"> </w:t>
      </w:r>
      <w:r>
        <w:t xml:space="preserve">guarda una copia del gráfico como archivo PNG.</w:t>
      </w:r>
    </w:p>
    <w:p>
      <w:pPr>
        <w:pStyle w:val="Compact"/>
        <w:numPr>
          <w:ilvl w:val="0"/>
          <w:numId w:val="1050"/>
        </w:numPr>
      </w:pPr>
      <w:r>
        <w:t xml:space="preserve">Se usa este enfoque porque una visualización puede resumir información de un vistazo, algo útil cuando los datos empiezan a crecer.</w:t>
      </w:r>
    </w:p>
    <w:bookmarkEnd w:id="247"/>
    <w:bookmarkStart w:id="248"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48"/>
    <w:bookmarkEnd w:id="249"/>
    <w:bookmarkStart w:id="253"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50"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50"/>
    <w:bookmarkStart w:id="251" w:name="qué-hace-cada-parte-35"/>
    <w:p>
      <w:pPr>
        <w:pStyle w:val="Ttulo4"/>
      </w:pPr>
      <w:r>
        <w:t xml:space="preserve">Qué hace cada parte</w:t>
      </w:r>
    </w:p>
    <w:p>
      <w:pPr>
        <w:pStyle w:val="Compact"/>
        <w:numPr>
          <w:ilvl w:val="0"/>
          <w:numId w:val="1051"/>
        </w:numPr>
      </w:pPr>
      <w:r>
        <w:rPr>
          <w:rStyle w:val="VerbatimChar"/>
        </w:rPr>
        <w:t xml:space="preserve">EmailMessage()</w:t>
      </w:r>
      <w:r>
        <w:t xml:space="preserve"> </w:t>
      </w:r>
      <w:r>
        <w:t xml:space="preserve">crea el objeto correo.</w:t>
      </w:r>
    </w:p>
    <w:p>
      <w:pPr>
        <w:pStyle w:val="Compact"/>
        <w:numPr>
          <w:ilvl w:val="0"/>
          <w:numId w:val="1051"/>
        </w:numPr>
      </w:pPr>
      <w:r>
        <w:rPr>
          <w:rStyle w:val="VerbatimChar"/>
        </w:rPr>
        <w:t xml:space="preserve">set_content(...)</w:t>
      </w:r>
      <w:r>
        <w:t xml:space="preserve"> </w:t>
      </w:r>
      <w:r>
        <w:t xml:space="preserve">define el cuerpo del mensaje.</w:t>
      </w:r>
    </w:p>
    <w:p>
      <w:pPr>
        <w:pStyle w:val="Compact"/>
        <w:numPr>
          <w:ilvl w:val="0"/>
          <w:numId w:val="1051"/>
        </w:numPr>
      </w:pPr>
      <w:r>
        <w:rPr>
          <w:rStyle w:val="VerbatimChar"/>
        </w:rPr>
        <w:t xml:space="preserve">csv.DictReader(...)</w:t>
      </w:r>
      <w:r>
        <w:t xml:space="preserve"> </w:t>
      </w:r>
      <w:r>
        <w:t xml:space="preserve">lee los destinatarios desde el archivo.</w:t>
      </w:r>
    </w:p>
    <w:p>
      <w:pPr>
        <w:pStyle w:val="Compact"/>
        <w:numPr>
          <w:ilvl w:val="0"/>
          <w:numId w:val="1051"/>
        </w:numPr>
      </w:pPr>
      <w:r>
        <w:rPr>
          <w:rStyle w:val="VerbatimChar"/>
        </w:rPr>
        <w:t xml:space="preserve">smtplib.SMTP(...)</w:t>
      </w:r>
      <w:r>
        <w:t xml:space="preserve"> </w:t>
      </w:r>
      <w:r>
        <w:t xml:space="preserve">abre la conexión con el servidor de correo.</w:t>
      </w:r>
    </w:p>
    <w:p>
      <w:pPr>
        <w:pStyle w:val="Compact"/>
        <w:numPr>
          <w:ilvl w:val="0"/>
          <w:numId w:val="1051"/>
        </w:numPr>
      </w:pPr>
      <w:r>
        <w:rPr>
          <w:rStyle w:val="VerbatimChar"/>
        </w:rPr>
        <w:t xml:space="preserve">starttls()</w:t>
      </w:r>
      <w:r>
        <w:t xml:space="preserve"> </w:t>
      </w:r>
      <w:r>
        <w:t xml:space="preserve">activa cifrado para la conexión.</w:t>
      </w:r>
    </w:p>
    <w:p>
      <w:pPr>
        <w:pStyle w:val="Compact"/>
        <w:numPr>
          <w:ilvl w:val="0"/>
          <w:numId w:val="1051"/>
        </w:numPr>
      </w:pPr>
      <w:r>
        <w:rPr>
          <w:rStyle w:val="VerbatimChar"/>
        </w:rPr>
        <w:t xml:space="preserve">login(...)</w:t>
      </w:r>
      <w:r>
        <w:t xml:space="preserve"> </w:t>
      </w:r>
      <w:r>
        <w:t xml:space="preserve">autentica la cuenta antes del envío.</w:t>
      </w:r>
    </w:p>
    <w:p>
      <w:pPr>
        <w:pStyle w:val="Compact"/>
        <w:numPr>
          <w:ilvl w:val="0"/>
          <w:numId w:val="1051"/>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51"/>
    <w:bookmarkStart w:id="252"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52"/>
    <w:bookmarkEnd w:id="253"/>
    <w:bookmarkStart w:id="257"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54"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54"/>
    <w:bookmarkStart w:id="255" w:name="qué-hace-cada-parte-36"/>
    <w:p>
      <w:pPr>
        <w:pStyle w:val="Ttulo4"/>
      </w:pPr>
      <w:r>
        <w:t xml:space="preserve">Qué hace cada parte</w:t>
      </w:r>
    </w:p>
    <w:p>
      <w:pPr>
        <w:pStyle w:val="Compact"/>
        <w:numPr>
          <w:ilvl w:val="0"/>
          <w:numId w:val="1052"/>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2"/>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2"/>
        </w:numPr>
      </w:pPr>
      <w:r>
        <w:rPr>
          <w:rStyle w:val="VerbatimChar"/>
        </w:rPr>
        <w:t xml:space="preserve">subprocess.Popen(...)</w:t>
      </w:r>
      <w:r>
        <w:t xml:space="preserve"> </w:t>
      </w:r>
      <w:r>
        <w:t xml:space="preserve">abre una aplicación externa.</w:t>
      </w:r>
    </w:p>
    <w:p>
      <w:pPr>
        <w:pStyle w:val="Compact"/>
        <w:numPr>
          <w:ilvl w:val="0"/>
          <w:numId w:val="1052"/>
        </w:numPr>
      </w:pPr>
      <w:r>
        <w:rPr>
          <w:rStyle w:val="VerbatimChar"/>
        </w:rPr>
        <w:t xml:space="preserve">pyautogui.write(...)</w:t>
      </w:r>
      <w:r>
        <w:t xml:space="preserve"> </w:t>
      </w:r>
      <w:r>
        <w:t xml:space="preserve">simula escritura desde el teclado.</w:t>
      </w:r>
    </w:p>
    <w:p>
      <w:pPr>
        <w:pStyle w:val="Compact"/>
        <w:numPr>
          <w:ilvl w:val="0"/>
          <w:numId w:val="1052"/>
        </w:numPr>
      </w:pPr>
      <w:r>
        <w:rPr>
          <w:rStyle w:val="VerbatimChar"/>
        </w:rPr>
        <w:t xml:space="preserve">pyautogui.press(...)</w:t>
      </w:r>
      <w:r>
        <w:t xml:space="preserve"> </w:t>
      </w:r>
      <w:r>
        <w:t xml:space="preserve">simula pulsaciones concretas.</w:t>
      </w:r>
    </w:p>
    <w:p>
      <w:pPr>
        <w:pStyle w:val="Compact"/>
        <w:numPr>
          <w:ilvl w:val="0"/>
          <w:numId w:val="1052"/>
        </w:numPr>
      </w:pPr>
      <w:r>
        <w:rPr>
          <w:rStyle w:val="VerbatimChar"/>
        </w:rPr>
        <w:t xml:space="preserve">pyautogui.screenshot(...)</w:t>
      </w:r>
      <w:r>
        <w:t xml:space="preserve"> </w:t>
      </w:r>
      <w:r>
        <w:t xml:space="preserve">toma una captura de pantalla.</w:t>
      </w:r>
    </w:p>
    <w:p>
      <w:pPr>
        <w:pStyle w:val="Compact"/>
        <w:numPr>
          <w:ilvl w:val="0"/>
          <w:numId w:val="1052"/>
        </w:numPr>
      </w:pPr>
      <w:r>
        <w:t xml:space="preserve">Este tipo de script importa porque muestra que la automatización no solo transforma datos: también puede interactuar con interfaces.</w:t>
      </w:r>
    </w:p>
    <w:bookmarkEnd w:id="255"/>
    <w:bookmarkStart w:id="256"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56"/>
    <w:bookmarkEnd w:id="257"/>
    <w:bookmarkEnd w:id="258"/>
    <w:bookmarkStart w:id="263"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Applications/quarto/share/formats/docx/tip.png" id="26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3"/>
              </w:numPr>
            </w:pPr>
            <w:r>
              <w:t xml:space="preserve">una buena parte de la automatización jurídica básica empieza con reglas simples y tareas repetibles;</w:t>
            </w:r>
          </w:p>
          <w:p>
            <w:pPr>
              <w:pStyle w:val="Compact"/>
              <w:numPr>
                <w:ilvl w:val="0"/>
                <w:numId w:val="1053"/>
              </w:numPr>
            </w:pPr>
            <w:r>
              <w:t xml:space="preserve">listas, diccionarios y texto siguen siendo la base de muchos problemas más avanzados;</w:t>
            </w:r>
          </w:p>
          <w:p>
            <w:pPr>
              <w:pStyle w:val="Compact"/>
              <w:numPr>
                <w:ilvl w:val="0"/>
                <w:numId w:val="1053"/>
              </w:numPr>
            </w:pPr>
            <w:r>
              <w:t xml:space="preserve">generar documentos desde código permite pasar del análisis a la producción de artefactos concretos;</w:t>
            </w:r>
          </w:p>
          <w:p>
            <w:pPr>
              <w:pStyle w:val="Compact"/>
              <w:numPr>
                <w:ilvl w:val="0"/>
                <w:numId w:val="1053"/>
              </w:numPr>
            </w:pPr>
            <w:r>
              <w:t xml:space="preserve">los PDF pueden construirse, personalizarse y unirse automáticamente cuando el flujo está bien organizado;</w:t>
            </w:r>
          </w:p>
          <w:p>
            <w:pPr>
              <w:pStyle w:val="Compact"/>
              <w:numPr>
                <w:ilvl w:val="0"/>
                <w:numId w:val="1053"/>
              </w:numPr>
            </w:pPr>
            <w:r>
              <w:t xml:space="preserve">un CSV puede servir como fuente de datos para cartas, correos, reportes o gráficos;</w:t>
            </w:r>
          </w:p>
          <w:p>
            <w:pPr>
              <w:pStyle w:val="Compact"/>
              <w:numPr>
                <w:ilvl w:val="0"/>
                <w:numId w:val="1053"/>
              </w:numPr>
            </w:pPr>
            <w:r>
              <w:t xml:space="preserve">la visualización de datos también forma parte del ecosistema Legal Tech cuando ayuda a resumir información;</w:t>
            </w:r>
          </w:p>
          <w:p>
            <w:pPr>
              <w:pStyle w:val="Compact"/>
              <w:numPr>
                <w:ilvl w:val="0"/>
                <w:numId w:val="1053"/>
              </w:numPr>
            </w:pPr>
            <w:r>
              <w:t xml:space="preserve">algunas automatizaciones, como el envío de correos o el control de interfaces, requieren mucha más cautela que otras;</w:t>
            </w:r>
          </w:p>
          <w:p>
            <w:pPr>
              <w:pStyle w:val="Compact"/>
              <w:numPr>
                <w:ilvl w:val="0"/>
                <w:numId w:val="1053"/>
              </w:numPr>
            </w:pPr>
            <w:r>
              <w:t xml:space="preserve">automatizar no equivale a reemplazar criterio profesional, sino a estructurar mejor la parte repetible del trabajo;</w:t>
            </w:r>
          </w:p>
          <w:p>
            <w:pPr>
              <w:pStyle w:val="Compact"/>
              <w:numPr>
                <w:ilvl w:val="0"/>
                <w:numId w:val="1053"/>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caution.png" id="26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4"/>
              </w:numPr>
            </w:pPr>
            <w:r>
              <w:t xml:space="preserve">¿Qué diferencia notas entre un script que solo analiza información y otro que además produce un documento o un archivo reutilizable?</w:t>
            </w:r>
          </w:p>
          <w:p>
            <w:pPr>
              <w:pStyle w:val="Compact"/>
              <w:numPr>
                <w:ilvl w:val="0"/>
                <w:numId w:val="1054"/>
              </w:numPr>
            </w:pPr>
            <w:r>
              <w:t xml:space="preserve">¿Por qué crees que generar cartas o PDF desde datos puede ser útil en ciertos flujos jurídicos repetitivos?</w:t>
            </w:r>
          </w:p>
          <w:p>
            <w:pPr>
              <w:pStyle w:val="Compact"/>
              <w:numPr>
                <w:ilvl w:val="0"/>
                <w:numId w:val="1054"/>
              </w:numPr>
            </w:pPr>
            <w:r>
              <w:t xml:space="preserve">¿Qué riesgos aparecerían si enviaras correos o automatizaras interfaces sin revisar antes los datos y el contexto?</w:t>
            </w:r>
          </w:p>
          <w:p>
            <w:pPr>
              <w:pStyle w:val="Compact"/>
              <w:numPr>
                <w:ilvl w:val="0"/>
                <w:numId w:val="1054"/>
              </w:numPr>
            </w:pPr>
            <w:r>
              <w:t xml:space="preserve">¿Qué ejercicios de este capítulo te parecen más directamente conectados con Legal Tech y por qué?</w:t>
            </w:r>
          </w:p>
          <w:p>
            <w:pPr>
              <w:pStyle w:val="Compact"/>
              <w:numPr>
                <w:ilvl w:val="0"/>
                <w:numId w:val="1054"/>
              </w:numPr>
            </w:pPr>
            <w:r>
              <w:t xml:space="preserve">Si tuvieras que transformar uno de estos ejemplos en una herramienta más cercana a una oficina legal real, ¿cuál elegirías y qué tendrías que mejorar antes de usarlo?</w:t>
            </w:r>
          </w:p>
          <w:p/>
        </w:tc>
      </w:tr>
    </w:tbl>
    <w:bookmarkEnd w:id="263"/>
    <w:bookmarkEnd w:id="264"/>
    <w:bookmarkStart w:id="265" w:name="ii.-automatización-y-datos-jurídicos"/>
    <w:p>
      <w:pPr>
        <w:pStyle w:val="Ttulo1"/>
      </w:pPr>
      <w:r>
        <w:t xml:space="preserve">II. Automatización y datos jurídicos</w:t>
      </w:r>
    </w:p>
    <w:p>
      <w:pPr>
        <w:pStyle w:val="FirstParagraph"/>
      </w:pPr>
      <w:r>
        <w:t xml:space="preserve">Si el primer módulo introdujo la lógica de las instrucciones, este segundo módulo desplaza la atención hacia algo más cercano al trabajo cotidiano del jurista: procesos, datos, reportes y automatización. El cambio de foco importa porque una gran parte del legaltech real no empieza en herramientas espectaculares, sino en problemas bastante reconocibles: trámites repetitivos, expedientes desordenados, documentos que vuelven una y otra vez, tablas que nadie limpia del todo, indicadores que se piden sin saber bien cómo producirlos y decisiones que se toman con información dispersa. Hablar de automatización y datos jurídicos significa, ante todo, volver inteligibles esas rutinas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punto merece insistirse porque en la imaginación común la innovación jurídica aparece demasiado rápido asociada a inteligencia artificial, chatbots o análisis predictivo. Sin embargo, buena parte del valor práctico del trabajo tecnológico en Derecho pasa por operaciones más sobrias: modelar un flujo, ordenar un conjunto de registros, distinguir qué es dato y qué es documento, producir una visualización útil o convertir una secuencia repetitiva en un proceso mejor diseñado. Antes de discutir sistemas sofisticados, conviene comprender que los mayores cuellos de botella del trabajo jurídico suelen estar en la organización de la información y en la forma en que se articulan personas, decisiones, archivos y tiempos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cairo2017visualizacion">
        <w:r>
          <w:rPr>
            <w:rStyle w:val="Hipervnculo"/>
          </w:rPr>
          <w:t xml:space="preserve">Cairo 2017</w:t>
        </w:r>
      </w:hyperlink>
      <w:r>
        <w:t xml:space="preserve">)</w:t>
      </w:r>
      <w:r>
        <w:t xml:space="preserve">.</w:t>
      </w:r>
    </w:p>
    <w:p>
      <w:pPr>
        <w:pStyle w:val="Textoindependiente"/>
      </w:pPr>
      <w:r>
        <w:t xml:space="preserve">Desde el punto de vista normativo, esta observación conecta bien con una vieja intuición del derecho público peruano. La Ley Marco de Modernización de la Gestión del Estado no se limita a enunciar una preferencia genérica por la eficiencia. Declara al Estado en proceso de modernización, lo orienta al servicio de la ciudadanía y vincula esa modernización con evaluación por resultados, transparencia, uso de recursos y mejora de la prestación de bienes y servicios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Esa arquitectura es especialmente relevante para este módulo, porque obliga a leer la automatización no como capricho técnico, sino como una posible herramienta de reorganización institucional que solo tiene sentido cuando ayuda a producir mejor servicio, mejor información y mayor trazabilidad.</w:t>
      </w:r>
    </w:p>
    <w:p>
      <w:pPr>
        <w:pStyle w:val="Textoindependiente"/>
      </w:pPr>
      <w:r>
        <w:t xml:space="preserve">El Texto Único Ordenado de la Ley del Procedimiento Administrativo General refuerza esa misma lógica desde otro ángulo. Allí el procedimiento aparece como un espacio regido por principios, colaboración entre entidades, deberes de eficacia y disponibilidad de información, incluso mediante el uso de tecnologías de la información</w:t>
      </w:r>
      <w:r>
        <w:t xml:space="preserve"> </w:t>
      </w:r>
      <w:r>
        <w:t xml:space="preserve">(</w:t>
      </w:r>
      <w:hyperlink w:anchor="ref-jus2019tuo27444">
        <w:r>
          <w:rPr>
            <w:rStyle w:val="Hipervnculo"/>
          </w:rPr>
          <w:t xml:space="preserve">Ministerio de Justicia y Derechos Humanos 2019</w:t>
        </w:r>
      </w:hyperlink>
      <w:r>
        <w:t xml:space="preserve">)</w:t>
      </w:r>
      <w:r>
        <w:t xml:space="preserve">. Esto importa mucho para estudiantes de Derecho porque recuerda que la digitalización de expedientes, la interoperabilidad o los servicios electrónicos no flotan al margen del derecho administrativo general. Deben operar dentro de él. La tecnología puede reorganizar la forma en que se presenta, circula o consulta la información, pero no suspende por sí sola las garantías, deberes y responsabilidades del procedimiento</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La Ley de Gobierno Digital y el Sistema Nacional de Transformación Digital amplían esa intuición al establecer que la digitalización pública ya no debe entenderse como una suma aislada de soluciones sectoriales, sino como un régimen de identidad, servicios digitales, interoperabilidad, seguridad y datos articulados entre sí</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Para este módulo, la lección es clara: no se puede hablar seriamente de datos jurídicos como si fueran simples insumos neutros. Los datos se insertan en una infraestructura de gobernanza, en procedimientos y en reglas sobre quién los produce, quién los usa, con qué finalidad y bajo qué controles.</w:t>
      </w:r>
    </w:p>
    <w:p>
      <w:pPr>
        <w:pStyle w:val="Textoindependiente"/>
      </w:pPr>
      <w:r>
        <w:t xml:space="preserve">En el plano internacional y académico, el problema puede formularse de manera semejante. Mendo y coautores muestran que entre el acceso a la información y su reutilización existe toda una cadena conceptual y técnica: pasar del dato al documento, y del documento a una salida útil, exige mediaciones, decisiones de organización y criterios de representación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observación es central para este módulo. En el trabajo jurídico no basta con “tener información”; hace falta volverla legible, reusable y discutible. Los datos por sí solos no piensan. Pero una pregunta bien planteada sobre datos puede transformar la calidad del análisis legal, administrativo o regulatorio</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módulo se sostiene justamente sobre esa transición: de la intuición al flujo explícito, del archivo aislado al proceso, y del conjunto desordenado de registros a una salida que permita controlar mejor un problema. En ese sentido, la automatización no debe imaginarse aquí como sustitución del jurista, sino como ejercicio de explicitación. Para automatizar una tarea hay que entender antes cómo funciona, qué pasos la componen, qué excepciones admite, qué información requiere y dónde se produce valor o fricción. Cuando esa comprensión no existe, digitalizar suele significar apenas acelerar un desorden previo</w:t>
      </w:r>
      <w:r>
        <w:t xml:space="preserve"> </w:t>
      </w:r>
      <w:r>
        <w:t xml:space="preserve">(</w:t>
      </w:r>
      <w:hyperlink w:anchor="ref-peru2002modernizacion">
        <w:r>
          <w:rPr>
            <w:rStyle w:val="Hipervnculo"/>
          </w:rPr>
          <w:t xml:space="preserve">Perú 2002</w:t>
        </w:r>
      </w:hyperlink>
      <w:r>
        <w:t xml:space="preserve">)</w:t>
      </w:r>
      <w:r>
        <w:t xml:space="preserve">.</w:t>
      </w:r>
    </w:p>
    <w:p>
      <w:pPr>
        <w:pStyle w:val="Textoindependiente"/>
      </w:pPr>
      <w:r>
        <w:t xml:space="preserve">Por eso el módulo empieza con el capítulo 5, “Entender el negocio”. El título podría parecer ajeno a la tradición jurídica, pero en realidad apunta a una necesidad muy básica: ningún proceso puede mejorarse si antes no se vuelve visible. Aquí “negocio” no significa solo empresa privada. Significa también lógica de operación, secuencia de actos, responsables, puntos de decisión, insumos y salidas. El capítulo mostrará que modelar un proceso no es dibujar por dibujar, sino convertir una rutina opaca en una estructura discutible y mejorable. En el mundo jurídico y administrativo, esa capacidad importa para trámites, atención al ciudadano, flujo documental, cumplimiento y organización institucional</w:t>
      </w:r>
      <w:r>
        <w:t xml:space="preserve"> </w:t>
      </w:r>
      <w:r>
        <w:t xml:space="preserve">(</w:t>
      </w:r>
      <w:hyperlink w:anchor="ref-fischer2011bpmn">
        <w:r>
          <w:rPr>
            <w:rStyle w:val="Hipervnculo"/>
          </w:rPr>
          <w:t xml:space="preserve">White and Miers 2011</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mismo capítulo tiene además una dimensión metodológica importante para el resto del curso. Diagramar un proceso en texto o en una notación como Mermaid obliga a decidir dónde empieza una tarea, qué la interrumpe, qué condición la hace avanzar y qué actor es responsable de cada tramo. Dicho de otro modo, obliga a transformar el “más o menos así funciona” en una descripción verificable. Ese cambio es intelectualmente valioso incluso antes de que exista código o automatización, porque aclara qué parte del problema es jurídica, cuál es organizacional y cuál depende de la calidad de la información disponible</w:t>
      </w:r>
      <w:r>
        <w:t xml:space="preserve"> </w:t>
      </w:r>
      <w:r>
        <w:t xml:space="preserve">(</w:t>
      </w:r>
      <w:hyperlink w:anchor="ref-fischer2011bpmn">
        <w:r>
          <w:rPr>
            <w:rStyle w:val="Hipervnculo"/>
          </w:rPr>
          <w:t xml:space="preserve">White and Miers 2011</w:t>
        </w:r>
      </w:hyperlink>
      <w:r>
        <w:t xml:space="preserve">)</w:t>
      </w:r>
      <w:r>
        <w:t xml:space="preserve">.</w:t>
      </w:r>
    </w:p>
    <w:p>
      <w:pPr>
        <w:pStyle w:val="Textoindependiente"/>
      </w:pPr>
      <w:r>
        <w:t xml:space="preserve">El capítulo 6, “Explicar y controlar los resultados”, desplaza el módulo desde los procesos hacia los datos y las salidas. Una vez que el flujo se vuelve más visible, aparece una pregunta inevitable: cómo producir evidencia útil sobre su comportamiento. Aquí entran las tablas, los registros, los indicadores y las visualizaciones. Pero otra vez conviene mantener la sobriedad. El interés no está en adornar datos ni en fabricar gráficos vacíos, sino en aprender a distinguir entre información disponible e información verdaderamente interpretable</w:t>
      </w:r>
      <w:r>
        <w:t xml:space="preserve"> </w:t>
      </w:r>
      <w:r>
        <w:t xml:space="preserve">(</w:t>
      </w:r>
      <w:hyperlink w:anchor="ref-cairo2017visualizacion">
        <w:r>
          <w:rPr>
            <w:rStyle w:val="Hipervnculo"/>
          </w:rPr>
          <w:t xml:space="preserve">Cairo 2017</w:t>
        </w:r>
      </w:hyperlink>
      <w:r>
        <w:t xml:space="preserve">;</w:t>
      </w:r>
      <w:r>
        <w:t xml:space="preserve"> </w:t>
      </w:r>
      <w:hyperlink w:anchor="ref-garciagarcia2021visualizacion">
        <w:r>
          <w:rPr>
            <w:rStyle w:val="Hipervnculo"/>
          </w:rPr>
          <w:t xml:space="preserve">García-García and Alonso-Magdaleno 2021</w:t>
        </w:r>
      </w:hyperlink>
      <w:r>
        <w:t xml:space="preserve">)</w:t>
      </w:r>
      <w:r>
        <w:t xml:space="preserve">.</w:t>
      </w:r>
    </w:p>
    <w:p>
      <w:pPr>
        <w:pStyle w:val="Textoindependiente"/>
      </w:pPr>
      <w:r>
        <w:t xml:space="preserve">En el trabajo jurídico, explicar resultados nunca es una operación puramente técnica. Un indicador puede orientar una política, un cuadro puede ordenar una cartera de expedientes, un tablero puede hacer visible un cuello de botella y una visualización puede ampliar la capacidad de discusión institucional. Sin embargo, cada una de esas salidas exige contexto verbal, criterio de selección y responsabilidad interpretativa. Cairo recuerda justamente que una imagen puede ser poderosa, pero no sustituye por sí sola el trabajo conceptual de explicar qué se está mostrando y por qué importa</w:t>
      </w:r>
      <w:r>
        <w:t xml:space="preserve"> </w:t>
      </w:r>
      <w:r>
        <w:t xml:space="preserve">(</w:t>
      </w:r>
      <w:hyperlink w:anchor="ref-cairo2017visualizacion">
        <w:r>
          <w:rPr>
            <w:rStyle w:val="Hipervnculo"/>
          </w:rPr>
          <w:t xml:space="preserve">Cairo 2017</w:t>
        </w:r>
      </w:hyperlink>
      <w:r>
        <w:t xml:space="preserve">)</w:t>
      </w:r>
      <w:r>
        <w:t xml:space="preserve">. Esta observación se vuelve especialmente útil para juristas, acostumbrados a trabajar con texto, porque muestra que la visualización no reemplaza la argumentación: la complementa y la obliga a ser más precisa.</w:t>
      </w:r>
    </w:p>
    <w:p>
      <w:pPr>
        <w:pStyle w:val="Textoindependiente"/>
      </w:pPr>
      <w:r>
        <w:t xml:space="preserve">Hay además una razón profesional muy concreta para que este módulo ocupe este lugar en el curso. El mercado legal y la gestión pública están cada vez más atravesados por exigencias de eficiencia, cumplimiento, trazabilidad y medición. El</w:t>
      </w:r>
      <w:r>
        <w:t xml:space="preserve"> </w:t>
      </w:r>
      <w:r>
        <w:rPr>
          <w:i/>
          <w:iCs/>
        </w:rPr>
        <w:t xml:space="preserve">Mapeo LegalTech Perú 2025</w:t>
      </w:r>
      <w:r>
        <w:t xml:space="preserve"> </w:t>
      </w:r>
      <w:r>
        <w:t xml:space="preserve">muestra que el ecosistema local ya no se agota en herramientas para redactar documentos, sino que incluye plataformas de gestión de expedientes, monitoreo regulatorio, automatización documental y soluciones de apoyo basadas en datos</w:t>
      </w:r>
      <w:r>
        <w:t xml:space="preserve"> </w:t>
      </w:r>
      <w:r>
        <w:t xml:space="preserve">(</w:t>
      </w:r>
      <w:hyperlink w:anchor="ref-mapeolegaltechperu2025">
        <w:r>
          <w:rPr>
            <w:rStyle w:val="Hipervnculo"/>
          </w:rPr>
          <w:t xml:space="preserve">Iniciativa Tech &amp; Law 2025</w:t>
        </w:r>
      </w:hyperlink>
      <w:r>
        <w:t xml:space="preserve">)</w:t>
      </w:r>
      <w:r>
        <w:t xml:space="preserve">. Antes de pensar en sistemas más avanzados, un jurista necesita aprender a reconocer qué tareas generan estructura de datos, qué reportes son útiles y qué automatizaciones solo son razonables cuando existe antes un proceso comprensible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Desde el punto de vista del marco normativo peruano, esto se alinea también con la orientación de la Política Nacional de Transformación Digital al 2030, que vincula transformación digital con mejora de gestión pública, ciudadanía digital, inclusión, servicios y uso estratégico de datos</w:t>
      </w:r>
      <w:r>
        <w:t xml:space="preserve"> </w:t>
      </w:r>
      <w:r>
        <w:t xml:space="preserve">(</w:t>
      </w:r>
      <w:hyperlink w:anchor="ref-pcm2023pntd2030">
        <w:r>
          <w:rPr>
            <w:rStyle w:val="Hipervnculo"/>
          </w:rPr>
          <w:t xml:space="preserve">Presidencia del Consejo de Ministros 2023</w:t>
        </w:r>
      </w:hyperlink>
      <w:r>
        <w:t xml:space="preserve">)</w:t>
      </w:r>
      <w:r>
        <w:t xml:space="preserve">. La política no trata la digitalización como simple informatización de oficinas, sino como articulación entre capacidades, información, coordinación y provisión de servicios. Esta visión es especialmente útil para el módulo porque ayuda a recordar que los datos jurídicos no interesan solo por su volumen, sino por su capacidad para sostener decisiones mejores, servicios más claros y formas más transparentes de rendición de cuentas</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El módulo también invita a una precaución importante. La automatización puede ser valiosa, pero no todo proceso merece automatizarse del mismo modo. Hay tareas tan excepcionales, ambiguas o cargadas de juicio que el costo de estructurarlas supera el beneficio. Otras, en cambio, revelan rápidamente su potencial para ser estandarizadas: formularios, validaciones, consolidación de datos, reportes periódicos o trazabilidad documental. Aprender a distinguir esos casos es parte de la madurez profesional que este módulo intenta formar. No basta con entusiasmarse por la tecnología; hace falta reconocer cuándo un problema tiene la estabilidad suficiente como para traducirse en flujo y cuándo todavía exige una intervención demasiado situada</w:t>
      </w:r>
      <w:r>
        <w:t xml:space="preserve"> </w:t>
      </w:r>
      <w:r>
        <w:t xml:space="preserve">(</w:t>
      </w:r>
      <w:hyperlink w:anchor="ref-peru2002modernizacion">
        <w:r>
          <w:rPr>
            <w:rStyle w:val="Hipervnculo"/>
          </w:rPr>
          <w:t xml:space="preserve">Perú 2002</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En esa línea, el módulo no busca que el estudiante salga convertido en analista de datos, sino que aprenda a formular mejores preguntas sobre información jurídica y administrativa. Qué se está contando. Qué no aparece en la tabla. Qué diferencia hay entre un documento y un registro. Qué información puede reutilizarse. Qué gráfico ayuda a pensar y cuál confunde. Qué parte del flujo genera un cuello de botella y cuál solo lo hace visible. Estas preguntas, aunque parezcan técnicas, tienen una clara dimensión jurídica e institucional porque afectan la forma en que se controla, se organiza y se justifica el trabajo</w:t>
      </w:r>
      <w:r>
        <w:t xml:space="preserve"> </w:t>
      </w:r>
      <w:r>
        <w:t xml:space="preserve">(</w:t>
      </w:r>
      <w:hyperlink w:anchor="ref-cairo2017visualizacion">
        <w:r>
          <w:rPr>
            <w:rStyle w:val="Hipervnculo"/>
          </w:rPr>
          <w:t xml:space="preserve">Cairo 2017</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Visto así, el módulo prepara un movimiento decisivo para el resto del curso. El primero enseñó a pensar en instrucciones. Este enseña a pensar en procesos y datos como objetos jurídicamente relevantes y técnicamente estructurables. Sobre esa base, el tercer módulo podrá entrar en web, nube y seguridad con una comprensión más clara de la información que circula; y el cuarto podrá abordar inteligencia artificial sin perder de vista que toda salida sofisticada sigue dependiendo, en último término, de procesos bien modelados y datos suficientemente gobernados.</w:t>
      </w:r>
    </w:p>
    <w:p>
      <w:pPr>
        <w:pStyle w:val="Textoindependiente"/>
      </w:pPr>
      <w:r>
        <w:t xml:space="preserve">La idea central con la que conviene abrir este tramo es sencilla: la automatización no comienza cuando aparece una herramienta, sino cuando un proceso se vuelve lo bastante explícito como para ser descrito, medido y mejorado. Este módulo enseña justamente esa transición. Lo hace con paciencia, sin prometer milagros y sin confundir visualización con conocimiento ni dato con juicio. En un manual para juristas, esa sobriedad no es una limitación. Es una forma de preparar mejor el terreno para innovaciones más complejas sin perder criterio institucional ni rigor profesional.</w:t>
      </w:r>
    </w:p>
    <w:bookmarkEnd w:id="265"/>
    <w:bookmarkStart w:id="293"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Applications/quarto/share/formats/docx/note.png" id="26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68"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Cuando ese modelado logra volver el trabajo visible, el proceso deja de ser una caja negra organizacional y empieza a convertirse en un objeto discutible y mejorable.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68"/>
    <w:bookmarkStart w:id="271"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Applications/quarto/share/formats/docx/important.png" id="27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271"/>
    <w:bookmarkStart w:id="272"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55"/>
        </w:numPr>
      </w:pPr>
      <w:r>
        <w:t xml:space="preserve">quién inicia el flujo;</w:t>
      </w:r>
    </w:p>
    <w:p>
      <w:pPr>
        <w:pStyle w:val="Compact"/>
        <w:numPr>
          <w:ilvl w:val="0"/>
          <w:numId w:val="1055"/>
        </w:numPr>
      </w:pPr>
      <w:r>
        <w:t xml:space="preserve">qué información entra;</w:t>
      </w:r>
    </w:p>
    <w:p>
      <w:pPr>
        <w:pStyle w:val="Compact"/>
        <w:numPr>
          <w:ilvl w:val="0"/>
          <w:numId w:val="1055"/>
        </w:numPr>
      </w:pPr>
      <w:r>
        <w:t xml:space="preserve">qué actividades agregan valor;</w:t>
      </w:r>
    </w:p>
    <w:p>
      <w:pPr>
        <w:pStyle w:val="Compact"/>
        <w:numPr>
          <w:ilvl w:val="0"/>
          <w:numId w:val="1055"/>
        </w:numPr>
      </w:pPr>
      <w:r>
        <w:t xml:space="preserve">qué decisiones desvían o detienen el trámite;</w:t>
      </w:r>
    </w:p>
    <w:p>
      <w:pPr>
        <w:pStyle w:val="Compact"/>
        <w:numPr>
          <w:ilvl w:val="0"/>
          <w:numId w:val="1055"/>
        </w:numPr>
      </w:pPr>
      <w:r>
        <w:t xml:space="preserve">qué documentos se generan;</w:t>
      </w:r>
    </w:p>
    <w:p>
      <w:pPr>
        <w:pStyle w:val="Compact"/>
        <w:numPr>
          <w:ilvl w:val="0"/>
          <w:numId w:val="1055"/>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272"/>
    <w:bookmarkStart w:id="273"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273"/>
    <w:bookmarkStart w:id="274"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56"/>
        </w:numPr>
      </w:pPr>
      <w:r>
        <w:rPr>
          <w:b/>
          <w:bCs/>
        </w:rPr>
        <w:t xml:space="preserve">actor o responsable</w:t>
      </w:r>
      <w:r>
        <w:t xml:space="preserve">: quién realiza una actividad;</w:t>
      </w:r>
    </w:p>
    <w:p>
      <w:pPr>
        <w:pStyle w:val="Compact"/>
        <w:numPr>
          <w:ilvl w:val="0"/>
          <w:numId w:val="1056"/>
        </w:numPr>
      </w:pPr>
      <w:r>
        <w:rPr>
          <w:b/>
          <w:bCs/>
        </w:rPr>
        <w:t xml:space="preserve">entrada</w:t>
      </w:r>
      <w:r>
        <w:t xml:space="preserve">: qué documento, dato o solicitud ingresa;</w:t>
      </w:r>
    </w:p>
    <w:p>
      <w:pPr>
        <w:pStyle w:val="Compact"/>
        <w:numPr>
          <w:ilvl w:val="0"/>
          <w:numId w:val="1056"/>
        </w:numPr>
      </w:pPr>
      <w:r>
        <w:rPr>
          <w:b/>
          <w:bCs/>
        </w:rPr>
        <w:t xml:space="preserve">actividad</w:t>
      </w:r>
      <w:r>
        <w:t xml:space="preserve">: qué se hace con esa entrada;</w:t>
      </w:r>
    </w:p>
    <w:p>
      <w:pPr>
        <w:pStyle w:val="Compact"/>
        <w:numPr>
          <w:ilvl w:val="0"/>
          <w:numId w:val="1056"/>
        </w:numPr>
      </w:pPr>
      <w:r>
        <w:rPr>
          <w:b/>
          <w:bCs/>
        </w:rPr>
        <w:t xml:space="preserve">decisión</w:t>
      </w:r>
      <w:r>
        <w:t xml:space="preserve">: qué criterio permite seguir, observar, devolver o rechazar;</w:t>
      </w:r>
    </w:p>
    <w:p>
      <w:pPr>
        <w:pStyle w:val="Compact"/>
        <w:numPr>
          <w:ilvl w:val="0"/>
          <w:numId w:val="1056"/>
        </w:numPr>
      </w:pPr>
      <w:r>
        <w:rPr>
          <w:b/>
          <w:bCs/>
        </w:rPr>
        <w:t xml:space="preserve">salida</w:t>
      </w:r>
      <w:r>
        <w:t xml:space="preserve">: qué resultado se produce;</w:t>
      </w:r>
    </w:p>
    <w:p>
      <w:pPr>
        <w:pStyle w:val="Compact"/>
        <w:numPr>
          <w:ilvl w:val="0"/>
          <w:numId w:val="1056"/>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274"/>
    <w:bookmarkStart w:id="275"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57"/>
        </w:numPr>
      </w:pPr>
      <w:r>
        <w:t xml:space="preserve">expedientes que regresan varias veces por la misma observación;</w:t>
      </w:r>
    </w:p>
    <w:p>
      <w:pPr>
        <w:pStyle w:val="Compact"/>
        <w:numPr>
          <w:ilvl w:val="0"/>
          <w:numId w:val="1057"/>
        </w:numPr>
      </w:pPr>
      <w:r>
        <w:t xml:space="preserve">contratos que se revisan de nuevo porque los anexos nunca llegaron completos;</w:t>
      </w:r>
    </w:p>
    <w:p>
      <w:pPr>
        <w:pStyle w:val="Compact"/>
        <w:numPr>
          <w:ilvl w:val="0"/>
          <w:numId w:val="1057"/>
        </w:numPr>
      </w:pPr>
      <w:r>
        <w:t xml:space="preserve">solicitudes que se registran en varios lugares distintos sin un criterio uniforme;</w:t>
      </w:r>
    </w:p>
    <w:p>
      <w:pPr>
        <w:pStyle w:val="Compact"/>
        <w:numPr>
          <w:ilvl w:val="0"/>
          <w:numId w:val="1057"/>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275"/>
    <w:bookmarkStart w:id="276"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 En otras palabras, diagramar en texto no solo simplifica el dibujo; también vuelve el flujo mismo un artefacto versionable.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276"/>
    <w:bookmarkStart w:id="280"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CaptionedFigure"/>
      </w:pPr>
      <w:r>
        <w:drawing>
          <wp:inline>
            <wp:extent cx="5040630" cy="4868408"/>
            <wp:effectExtent b="0" l="0" r="0" t="0"/>
            <wp:docPr descr="Diagrama de admisión preliminar de una solicitud." title="" id="278" name="Picture"/>
            <a:graphic>
              <a:graphicData uri="http://schemas.openxmlformats.org/drawingml/2006/picture">
                <pic:pic>
                  <pic:nvPicPr>
                    <pic:cNvPr descr="parte-2-modulo-2/img/05-capitulo-docx/ejemplo-1-admision.png" id="279" name="Picture"/>
                    <pic:cNvPicPr>
                      <a:picLocks noChangeArrowheads="1" noChangeAspect="1"/>
                    </pic:cNvPicPr>
                  </pic:nvPicPr>
                  <pic:blipFill>
                    <a:blip r:embed="rId277"/>
                    <a:stretch>
                      <a:fillRect/>
                    </a:stretch>
                  </pic:blipFill>
                  <pic:spPr bwMode="auto">
                    <a:xfrm>
                      <a:off x="0" y="0"/>
                      <a:ext cx="5040630" cy="4868408"/>
                    </a:xfrm>
                    <a:prstGeom prst="rect">
                      <a:avLst/>
                    </a:prstGeom>
                    <a:noFill/>
                    <a:ln w="9525">
                      <a:noFill/>
                      <a:headEnd/>
                      <a:tailEnd/>
                    </a:ln>
                  </pic:spPr>
                </pic:pic>
              </a:graphicData>
            </a:graphic>
          </wp:inline>
        </w:drawing>
      </w:r>
    </w:p>
    <w:p>
      <w:pPr>
        <w:pStyle w:val="ImageCaption"/>
      </w:pPr>
      <w:r>
        <w:t xml:space="preserve">Diagrama de admisión preliminar de una solicitud.</w:t>
      </w:r>
    </w:p>
    <w:p>
      <w:pPr>
        <w:pStyle w:val="Textoindependiente"/>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280"/>
    <w:bookmarkStart w:id="284"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CaptionedFigure"/>
      </w:pPr>
      <w:r>
        <w:drawing>
          <wp:inline>
            <wp:extent cx="5040630" cy="5011226"/>
            <wp:effectExtent b="0" l="0" r="0" t="0"/>
            <wp:docPr descr="Diagrama de revisión contractual." title="" id="282" name="Picture"/>
            <a:graphic>
              <a:graphicData uri="http://schemas.openxmlformats.org/drawingml/2006/picture">
                <pic:pic>
                  <pic:nvPicPr>
                    <pic:cNvPr descr="parte-2-modulo-2/img/05-capitulo-docx/ejemplo-2-revision.png" id="283" name="Picture"/>
                    <pic:cNvPicPr>
                      <a:picLocks noChangeArrowheads="1" noChangeAspect="1"/>
                    </pic:cNvPicPr>
                  </pic:nvPicPr>
                  <pic:blipFill>
                    <a:blip r:embed="rId281"/>
                    <a:stretch>
                      <a:fillRect/>
                    </a:stretch>
                  </pic:blipFill>
                  <pic:spPr bwMode="auto">
                    <a:xfrm>
                      <a:off x="0" y="0"/>
                      <a:ext cx="5040630" cy="5011226"/>
                    </a:xfrm>
                    <a:prstGeom prst="rect">
                      <a:avLst/>
                    </a:prstGeom>
                    <a:noFill/>
                    <a:ln w="9525">
                      <a:noFill/>
                      <a:headEnd/>
                      <a:tailEnd/>
                    </a:ln>
                  </pic:spPr>
                </pic:pic>
              </a:graphicData>
            </a:graphic>
          </wp:inline>
        </w:drawing>
      </w:r>
    </w:p>
    <w:p>
      <w:pPr>
        <w:pStyle w:val="ImageCaption"/>
      </w:pPr>
      <w:r>
        <w:t xml:space="preserve">Diagrama de revisión contractual.</w:t>
      </w:r>
    </w:p>
    <w:p>
      <w:pPr>
        <w:pStyle w:val="Textoindependiente"/>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284"/>
    <w:bookmarkStart w:id="285"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58"/>
        </w:numPr>
      </w:pPr>
      <w:r>
        <w:t xml:space="preserve">¿distingue bien actividades y decisiones?;</w:t>
      </w:r>
    </w:p>
    <w:p>
      <w:pPr>
        <w:pStyle w:val="Compact"/>
        <w:numPr>
          <w:ilvl w:val="0"/>
          <w:numId w:val="1058"/>
        </w:numPr>
      </w:pPr>
      <w:r>
        <w:t xml:space="preserve">¿permite ubicar responsables?;</w:t>
      </w:r>
    </w:p>
    <w:p>
      <w:pPr>
        <w:pStyle w:val="Compact"/>
        <w:numPr>
          <w:ilvl w:val="0"/>
          <w:numId w:val="1058"/>
        </w:numPr>
      </w:pPr>
      <w:r>
        <w:t xml:space="preserve">¿muestra entradas y salidas relevantes?;</w:t>
      </w:r>
    </w:p>
    <w:p>
      <w:pPr>
        <w:pStyle w:val="Compact"/>
        <w:numPr>
          <w:ilvl w:val="0"/>
          <w:numId w:val="1058"/>
        </w:numPr>
      </w:pPr>
      <w:r>
        <w:t xml:space="preserve">¿hace visibles cuellos de botella o reprocesos?;</w:t>
      </w:r>
    </w:p>
    <w:p>
      <w:pPr>
        <w:pStyle w:val="Compact"/>
        <w:numPr>
          <w:ilvl w:val="0"/>
          <w:numId w:val="1058"/>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285"/>
    <w:bookmarkStart w:id="286"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286"/>
    <w:bookmarkStart w:id="287"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59"/>
        </w:numPr>
      </w:pPr>
      <w:r>
        <w:t xml:space="preserve">admisión de un escrito;</w:t>
      </w:r>
    </w:p>
    <w:p>
      <w:pPr>
        <w:pStyle w:val="Compact"/>
        <w:numPr>
          <w:ilvl w:val="0"/>
          <w:numId w:val="1059"/>
        </w:numPr>
      </w:pPr>
      <w:r>
        <w:t xml:space="preserve">atención de una denuncia;</w:t>
      </w:r>
    </w:p>
    <w:p>
      <w:pPr>
        <w:pStyle w:val="Compact"/>
        <w:numPr>
          <w:ilvl w:val="0"/>
          <w:numId w:val="1059"/>
        </w:numPr>
      </w:pPr>
      <w:r>
        <w:t xml:space="preserve">revisión de un contrato;</w:t>
      </w:r>
    </w:p>
    <w:p>
      <w:pPr>
        <w:pStyle w:val="Compact"/>
        <w:numPr>
          <w:ilvl w:val="0"/>
          <w:numId w:val="1059"/>
        </w:numPr>
      </w:pPr>
      <w:r>
        <w:t xml:space="preserve">derivación interna de un expediente;</w:t>
      </w:r>
    </w:p>
    <w:p>
      <w:pPr>
        <w:pStyle w:val="Compact"/>
        <w:numPr>
          <w:ilvl w:val="0"/>
          <w:numId w:val="1059"/>
        </w:numPr>
      </w:pPr>
      <w:r>
        <w:t xml:space="preserve">validación de requisitos de una solicitud.</w:t>
      </w:r>
    </w:p>
    <w:p>
      <w:pPr>
        <w:pStyle w:val="FirstParagraph"/>
      </w:pPr>
      <w:r>
        <w:t xml:space="preserve">Procura que el diagrama incluya:</w:t>
      </w:r>
    </w:p>
    <w:p>
      <w:pPr>
        <w:pStyle w:val="Compact"/>
        <w:numPr>
          <w:ilvl w:val="0"/>
          <w:numId w:val="1060"/>
        </w:numPr>
      </w:pPr>
      <w:r>
        <w:t xml:space="preserve">al menos un punto de decisión;</w:t>
      </w:r>
    </w:p>
    <w:p>
      <w:pPr>
        <w:pStyle w:val="Compact"/>
        <w:numPr>
          <w:ilvl w:val="0"/>
          <w:numId w:val="1060"/>
        </w:numPr>
      </w:pPr>
      <w:r>
        <w:t xml:space="preserve">una entrada identificable;</w:t>
      </w:r>
    </w:p>
    <w:p>
      <w:pPr>
        <w:pStyle w:val="Compact"/>
        <w:numPr>
          <w:ilvl w:val="0"/>
          <w:numId w:val="1060"/>
        </w:numPr>
      </w:pPr>
      <w:r>
        <w:t xml:space="preserve">una salida final;</w:t>
      </w:r>
    </w:p>
    <w:p>
      <w:pPr>
        <w:pStyle w:val="Compact"/>
        <w:numPr>
          <w:ilvl w:val="0"/>
          <w:numId w:val="1060"/>
        </w:numPr>
      </w:pPr>
      <w:r>
        <w:t xml:space="preserve">un posible cuello de botella o punto de control.</w:t>
      </w:r>
    </w:p>
    <w:bookmarkEnd w:id="287"/>
    <w:bookmarkStart w:id="292"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tip.png" id="28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1"/>
              </w:numPr>
            </w:pPr>
            <w:r>
              <w:t xml:space="preserve">Entender el negocio significa entender el proceso, no solo la herramienta.</w:t>
            </w:r>
          </w:p>
          <w:p>
            <w:pPr>
              <w:pStyle w:val="Compact"/>
              <w:numPr>
                <w:ilvl w:val="0"/>
                <w:numId w:val="1061"/>
              </w:numPr>
            </w:pPr>
            <w:r>
              <w:t xml:space="preserve">Un flujo visible se vuelve discutible, corregible y mejorable.</w:t>
            </w:r>
          </w:p>
          <w:p>
            <w:pPr>
              <w:pStyle w:val="Compact"/>
              <w:numPr>
                <w:ilvl w:val="0"/>
                <w:numId w:val="1061"/>
              </w:numPr>
            </w:pPr>
            <w:r>
              <w:t xml:space="preserve">Modelar procesos permite detectar cuellos de botella, reprocesos y trabajo invisible.</w:t>
            </w:r>
          </w:p>
          <w:p>
            <w:pPr>
              <w:pStyle w:val="Compact"/>
              <w:numPr>
                <w:ilvl w:val="0"/>
                <w:numId w:val="1061"/>
              </w:numPr>
            </w:pPr>
            <w:r>
              <w:t xml:space="preserve">Mermaid resulta útil porque integra diagramación y versionado dentro del mismo entorno de trabajo.</w:t>
            </w:r>
          </w:p>
          <w:p>
            <w:pPr>
              <w:pStyle w:val="Compact"/>
              <w:numPr>
                <w:ilvl w:val="0"/>
                <w:numId w:val="1061"/>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Applications/quarto/share/formats/docx/caution.png" id="29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292"/>
    <w:bookmarkEnd w:id="293"/>
    <w:bookmarkStart w:id="319"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4" name="Picture"/>
                  <a:graphic>
                    <a:graphicData uri="http://schemas.openxmlformats.org/drawingml/2006/picture">
                      <pic:pic>
                        <pic:nvPicPr>
                          <pic:cNvPr descr="/Applications/quarto/share/formats/docx/note.png" id="2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296"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 Esa disciplina prepara además una puerta de entrada útil hacia analítica legal más avanzada, donde el valor de los datos depende tanto de su estructura como de las preguntas que permiten formular</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296"/>
    <w:bookmarkStart w:id="299"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Applications/quarto/share/formats/docx/important.png" id="29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299"/>
    <w:bookmarkStart w:id="300"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2"/>
        </w:numPr>
      </w:pPr>
      <w:r>
        <w:t xml:space="preserve">el</w:t>
      </w:r>
      <w:r>
        <w:t xml:space="preserve"> </w:t>
      </w:r>
      <w:r>
        <w:rPr>
          <w:b/>
          <w:bCs/>
        </w:rPr>
        <w:t xml:space="preserve">documento</w:t>
      </w:r>
      <w:r>
        <w:t xml:space="preserve"> </w:t>
      </w:r>
      <w:r>
        <w:t xml:space="preserve">es la pieza completa;</w:t>
      </w:r>
    </w:p>
    <w:p>
      <w:pPr>
        <w:pStyle w:val="Compact"/>
        <w:numPr>
          <w:ilvl w:val="0"/>
          <w:numId w:val="1062"/>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2"/>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2"/>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300"/>
    <w:bookmarkStart w:id="301"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63"/>
        </w:numPr>
      </w:pPr>
      <w:r>
        <w:t xml:space="preserve">una misma columna mezcla fecha, observación y responsable;</w:t>
      </w:r>
    </w:p>
    <w:p>
      <w:pPr>
        <w:pStyle w:val="Compact"/>
        <w:numPr>
          <w:ilvl w:val="0"/>
          <w:numId w:val="1063"/>
        </w:numPr>
      </w:pPr>
      <w:r>
        <w:t xml:space="preserve">el mismo estado aparece escrito de tres maneras distintas;</w:t>
      </w:r>
    </w:p>
    <w:p>
      <w:pPr>
        <w:pStyle w:val="Compact"/>
        <w:numPr>
          <w:ilvl w:val="0"/>
          <w:numId w:val="1063"/>
        </w:numPr>
      </w:pPr>
      <w:r>
        <w:t xml:space="preserve">faltan criterios para los vacíos;</w:t>
      </w:r>
    </w:p>
    <w:p>
      <w:pPr>
        <w:pStyle w:val="Compact"/>
        <w:numPr>
          <w:ilvl w:val="0"/>
          <w:numId w:val="1063"/>
        </w:numPr>
      </w:pPr>
      <w:r>
        <w:t xml:space="preserve">se repiten registros sin saber cuál es la versión válida;</w:t>
      </w:r>
    </w:p>
    <w:p>
      <w:pPr>
        <w:pStyle w:val="Compact"/>
        <w:numPr>
          <w:ilvl w:val="0"/>
          <w:numId w:val="1063"/>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01"/>
    <w:bookmarkStart w:id="302"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64"/>
        </w:numPr>
      </w:pPr>
      <w:r>
        <w:t xml:space="preserve">¿cuántos expedientes siguen pendientes?;</w:t>
      </w:r>
    </w:p>
    <w:p>
      <w:pPr>
        <w:pStyle w:val="Compact"/>
        <w:numPr>
          <w:ilvl w:val="0"/>
          <w:numId w:val="1064"/>
        </w:numPr>
      </w:pPr>
      <w:r>
        <w:t xml:space="preserve">¿qué observación se repite más?;</w:t>
      </w:r>
    </w:p>
    <w:p>
      <w:pPr>
        <w:pStyle w:val="Compact"/>
        <w:numPr>
          <w:ilvl w:val="0"/>
          <w:numId w:val="1064"/>
        </w:numPr>
      </w:pPr>
      <w:r>
        <w:t xml:space="preserve">¿qué contratos vencen este mes?;</w:t>
      </w:r>
    </w:p>
    <w:p>
      <w:pPr>
        <w:pStyle w:val="Compact"/>
        <w:numPr>
          <w:ilvl w:val="0"/>
          <w:numId w:val="1064"/>
        </w:numPr>
      </w:pPr>
      <w:r>
        <w:t xml:space="preserve">¿qué unidad concentra la mayor demora?;</w:t>
      </w:r>
    </w:p>
    <w:p>
      <w:pPr>
        <w:pStyle w:val="Compact"/>
        <w:numPr>
          <w:ilvl w:val="0"/>
          <w:numId w:val="1064"/>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02"/>
    <w:bookmarkStart w:id="303"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03"/>
    <w:bookmarkStart w:id="306"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65"/>
        </w:numPr>
      </w:pPr>
      <w:r>
        <w:t xml:space="preserve">expedientes pendientes por unidad;</w:t>
      </w:r>
    </w:p>
    <w:p>
      <w:pPr>
        <w:pStyle w:val="Compact"/>
        <w:numPr>
          <w:ilvl w:val="0"/>
          <w:numId w:val="1065"/>
        </w:numPr>
      </w:pPr>
      <w:r>
        <w:t xml:space="preserve">tiempo promedio de revisión;</w:t>
      </w:r>
    </w:p>
    <w:p>
      <w:pPr>
        <w:pStyle w:val="Compact"/>
        <w:numPr>
          <w:ilvl w:val="0"/>
          <w:numId w:val="1065"/>
        </w:numPr>
      </w:pPr>
      <w:r>
        <w:t xml:space="preserve">porcentaje de casos observados;</w:t>
      </w:r>
    </w:p>
    <w:p>
      <w:pPr>
        <w:pStyle w:val="Compact"/>
        <w:numPr>
          <w:ilvl w:val="0"/>
          <w:numId w:val="1065"/>
        </w:numPr>
      </w:pPr>
      <w:r>
        <w:t xml:space="preserve">cantidad de trámites urgentes sin respuesta;</w:t>
      </w:r>
    </w:p>
    <w:p>
      <w:pPr>
        <w:pStyle w:val="Compact"/>
        <w:numPr>
          <w:ilvl w:val="0"/>
          <w:numId w:val="1065"/>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Applications/quarto/share/formats/docx/note.png" id="30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06"/>
    <w:bookmarkStart w:id="307"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66"/>
        </w:numPr>
      </w:pPr>
      <w:r>
        <w:t xml:space="preserve">información organizada;</w:t>
      </w:r>
    </w:p>
    <w:p>
      <w:pPr>
        <w:pStyle w:val="Compact"/>
        <w:numPr>
          <w:ilvl w:val="0"/>
          <w:numId w:val="1066"/>
        </w:numPr>
      </w:pPr>
      <w:r>
        <w:t xml:space="preserve">pregunta clara;</w:t>
      </w:r>
    </w:p>
    <w:p>
      <w:pPr>
        <w:pStyle w:val="Compact"/>
        <w:numPr>
          <w:ilvl w:val="0"/>
          <w:numId w:val="1066"/>
        </w:numPr>
      </w:pPr>
      <w:r>
        <w:t xml:space="preserve">resultado legible;</w:t>
      </w:r>
    </w:p>
    <w:p>
      <w:pPr>
        <w:pStyle w:val="Compact"/>
        <w:numPr>
          <w:ilvl w:val="0"/>
          <w:numId w:val="1066"/>
        </w:numPr>
      </w:pPr>
      <w:r>
        <w:t xml:space="preserve">interpretación de su relevancia.</w:t>
      </w:r>
    </w:p>
    <w:bookmarkEnd w:id="307"/>
    <w:bookmarkStart w:id="308"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67"/>
        </w:numPr>
      </w:pPr>
      <w:r>
        <w:t xml:space="preserve">¿qué quiero mostrar?;</w:t>
      </w:r>
    </w:p>
    <w:p>
      <w:pPr>
        <w:pStyle w:val="Compact"/>
        <w:numPr>
          <w:ilvl w:val="0"/>
          <w:numId w:val="1067"/>
        </w:numPr>
      </w:pPr>
      <w:r>
        <w:t xml:space="preserve">¿a quién necesito explicárselo?;</w:t>
      </w:r>
    </w:p>
    <w:p>
      <w:pPr>
        <w:pStyle w:val="Compact"/>
        <w:numPr>
          <w:ilvl w:val="0"/>
          <w:numId w:val="1067"/>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08"/>
    <w:bookmarkStart w:id="309"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09"/>
    <w:bookmarkStart w:id="311"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 En el aprendizaje inicial, esa diferencia también refuerza una intuición metodológica importante: no toda intervención sobre datos debe empezar modificándolos; muchas veces conviene primero saber interrogarlos bien.</w:t>
      </w:r>
    </w:p>
    <w:bookmarkStart w:id="310"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10"/>
    <w:bookmarkEnd w:id="311"/>
    <w:bookmarkStart w:id="312"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12"/>
    <w:bookmarkStart w:id="313"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68"/>
        </w:numPr>
      </w:pPr>
      <w:r>
        <w:t xml:space="preserve">una limpieza mínima de campos o categorías;</w:t>
      </w:r>
    </w:p>
    <w:p>
      <w:pPr>
        <w:pStyle w:val="Compact"/>
        <w:numPr>
          <w:ilvl w:val="0"/>
          <w:numId w:val="1068"/>
        </w:numPr>
      </w:pPr>
      <w:r>
        <w:t xml:space="preserve">un resultado resumido;</w:t>
      </w:r>
    </w:p>
    <w:p>
      <w:pPr>
        <w:pStyle w:val="Compact"/>
        <w:numPr>
          <w:ilvl w:val="0"/>
          <w:numId w:val="1068"/>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13"/>
    <w:bookmarkStart w:id="318"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Applications/quarto/share/formats/docx/tip.png" id="31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9"/>
              </w:numPr>
            </w:pPr>
            <w:r>
              <w:t xml:space="preserve">Un dato aislado rara vez explica algo por sí solo.</w:t>
            </w:r>
          </w:p>
          <w:p>
            <w:pPr>
              <w:pStyle w:val="Compact"/>
              <w:numPr>
                <w:ilvl w:val="0"/>
                <w:numId w:val="1069"/>
              </w:numPr>
            </w:pPr>
            <w:r>
              <w:t xml:space="preserve">Ordenar información es una forma de pensar el problema con mayor precisión.</w:t>
            </w:r>
          </w:p>
          <w:p>
            <w:pPr>
              <w:pStyle w:val="Compact"/>
              <w:numPr>
                <w:ilvl w:val="0"/>
                <w:numId w:val="1069"/>
              </w:numPr>
            </w:pPr>
            <w:r>
              <w:t xml:space="preserve">Los indicadores sirven cuando hacen visible algo accionable, no cuando solo acumulan números.</w:t>
            </w:r>
          </w:p>
          <w:p>
            <w:pPr>
              <w:pStyle w:val="Compact"/>
              <w:numPr>
                <w:ilvl w:val="0"/>
                <w:numId w:val="1069"/>
              </w:numPr>
            </w:pPr>
            <w:r>
              <w:t xml:space="preserve">Visualizar ayuda, pero no reemplaza el contexto ni la interpretación.</w:t>
            </w:r>
          </w:p>
          <w:p>
            <w:pPr>
              <w:pStyle w:val="Compact"/>
              <w:numPr>
                <w:ilvl w:val="0"/>
                <w:numId w:val="1069"/>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Applications/quarto/share/formats/docx/caution.png" id="31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18"/>
    <w:bookmarkEnd w:id="319"/>
    <w:bookmarkStart w:id="320" w:name="Xb55540e60b9464b51daf7ff5068e81d2e335396"/>
    <w:p>
      <w:pPr>
        <w:pStyle w:val="Ttulo1"/>
      </w:pPr>
      <w:r>
        <w:t xml:space="preserve">III. Web, nube y seguridad para el sector legal</w:t>
      </w:r>
    </w:p>
    <w:p>
      <w:pPr>
        <w:pStyle w:val="FirstParagraph"/>
      </w:pPr>
      <w:r>
        <w:t xml:space="preserve">Una parte considerable del trabajo jurídico contemporáneo ya no se produce, circula ni se archiva solamente en papel o en oficinas físicas. Se publica en páginas web, se envía por plataformas, se firma y notifica por medios electrónicos, se autentica mediante sistemas digitales, se almacena en infraestructuras distribuidas y se expone, por esa misma razón, a riesgos que hace apenas unos años podían parecer secundarios. Por eso este módulo aborda tres temas que suelen enseñarse por separado, pero que en la práctica conviene pensar juntos: la web, la nube y la seguridad. Los tres forman parte de una misma infraestructura de circulación de información jurídica.</w:t>
      </w:r>
    </w:p>
    <w:p>
      <w:pPr>
        <w:pStyle w:val="Textoindependiente"/>
      </w:pPr>
      <w:r>
        <w:t xml:space="preserve">La relación entre estas capas merece ser tomada en serio por un estudiante de Derecho. Publicar una página, usar un servicio en la nube o adoptar una casilla electrónica puede parecer un asunto de mera conveniencia técnica. Sin embargo, detrás de esas decisiones se juegan preguntas sobre acceso, integridad, autenticidad, trazabilidad, localización de datos, gestión del riesgo y responsabilidad institucional. El derecho digital no aparece solo cuando hay conflicto abierto; aparece también en la arquitectura cotidiana que hace posible el servicio, el trámite o la evidencia</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El marco normativo peruano ayuda a ver con claridad esa transformación. La Ley de Gobierno Digital establece una gobernanza transversal de identidad digital, servicios digitales, arquitectura digital, interoperabilidad, seguridad digital y datos en la administración pública</w:t>
      </w:r>
      <w:r>
        <w:t xml:space="preserve"> </w:t>
      </w:r>
      <w:r>
        <w:t xml:space="preserve">(</w:t>
      </w:r>
      <w:hyperlink w:anchor="ref-peru2018gobiernodigital">
        <w:r>
          <w:rPr>
            <w:rStyle w:val="Hipervnculo"/>
          </w:rPr>
          <w:t xml:space="preserve">Perú 2018</w:t>
        </w:r>
      </w:hyperlink>
      <w:r>
        <w:t xml:space="preserve">)</w:t>
      </w:r>
      <w:r>
        <w:t xml:space="preserve">. Su reglamento no se limita a repetir principios generales, sino que regula condiciones, requisitos y uso de tecnologías y medios electrónicos en el procedimiento administrativo, con referencia explícita a derechos fundamentales, casilla electrónica, servicios digitales e infraestructura de datos</w:t>
      </w:r>
      <w:r>
        <w:t xml:space="preserve"> </w:t>
      </w:r>
      <w:r>
        <w:t xml:space="preserve">(</w:t>
      </w:r>
      <w:hyperlink w:anchor="ref-pcm2021gobdigitalreglamento">
        <w:r>
          <w:rPr>
            <w:rStyle w:val="Hipervnculo"/>
          </w:rPr>
          <w:t xml:space="preserve">Presidencia del Consejo de Ministros 2021</w:t>
        </w:r>
      </w:hyperlink>
      <w:r>
        <w:t xml:space="preserve">)</w:t>
      </w:r>
      <w:r>
        <w:t xml:space="preserve">. Cuando estas normas se leen junto con el Sistema Nacional de Transformación Digital y la Política Nacional de Transformación Digital al 2030, se vuelve evidente que la digitalización jurídica no es un fenómeno lateral, sino una política pública articulada que afecta la forma misma en que el Estado se relaciona con ciudadanía, empresas y otras entidades</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Ese desplazamiento normativo tiene una consecuencia profesional inmediata. Ya no basta con saber que existe una mesa de partes virtual o una plataforma de firma digital. Hace falta comprender, al menos en lo esencial, cómo circula la información que esas plataformas transportan, qué significa publicar un contenido accesible desde internet, qué cambia cuando el almacenamiento y el procesamiento pasan a la nube y qué riesgos surgen cuando el entorno digital deja de ser un simple canal para convertirse en el soporte principal del servicio</w:t>
      </w:r>
      <w:r>
        <w:t xml:space="preserve"> </w:t>
      </w:r>
      <w:r>
        <w:t xml:space="preserve">(</w:t>
      </w:r>
      <w:hyperlink w:anchor="ref-pcm2021gobdigitalreglamento">
        <w:r>
          <w:rPr>
            <w:rStyle w:val="Hipervnculo"/>
          </w:rPr>
          <w:t xml:space="preserve">Presidencia del Consejo de Ministros 2021</w:t>
        </w:r>
      </w:hyperlink>
      <w:r>
        <w:t xml:space="preserve">;</w:t>
      </w:r>
      <w:r>
        <w:t xml:space="preserve"> </w:t>
      </w:r>
      <w:hyperlink w:anchor="ref-peru2020transformaciondigital">
        <w:r>
          <w:rPr>
            <w:rStyle w:val="Hipervnculo"/>
          </w:rPr>
          <w:t xml:space="preserve">Perú 2020</w:t>
        </w:r>
      </w:hyperlink>
      <w:r>
        <w:t xml:space="preserve">)</w:t>
      </w:r>
      <w:r>
        <w:t xml:space="preserve">.</w:t>
      </w:r>
    </w:p>
    <w:p>
      <w:pPr>
        <w:pStyle w:val="Textoindependiente"/>
      </w:pPr>
      <w:r>
        <w:t xml:space="preserve">La propia normativa peruana subraya que esta transformación no debería entenderse como suma dispersa de iniciativas. El Decreto de Urgencia 006-2020 concibe la transformación digital como un sistema nacional que articula gobierno digital, economía digital, conectividad, educación digital, servicios, ciudadanía, inclusión y confianza digital</w:t>
      </w:r>
      <w:r>
        <w:t xml:space="preserve"> </w:t>
      </w:r>
      <w:r>
        <w:t xml:space="preserve">(</w:t>
      </w:r>
      <w:hyperlink w:anchor="ref-peru2020transformaciondigital">
        <w:r>
          <w:rPr>
            <w:rStyle w:val="Hipervnculo"/>
          </w:rPr>
          <w:t xml:space="preserve">Perú 2020</w:t>
        </w:r>
      </w:hyperlink>
      <w:r>
        <w:t xml:space="preserve">)</w:t>
      </w:r>
      <w:r>
        <w:t xml:space="preserve">. Esa forma de organización importa mucho para este módulo. Significa que hablar de internet, nube y seguridad no es hablar de herramientas aisladas, sino de componentes que interactúan dentro de un mismo ecosistema. La web sirve para comunicar y prestar servicios; la nube sostiene parte de la infraestructura que vuelve escalables esos servicios; y la seguridad atraviesa ambos planos como condición de confianza y continuidad.</w:t>
      </w:r>
    </w:p>
    <w:p>
      <w:pPr>
        <w:pStyle w:val="Textoindependiente"/>
      </w:pPr>
      <w:r>
        <w:t xml:space="preserve">En el plano internacional, esta lógica dialoga con un proceso más amplio de convergencia. Las propias normas peruanas ubican la agenda digital en relación con recomendaciones de la OCDE y con la necesidad de un enfoque coherente e integrado para la digitalización de servicios, la interoperabilidad y el uso de habilitadores horizontales</w:t>
      </w:r>
      <w:r>
        <w:t xml:space="preserve"> </w:t>
      </w:r>
      <w:r>
        <w:t xml:space="preserve">(</w:t>
      </w:r>
      <w:hyperlink w:anchor="ref-pcm2018perudigital">
        <w:r>
          <w:rPr>
            <w:rStyle w:val="Hipervnculo"/>
          </w:rPr>
          <w:t xml:space="preserve">Presidencia del Consejo de Ministros 2018</w:t>
        </w:r>
      </w:hyperlink>
      <w:r>
        <w:t xml:space="preserve">;</w:t>
      </w:r>
      <w:r>
        <w:t xml:space="preserve"> </w:t>
      </w:r>
      <w:hyperlink w:anchor="ref-peru2018gobiernodigital">
        <w:r>
          <w:rPr>
            <w:rStyle w:val="Hipervnculo"/>
          </w:rPr>
          <w:t xml:space="preserve">Perú 2018</w:t>
        </w:r>
      </w:hyperlink>
      <w:r>
        <w:t xml:space="preserve">)</w:t>
      </w:r>
      <w:r>
        <w:t xml:space="preserve">. La referencia importa menos como gesto diplomático que como indicio de una realidad más amplia: la madurez digital de un Estado y de sus servicios depende de infraestructura, coordinación y estándares, no solo de voluntad de innovar. En Derecho, eso obliga a mirar la técnica como parte de la institucionalidad.</w:t>
      </w:r>
    </w:p>
    <w:p>
      <w:pPr>
        <w:pStyle w:val="Textoindependiente"/>
      </w:pPr>
      <w:r>
        <w:t xml:space="preserve">El módulo se abre justamente en ese punto de intersección entre infraestructura y práctica jurídica. Su interés no es convertir al estudiante en diseñador web, arquitecto cloud o especialista en ciberseguridad. Busca algo más razonable y más importante: que pueda leer con mayor inteligencia el entorno técnico sobre el que hoy descansan muchas relaciones jurídicas. Entender la web, por ejemplo, no significa aprender una estética de páginas, sino comprender una estructura básica de archivos, enlaces, recursos y navegación que hace visible información y la expone a públicos concretos. Entender la nube no significa dominar catálogos de proveedores, sino advertir que mover información a infraestructura ajena redistribuye control técnico sin borrar la responsabilidad jurídica sobre datos y servicios. Entender la seguridad no significa memorizar amenazas de moda, sino reconocer que autenticación, cifrado, monitoreo, gestión de incidentes y cultura de precaución son parte del funcionamiento normal de entornos jurídicos digitalizados.</w:t>
      </w:r>
    </w:p>
    <w:p>
      <w:pPr>
        <w:pStyle w:val="Textoindependiente"/>
      </w:pPr>
      <w:r>
        <w:t xml:space="preserve">Desde el punto de vista del régimen peruano, esta lectura está bien sostenida. El Reglamento de la Ley de Gobierno Digital incluye reglas sobre gobernanza y gestión de datos, plataformas transversales, firma digital, infraestructura tecnológica como servicio y seguridad digital como parte del marco de confianza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La Política Nacional de Transformación Digital al 2030, por su parte, formula la transformación digital como política orientada al pleno goce y ejercicio de derechos en medios digitales, así como a la mejora de la gestión pública mediante eficiencia, transparencia e inclusión</w:t>
      </w:r>
      <w:r>
        <w:t xml:space="preserve"> </w:t>
      </w:r>
      <w:r>
        <w:t xml:space="preserve">(</w:t>
      </w:r>
      <w:hyperlink w:anchor="ref-pcm2023pntd2030">
        <w:r>
          <w:rPr>
            <w:rStyle w:val="Hipervnculo"/>
          </w:rPr>
          <w:t xml:space="preserve">Presidencia del Consejo de Ministros 2023</w:t>
        </w:r>
      </w:hyperlink>
      <w:r>
        <w:t xml:space="preserve">)</w:t>
      </w:r>
      <w:r>
        <w:t xml:space="preserve">. Leída así, la infraestructura deja de ser un detalle técnico y se vuelve una cuestión jurídicamente relevante: es parte del modo en que el Estado organiza acceso, autenticidad, trazabilidad y confianza.</w:t>
      </w:r>
    </w:p>
    <w:p>
      <w:pPr>
        <w:pStyle w:val="Textoindependiente"/>
      </w:pPr>
      <w:r>
        <w:t xml:space="preserve">En ese contexto, el capítulo 7, “El internet y la nube”, cumple una función de apertura decisiva. No se propone agotar la historia de internet ni convertir al lector en desarrollador web. Su tarea es más sobria: mostrar por qué la web importa para el sector legal y qué significa construir una presencia digital mínima y funcional. Ahí aparecerán HTML, CSS y publicación sencilla, no como fines en sí mismos, sino como lenguaje básico para entender cómo se estructura una página, cómo se expone un contenido y cómo un repositorio puede convertirse en sitio visible</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Ese capítulo tiene además un valor metodológico más profundo. Publicar una página con GitHub Pages no es solo un ejercicio técnico; también enseña a vincular archivo, versión, despliegue y trazabilidad. La publicación deja de ser un acto opaco y se vuelve una secuencia visible de cambios. Para un manual de Legal Tech, esa pedagogía importa mucho porque muestra que la infraestructura digital puede ser leída como procedimiento: hay insumos, transformaciones, salida pública y posibilidad de revisar el historial</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La nube entra en ese mismo capítulo no como una moda empresarial, sino como una reorganización del lugar donde viven los servicios y los datos. Aunque el curso no se detendrá en arquitectura avanzada, sí conviene que el estudiante entienda la intuición central: usar nube no elimina responsabilidades, sino que redistribuye operación, acceso, localización y dependencia de terceros. El reglamento peruano incluso prevé el uso preferente de infraestructura o plataformas como servicio en ciertas condiciones y desarrolla una lógica de recursos compartidos y escalables para servicios digitales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Esa disposición muestra que la nube no es una simple comodidad técnica, sino una decisión de política e infraestructura con consecuencias institucionales.</w:t>
      </w:r>
    </w:p>
    <w:p>
      <w:pPr>
        <w:pStyle w:val="Textoindependiente"/>
      </w:pPr>
      <w:r>
        <w:t xml:space="preserve">El capítulo 8, “Ciberseguridad”, da el paso siguiente y más delicado. Una vez que la información jurídica circula por páginas, plataformas, cuentas, servicios y repositorios, el problema deja de ser únicamente cómo publicar o almacenar y pasa a ser también cómo proteger. Aquí conviene evitar dos simplificaciones frecuentes. La primera es pensar la seguridad como asunto exclusivo de especialistas técnicos. La segunda es reducirla a una lista de ataques llamativos. En realidad, la seguridad digital en contextos jurídicos combina autenticación, cifrado, control de accesos, visibilidad de incidentes, recuperación y cultura organizacional</w:t>
      </w:r>
      <w:r>
        <w:t xml:space="preserve"> </w:t>
      </w:r>
      <w:r>
        <w:t xml:space="preserve">(</w:t>
      </w:r>
      <w:hyperlink w:anchor="ref-github2fa2026">
        <w:r>
          <w:rPr>
            <w:rStyle w:val="Hipervnculo"/>
          </w:rPr>
          <w:t xml:space="preserve">GitHub Docs 2026b</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Las notas atómicas del repositorio ayudan a reforzar esa idea desde varios ángulos. El acceso a internet puede funcionar como condición habilitante para el ejercicio de otros derechos; el cifrado protege privacidad y otros bienes, pero también tensiona ciertos intereses de seguridad pública; y la nube amplía la superficie de riesgo al mismo tiempo que vuelve posible una mayor escalabilidad [fuentes de</w:t>
      </w:r>
      <w:r>
        <w:t xml:space="preserve"> </w:t>
      </w:r>
      <w:r>
        <w:rPr>
          <w:rStyle w:val="VerbatimChar"/>
        </w:rPr>
        <w:t xml:space="preserve">+/z</w:t>
      </w:r>
      <w:r>
        <w:t xml:space="preserve"> </w:t>
      </w:r>
      <w:r>
        <w:t xml:space="preserve">usadas conceptualmente]. Aunque el capítulo no abordará cada una de esas discusiones en detalle, sí las deja insinuadas como horizonte: la seguridad no es una simple barrera técnica, sino un punto de cruce entre derechos, servicios y confianza institucional.</w:t>
      </w:r>
    </w:p>
    <w:p>
      <w:pPr>
        <w:pStyle w:val="Textoindependiente"/>
      </w:pPr>
      <w:r>
        <w:t xml:space="preserve">Esto es especialmente importante para la práctica jurídica. Un estudio, una entidad pública, una fiscalía o un registro no necesitan sufrir un gran ataque sofisticado para comprometerse seriamente. A veces basta una contraseña mal gestionada, una cuenta sin segundo factor, una mala configuración de permisos, una publicación accidental o una falta de criterio al compartir documentos sensibles. La seguridad, en ese sentido, no empieza cuando ocurre el incidente, sino cuando se diseña la rutina. El uso de autenticación de dos factores, la preparación de métodos de recuperación y la distinción entre publicar y exponer son parte de esa higiene mínima</w:t>
      </w:r>
      <w:r>
        <w:t xml:space="preserve"> </w:t>
      </w:r>
      <w:r>
        <w:t xml:space="preserve">(</w:t>
      </w:r>
      <w:hyperlink w:anchor="ref-github2fa2026">
        <w:r>
          <w:rPr>
            <w:rStyle w:val="Hipervnculo"/>
          </w:rPr>
          <w:t xml:space="preserve">GitHub Docs 2026b</w:t>
        </w:r>
      </w:hyperlink>
      <w:r>
        <w:t xml:space="preserve">)</w:t>
      </w:r>
      <w:r>
        <w:t xml:space="preserve">.</w:t>
      </w:r>
    </w:p>
    <w:p>
      <w:pPr>
        <w:pStyle w:val="Textoindependiente"/>
      </w:pPr>
      <w:r>
        <w:t xml:space="preserve">La relación con la práctica jurídica es todavía más clara si se piensa en términos de deber profesional. El abogado trabaja con información potencialmente sensible, con identidades, con documentos que pueden ser probatorios, con comunicaciones estratégicas y con servicios cuyo mal funcionamiento puede afectar a terceros. En un entorno así, comprender la infraestructura técnica no es un añadido ornamental. Es parte del estándar mínimo de diligencia. Puede que el jurista no administre directamente un servidor ni configure una red, pero sí necesita entender suficiente para formular buenas preguntas, detectar riesgos básicos y no tratar la tecnología como una caja negra siempre ajena a su responsabilidad</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Mirado en conjunto, el módulo prepara una transición importante dentro del curso. El primero enseñó a pensar en instrucciones. El segundo enseñó a mirar procesos y datos como objetos estructurables. Este tercero enseña a situar esa información en infraestructuras reales de publicación, almacenamiento y exposición. Sin esa capa, el cuarto módulo sobre inteligencia artificial correría el riesgo de discutirse en abstracto, como si los modelos y las respuestas existieran fuera de plataformas, cuentas, servicios y reglas de seguridad. Con esta base, en cambio, será posible leer la IA no solo por sus salidas, sino también por la infraestructura que la sostiene y los riesgos que la acompañan.</w:t>
      </w:r>
    </w:p>
    <w:p>
      <w:pPr>
        <w:pStyle w:val="Textoindependiente"/>
      </w:pPr>
      <w:r>
        <w:t xml:space="preserve">La idea que conviene retener al entrar en este tramo es simple: publicar no es solo subir archivos; almacenar no es solo “guardar en la nube”; y proteger no es solo reaccionar ante ataques. Cada una de esas acciones reorganiza deberes, expectativas y riesgos. Este módulo sirve como introducción sobria a esa reorganización. Lo hace mostrando el tema general, el marco normativo peruano más cercano y el tipo de trabajo que se desarrollará en los dos capítulos, sin agotarlo todavía. Precisamente por eso su función es decisiva: dar al estudiante un lenguaje inicial para leer la infraestructura digital del Derecho sin ingenuidad, pero también sin dramatismo innecesario.</w:t>
      </w:r>
    </w:p>
    <w:bookmarkEnd w:id="320"/>
    <w:bookmarkStart w:id="426" w:name="X25b273948c149a6d4749fefc8ca541468b3630c"/>
    <w:p>
      <w:pPr>
        <w:pStyle w:val="Ttulo1"/>
      </w:pPr>
      <w:r>
        <w:t xml:space="preserve">7. HTML, CSS y JavaScript para una presencia web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Applications/quarto/share/formats/docx/note.png" id="32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toma una idea central del módulo y la vuelve práctica: no basta con navegar la web; conviene entender cómo se construye una página sencilla. A través de una breve historia material de internet, de una explicación básica sobre servidores y nube, y de ejercicios progresivos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el objetivo es aprender a distinguir infraestructura, estructura, apariencia e interacción, y advertir por qué una presencia digital básica también forma parte de la alfabetización profesional del jurista.</w:t>
            </w:r>
          </w:p>
          <w:p/>
        </w:tc>
      </w:tr>
    </w:tbl>
    <w:bookmarkStart w:id="323" w:name="Xeac1dd61f15f1b641161a4c36421d3d6ca0c5b3"/>
    <w:p>
      <w:pPr>
        <w:pStyle w:val="Ttulo2"/>
      </w:pPr>
      <w:r>
        <w:t xml:space="preserve">Internet también tiene una historia material</w:t>
      </w:r>
    </w:p>
    <w:p>
      <w:pPr>
        <w:pStyle w:val="FirstParagraph"/>
      </w:pPr>
      <w:r>
        <w:t xml:space="preserve">Con frecuencia hablamos de internet como si fuera una nube abstracta suspendida en ninguna parte. Pero la red tiene una materialidad mucho más concreta. Durante décadas, la conexión global ha dependido sobre todo de grandes cables submarinos y terrestres que rodean el mundo, enlazan continentes y transportan volúmenes inmensos de información entre ciudades, centros de datos y proveedores. Cuando alguien abre una página, envía un correo o consulta un expediente en línea, buena parte de ese recorrido suele pasar por infraestructura física tendida bajo el océano o enterrada en tierra firme.</w:t>
      </w:r>
    </w:p>
    <w:p>
      <w:pPr>
        <w:pStyle w:val="Textoindependiente"/>
      </w:pPr>
      <w:r>
        <w:t xml:space="preserve">Esa historia no se ha detenido. En los últimos años se ha vuelto más visible otra capa complementaria: el internet satelital. No reemplaza por completo a los cables, pero sí amplía cobertura en zonas difíciles, remotas o menos atendidas por redes terrestres. Por eso conviene mirar el presente con algo de precisión: internet sigue descansando sobre cables de enorme importancia estratégica, pero al mismo tiempo incorpora más conectividad apoyada en satélites. La red, en otras palabras, no es un solo sistema homogéneo, sino una combinación de infraestructuras que transportan información de maneras distintas.</w:t>
      </w:r>
    </w:p>
    <w:bookmarkEnd w:id="323"/>
    <w:bookmarkStart w:id="324" w:name="Xea25b54396ad4b393b6377106afc6ea04da52c9"/>
    <w:p>
      <w:pPr>
        <w:pStyle w:val="Ttulo2"/>
      </w:pPr>
      <w:r>
        <w:t xml:space="preserve">Compartir información, archivos y servicios</w:t>
      </w:r>
    </w:p>
    <w:p>
      <w:pPr>
        <w:pStyle w:val="FirstParagraph"/>
      </w:pPr>
      <w:r>
        <w:t xml:space="preserve">En su forma más básica, internet consiste en permitir que computadoras distintas compartan información a distancia. A veces esa información viaja como mensajes, a veces como video, a veces como bases de datos, y muchas veces como archivos. La web es una de las formas más visibles de ese intercambio: una computadora solicita un recurso y otra responde entregando contenido. En páginas sencillas, ese contenido suele empezar por un archivo</w:t>
      </w:r>
      <w:r>
        <w:t xml:space="preserve"> </w:t>
      </w:r>
      <w:r>
        <w:rPr>
          <w:rStyle w:val="VerbatimChar"/>
        </w:rPr>
        <w:t xml:space="preserve">HTML</w:t>
      </w:r>
      <w:r>
        <w:t xml:space="preserve">, al que luego pueden sumarse hojas de estilo</w:t>
      </w:r>
      <w:r>
        <w:t xml:space="preserve"> </w:t>
      </w:r>
      <w:r>
        <w:rPr>
          <w:rStyle w:val="VerbatimChar"/>
        </w:rPr>
        <w:t xml:space="preserve">CSS</w:t>
      </w:r>
      <w:r>
        <w:t xml:space="preserve">, scripts</w:t>
      </w:r>
      <w:r>
        <w:t xml:space="preserve"> </w:t>
      </w:r>
      <w:r>
        <w:rPr>
          <w:rStyle w:val="VerbatimChar"/>
        </w:rPr>
        <w:t xml:space="preserve">JavaScript</w:t>
      </w:r>
      <w:r>
        <w:t xml:space="preserve">, imágenes y otros recursos</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Textoindependiente"/>
      </w:pPr>
      <w:r>
        <w:t xml:space="preserve">Ese detalle importa porque devuelve la web a algo muy concreto. Cuando visitas un sitio, no estás entrando en un espacio mágico. Estás pidiendo archivos y recibiendo archivos. El navegador toma ese material, lo interpreta y lo convierte en una página legible. Por eso aprender</w:t>
      </w:r>
      <w:r>
        <w:t xml:space="preserve"> </w:t>
      </w:r>
      <w:r>
        <w:rPr>
          <w:rStyle w:val="VerbatimChar"/>
        </w:rPr>
        <w:t xml:space="preserve">HTML</w:t>
      </w:r>
      <w:r>
        <w:t xml:space="preserve"> </w:t>
      </w:r>
      <w:r>
        <w:t xml:space="preserve">no es solo aprender una sintaxis: es entender la forma más básica en que la web comparte contenido.</w:t>
      </w:r>
    </w:p>
    <w:bookmarkEnd w:id="324"/>
    <w:bookmarkStart w:id="325" w:name="servidores-cloud-y-presencia-en-línea"/>
    <w:p>
      <w:pPr>
        <w:pStyle w:val="Ttulo2"/>
      </w:pPr>
      <w:r>
        <w:t xml:space="preserve">Servidores, cloud y presencia en línea</w:t>
      </w:r>
    </w:p>
    <w:p>
      <w:pPr>
        <w:pStyle w:val="FirstParagraph"/>
      </w:pPr>
      <w:r>
        <w:t xml:space="preserve">Para que esos archivos puedan entregarse a otras personas, alguien debe alojarlos y servirlos. Allí aparece el rol del</w:t>
      </w:r>
      <w:r>
        <w:t xml:space="preserve"> </w:t>
      </w:r>
      <w:r>
        <w:rPr>
          <w:b/>
          <w:bCs/>
        </w:rPr>
        <w:t xml:space="preserve">servidor</w:t>
      </w:r>
      <w:r>
        <w:t xml:space="preserve">: una máquina o servicio preparado para responder solicitudes y entregar contenido cuando un navegador lo pide. Si tu archivo</w:t>
      </w:r>
      <w:r>
        <w:t xml:space="preserve"> </w:t>
      </w:r>
      <w:r>
        <w:rPr>
          <w:rStyle w:val="VerbatimChar"/>
        </w:rPr>
        <w:t xml:space="preserve">index.html</w:t>
      </w:r>
      <w:r>
        <w:t xml:space="preserve"> </w:t>
      </w:r>
      <w:r>
        <w:t xml:space="preserve">está solo en tu laptop, existe como archivo local. Si ese mismo archivo se aloja en un servidor accesible por internet, puede convertirse en una página pública.</w:t>
      </w:r>
    </w:p>
    <w:p>
      <w:pPr>
        <w:pStyle w:val="Textoindependiente"/>
      </w:pPr>
      <w:r>
        <w:t xml:space="preserve">La</w:t>
      </w:r>
      <w:r>
        <w:t xml:space="preserve"> </w:t>
      </w:r>
      <w:r>
        <w:rPr>
          <w:b/>
          <w:bCs/>
        </w:rPr>
        <w:t xml:space="preserve">nube</w:t>
      </w:r>
      <w:r>
        <w:t xml:space="preserve"> </w:t>
      </w:r>
      <w:r>
        <w:t xml:space="preserve">o</w:t>
      </w:r>
      <w:r>
        <w:t xml:space="preserve"> </w:t>
      </w:r>
      <w:r>
        <w:rPr>
          <w:i/>
          <w:iCs/>
        </w:rPr>
        <w:t xml:space="preserve">cloud</w:t>
      </w:r>
      <w:r>
        <w:t xml:space="preserve"> </w:t>
      </w:r>
      <w:r>
        <w:t xml:space="preserve">no elimina esta lógica; la reorganiza. En lugar de depender siempre de una sola máquina identificable y gestionada por una organización concreta, muchos servicios cloud permiten alojar archivos, aplicaciones y datos en infraestructura remota más flexible, distribuida y escalable. Eso desplaza parte del control técnico, pero no elimina las responsabilidades sobre acceso, seguridad y tratamiento de la información</w:t>
      </w:r>
      <w:r>
        <w:t xml:space="preserve"> </w:t>
      </w:r>
      <w:r>
        <w:t xml:space="preserve">(</w:t>
      </w:r>
      <w:hyperlink w:anchor="ref-pcm2021gobdigitalreglamento">
        <w:r>
          <w:rPr>
            <w:rStyle w:val="Hipervnculo"/>
          </w:rPr>
          <w:t xml:space="preserve">Presidencia del Consejo de Ministros 2021</w:t>
        </w:r>
      </w:hyperlink>
      <w:r>
        <w:t xml:space="preserve">)</w:t>
      </w:r>
      <w:r>
        <w:t xml:space="preserve">. En términos pedagógicos, basta con retener una idea: cuando subes una página a GitHub Pages o a otro servicio similar, sigues publicando archivos desde servidores reales, aunque la infraestructura se te presente como servicio en la nube.</w:t>
      </w:r>
    </w:p>
    <w:bookmarkEnd w:id="325"/>
    <w:bookmarkStart w:id="326" w:name="la-web-también-se-escribe"/>
    <w:p>
      <w:pPr>
        <w:pStyle w:val="Ttulo2"/>
      </w:pPr>
      <w:r>
        <w:t xml:space="preserve">La web también se escribe</w:t>
      </w:r>
    </w:p>
    <w:p>
      <w:pPr>
        <w:pStyle w:val="FirstParagraph"/>
      </w:pPr>
      <w:r>
        <w:t xml:space="preserve">Una parte importante del trabajo jurídico contemporáneo ya circula por interfaces que otras personas diseñaron: formularios, portales, sitios institucionales, páginas de estudios, servicios de consulta y repositorios públicos. Mientras esos entornos solo se usan como consumidor, parecen una superficie ya dada. Pero cuando se observa cómo están hechos, aparece otra intuición: una página web no es un espacio abstracto, sino una combinación de archivos, etiquetas, estilos y pequeñas reglas de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Textoindependiente"/>
      </w:pPr>
      <w:r>
        <w:t xml:space="preserve">Ese cambio de mirada importa en una facultad de Derecho por una razón sencilla. Entender lo mínimo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no busca formar desarrolladores frontend, sino volver menos opaca la infraestructura más cotidiana de publicación digital. Una página personal, una ficha profesional, un formulario o una pequeña interfaz informativa pueden bastar para mostrar cómo se organiza contenido, cómo se presenta y cómo reacciona ante quien la usa.</w:t>
      </w:r>
    </w:p>
    <w:bookmarkEnd w:id="326"/>
    <w:bookmarkStart w:id="327" w:name="estructura-apariencia-e-interacción"/>
    <w:p>
      <w:pPr>
        <w:pStyle w:val="Ttulo2"/>
      </w:pPr>
      <w:r>
        <w:t xml:space="preserve">Estructura, apariencia e interacción</w:t>
      </w:r>
    </w:p>
    <w:p>
      <w:pPr>
        <w:pStyle w:val="FirstParagraph"/>
      </w:pPr>
      <w:r>
        <w:t xml:space="preserve">La separación entre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conviene entenderla desde el principio porque ordena todo el capítulo:</w:t>
      </w:r>
    </w:p>
    <w:p>
      <w:pPr>
        <w:pStyle w:val="Compact"/>
        <w:numPr>
          <w:ilvl w:val="0"/>
          <w:numId w:val="1070"/>
        </w:numPr>
      </w:pPr>
      <w:r>
        <w:rPr>
          <w:rStyle w:val="VerbatimChar"/>
        </w:rPr>
        <w:t xml:space="preserve">HTML</w:t>
      </w:r>
      <w:r>
        <w:t xml:space="preserve"> </w:t>
      </w:r>
      <w:r>
        <w:t xml:space="preserve">define la estructura del contenido;</w:t>
      </w:r>
    </w:p>
    <w:p>
      <w:pPr>
        <w:pStyle w:val="Compact"/>
        <w:numPr>
          <w:ilvl w:val="0"/>
          <w:numId w:val="1070"/>
        </w:numPr>
      </w:pPr>
      <w:r>
        <w:rPr>
          <w:rStyle w:val="VerbatimChar"/>
        </w:rPr>
        <w:t xml:space="preserve">CSS</w:t>
      </w:r>
      <w:r>
        <w:t xml:space="preserve"> </w:t>
      </w:r>
      <w:r>
        <w:t xml:space="preserve">controla la apariencia visual;</w:t>
      </w:r>
    </w:p>
    <w:p>
      <w:pPr>
        <w:pStyle w:val="Compact"/>
        <w:numPr>
          <w:ilvl w:val="0"/>
          <w:numId w:val="1070"/>
        </w:numPr>
      </w:pPr>
      <w:r>
        <w:rPr>
          <w:rStyle w:val="VerbatimChar"/>
        </w:rPr>
        <w:t xml:space="preserve">JavaScript</w:t>
      </w:r>
      <w:r>
        <w:t xml:space="preserve"> </w:t>
      </w:r>
      <w:r>
        <w:t xml:space="preserve">agrega comportamiento e interacción.</w:t>
      </w:r>
    </w:p>
    <w:p>
      <w:pPr>
        <w:pStyle w:val="FirstParagraph"/>
      </w:pPr>
      <w:r>
        <w:t xml:space="preserve">La utilidad pedagógica de esta división es inmediata. Obliga a no mezclar funciones. Si una página no se entiende, suele haber un problema de estructura. Si se entiende pero se ve mal, el problema suele ser visual. Si se ve bien pero no responde a la acción del usuario, el problema está en el comportamiento. Esa separación ayuda a pensar con más claridad también cuando después se usan herramientas más complejas. Desde el punto de vista técnico, además, conviene recordar una idea básica:</w:t>
      </w:r>
      <w:r>
        <w:t xml:space="preserve"> </w:t>
      </w:r>
      <w:r>
        <w:rPr>
          <w:rStyle w:val="VerbatimChar"/>
        </w:rPr>
        <w:t xml:space="preserve">HTML</w:t>
      </w:r>
      <w:r>
        <w:t xml:space="preserve"> </w:t>
      </w:r>
      <w:r>
        <w:t xml:space="preserve">organiza la estructura antes que la apariencia, y separar esa estructura de la capa visual facilita mantenimiento y revisión posterior</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bookmarkEnd w:id="327"/>
    <w:bookmarkStart w:id="331" w:name="antes-de-entrar-al-código"/>
    <w:p>
      <w:pPr>
        <w:pStyle w:val="Ttulo2"/>
      </w:pPr>
      <w:r>
        <w:t xml:space="preserve">Antes de entrar al código</w:t>
      </w:r>
    </w:p>
    <w:p>
      <w:pPr>
        <w:pStyle w:val="FirstParagraph"/>
      </w:pPr>
      <w:r>
        <w:t xml:space="preserve">Antes de empezar con los ejercicios conviene ordenar bien la expectativa. Este capítulo no presupone experiencia previa en desarrollo web. La idea no es que memorices todas las etiquetas o propiedades, sino que entiendas una secuencia simple y repetible: escribir un archivo, guardarlo, abrirlo en el navegador, observar qué cambió y volver al editor para ajustar una parte pequeña. Aprender web al inicio consiste sobre todo en acortar esa distancia entre lo que escribes y lo que ves.</w:t>
      </w:r>
    </w:p>
    <w:p>
      <w:pPr>
        <w:pStyle w:val="Textoindependiente"/>
      </w:pPr>
      <w:r>
        <w:t xml:space="preserve">También conviene trabajar con una lógica acumulativa. Primero verás</w:t>
      </w:r>
      <w:r>
        <w:t xml:space="preserve"> </w:t>
      </w:r>
      <w:r>
        <w:rPr>
          <w:rStyle w:val="VerbatimChar"/>
        </w:rPr>
        <w:t xml:space="preserve">HTML</w:t>
      </w:r>
      <w:r>
        <w:t xml:space="preserve">, porque sin estructura no hay página. Luego aparecerá</w:t>
      </w:r>
      <w:r>
        <w:t xml:space="preserve"> </w:t>
      </w:r>
      <w:r>
        <w:rPr>
          <w:rStyle w:val="VerbatimChar"/>
        </w:rPr>
        <w:t xml:space="preserve">CSS</w:t>
      </w:r>
      <w:r>
        <w:t xml:space="preserve">, porque una estructura sin estilo sigue siendo difícil de leer. Después entrará</w:t>
      </w:r>
      <w:r>
        <w:t xml:space="preserve"> </w:t>
      </w:r>
      <w:r>
        <w:rPr>
          <w:rStyle w:val="VerbatimChar"/>
        </w:rPr>
        <w:t xml:space="preserve">JavaScript</w:t>
      </w:r>
      <w:r>
        <w:t xml:space="preserve">, porque una página bien escrita y bien presentada todavía puede ser completamente estática. Si mantienes clara esa progresión, los ejercicios dejan de sentirse como piezas sueltas y empiezan a formar un recorrido comprensible.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Applications/quarto/share/formats/docx/important.png" id="32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esta sesión basta con una carpeta simple y un navegador. Lo más cómodo es usar una estructura como esta:</w:t>
            </w:r>
          </w:p>
          <w:p>
            <w:pPr>
              <w:pStyle w:val="Compact"/>
              <w:numPr>
                <w:ilvl w:val="0"/>
                <w:numId w:val="1071"/>
              </w:numPr>
            </w:pPr>
            <w:r>
              <w:rPr>
                <w:rStyle w:val="VerbatimChar"/>
              </w:rPr>
              <w:t xml:space="preserve">index.html</w:t>
            </w:r>
            <w:r>
              <w:t xml:space="preserve"> </w:t>
            </w:r>
            <w:r>
              <w:t xml:space="preserve">para el archivo principal;</w:t>
            </w:r>
          </w:p>
          <w:p>
            <w:pPr>
              <w:pStyle w:val="Compact"/>
              <w:numPr>
                <w:ilvl w:val="0"/>
                <w:numId w:val="1071"/>
              </w:numPr>
            </w:pPr>
            <w:r>
              <w:rPr>
                <w:rStyle w:val="VerbatimChar"/>
              </w:rPr>
              <w:t xml:space="preserve">style.css</w:t>
            </w:r>
            <w:r>
              <w:t xml:space="preserve"> </w:t>
            </w:r>
            <w:r>
              <w:t xml:space="preserve">cuando quieras separar estilos;</w:t>
            </w:r>
          </w:p>
          <w:p>
            <w:pPr>
              <w:pStyle w:val="Compact"/>
              <w:numPr>
                <w:ilvl w:val="0"/>
                <w:numId w:val="1071"/>
              </w:numPr>
            </w:pPr>
            <w:r>
              <w:rPr>
                <w:rStyle w:val="VerbatimChar"/>
              </w:rPr>
              <w:t xml:space="preserve">script.js</w:t>
            </w:r>
            <w:r>
              <w:t xml:space="preserve"> </w:t>
            </w:r>
            <w:r>
              <w:t xml:space="preserve">cuando quieras mover el comportamiento fuera del HTML.</w:t>
            </w:r>
          </w:p>
          <w:p>
            <w:pPr>
              <w:pStyle w:val="FirstParagraph"/>
            </w:pPr>
            <w:r>
              <w:t xml:space="preserve">Una forma especialmente cómoda de hacer esto es trabajar los archivos en</w:t>
            </w:r>
            <w:r>
              <w:t xml:space="preserve"> </w:t>
            </w:r>
            <w:r>
              <w:rPr>
                <w:b/>
                <w:bCs/>
              </w:rPr>
              <w:t xml:space="preserve">Visual Studio Code</w:t>
            </w:r>
            <w:r>
              <w:t xml:space="preserve">, porque te permite abrir la carpeta completa, editar</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en el mismo espacio y luego abrir o recargar el resultado en el navegador. Si todavía no tienes ese entorno listo, conviene revisar el tutorial</w:t>
            </w:r>
            <w:r>
              <w:t xml:space="preserve"> </w:t>
            </w:r>
            <w:hyperlink r:id="rId330">
              <w:r>
                <w:rPr>
                  <w:rStyle w:val="Hipervnculo"/>
                </w:rPr>
                <w:t xml:space="preserve">Visual Studio Code</w:t>
              </w:r>
            </w:hyperlink>
            <w:r>
              <w:t xml:space="preserve">.</w:t>
            </w:r>
          </w:p>
          <w:p>
            <w:pPr>
              <w:pStyle w:val="Textoindependiente"/>
            </w:pPr>
            <w:r>
              <w:t xml:space="preserve">Cada ejercicio de este capítulo puede abrirse directamente en el navegador. La recomendación práctica es avanzar en orden, modificar una o dos líneas y recargar la página después de cada cambio. Si algo no cambia en pantalla, conviene revisar tres cosas antes de seguir: si el archivo quedó guardado, si abriste el archivo correcto y si el navegador recargó la versión más reciente.</w:t>
            </w:r>
          </w:p>
          <w:p>
            <w:pPr>
              <w:pStyle w:val="Textoindependiente"/>
            </w:pPr>
            <w:r>
              <w:t xml:space="preserve">Una rutina útil para toda la sesión puede resumirse así:</w:t>
            </w:r>
          </w:p>
          <w:p>
            <w:pPr>
              <w:pStyle w:val="Compact"/>
              <w:numPr>
                <w:ilvl w:val="0"/>
                <w:numId w:val="1072"/>
              </w:numPr>
            </w:pPr>
            <w:r>
              <w:t xml:space="preserve">crear o abrir un archivo;</w:t>
            </w:r>
          </w:p>
          <w:p>
            <w:pPr>
              <w:pStyle w:val="Compact"/>
              <w:numPr>
                <w:ilvl w:val="0"/>
                <w:numId w:val="1072"/>
              </w:numPr>
            </w:pPr>
            <w:r>
              <w:t xml:space="preserve">copiar un ejemplo corto;</w:t>
            </w:r>
          </w:p>
          <w:p>
            <w:pPr>
              <w:pStyle w:val="Compact"/>
              <w:numPr>
                <w:ilvl w:val="0"/>
                <w:numId w:val="1072"/>
              </w:numPr>
            </w:pPr>
            <w:r>
              <w:t xml:space="preserve">guardar;</w:t>
            </w:r>
          </w:p>
          <w:p>
            <w:pPr>
              <w:pStyle w:val="Compact"/>
              <w:numPr>
                <w:ilvl w:val="0"/>
                <w:numId w:val="1072"/>
              </w:numPr>
            </w:pPr>
            <w:r>
              <w:t xml:space="preserve">abrir o recargar en el navegador;</w:t>
            </w:r>
          </w:p>
          <w:p>
            <w:pPr>
              <w:pStyle w:val="Compact"/>
              <w:numPr>
                <w:ilvl w:val="0"/>
                <w:numId w:val="1072"/>
              </w:numPr>
            </w:pPr>
            <w:r>
              <w:t xml:space="preserve">observar el resultado;</w:t>
            </w:r>
          </w:p>
          <w:p>
            <w:pPr>
              <w:pStyle w:val="Compact"/>
              <w:numPr>
                <w:ilvl w:val="0"/>
                <w:numId w:val="1072"/>
              </w:numPr>
            </w:pPr>
            <w:r>
              <w:t xml:space="preserve">volver al editor y cambiar un detalle pequeño.</w:t>
            </w:r>
          </w:p>
          <w:p>
            <w:pPr>
              <w:pStyle w:val="FirstParagraph"/>
            </w:pPr>
            <w:pPr>
              <w:spacing w:after="16"/>
            </w:pPr>
            <w:r>
              <w:t xml:space="preserve">Esa disciplina evita un problema muy frecuente: copiar mucho código sin llegar a entender qué parte produjo qué efecto visible.</w:t>
            </w:r>
          </w:p>
          <w:p/>
        </w:tc>
      </w:tr>
    </w:tbl>
    <w:bookmarkEnd w:id="331"/>
    <w:bookmarkStart w:id="357" w:name="html-dar-forma-al-contenido"/>
    <w:p>
      <w:pPr>
        <w:pStyle w:val="Ttulo2"/>
      </w:pPr>
      <w:r>
        <w:t xml:space="preserve">HTML: dar forma al contenido</w:t>
      </w:r>
    </w:p>
    <w:bookmarkStart w:id="332" w:name="X0d4d8404a7c0033ff6b95b6f1d1a3d6ceed058b"/>
    <w:p>
      <w:pPr>
        <w:pStyle w:val="Ttulo3"/>
      </w:pPr>
      <w:r>
        <w:t xml:space="preserve">Ejercicio 1. La primera página: título y párrafo</w:t>
      </w:r>
    </w:p>
    <w:p>
      <w:pPr>
        <w:pStyle w:val="FirstParagraph"/>
      </w:pPr>
      <w:r>
        <w:t xml:space="preserve">El punto de partida más sobrio consiste en ver que una página ya existe cuando tiene una estructura mínima reconocible. Este primer archivo no hace mucho, pero enseña algo decisivo: todo lo visible en pantalla nace de etiquetas que indican qué tipo de contenido hay en cada lugar</w:t>
      </w:r>
      <w:r>
        <w:t xml:space="preserve"> </w:t>
      </w:r>
      <w:r>
        <w:t xml:space="preserve">(</w:t>
      </w:r>
      <w:hyperlink w:anchor="ref-mdnhtml2026">
        <w:r>
          <w:rPr>
            <w:rStyle w:val="Hipervnculo"/>
          </w:rPr>
          <w:t xml:space="preserve">MDN Web Docs 2026a</w:t>
        </w:r>
      </w:hyperlink>
      <w:r>
        <w:t xml:space="preserve">)</w:t>
      </w:r>
      <w:r>
        <w:t xml:space="preserve">.</w:t>
      </w:r>
    </w:p>
    <w:p>
      <w:pPr>
        <w:pStyle w:val="Textoindependiente"/>
      </w:pPr>
      <w:r>
        <w:t xml:space="preserve">Copia este código en un archivo como</w:t>
      </w:r>
      <w:r>
        <w:t xml:space="preserve"> </w:t>
      </w:r>
      <w:r>
        <w:rPr>
          <w:rStyle w:val="VerbatimChar"/>
        </w:rPr>
        <w:t xml:space="preserve">00-hola-mundo.html</w:t>
      </w:r>
      <w:r>
        <w:t xml:space="preserv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"viewport"</w:t>
      </w:r>
      <w:r>
        <w:rPr>
          <w:rStyle w:val="OtherTok"/>
        </w:rPr>
        <w:t xml:space="preserve"> content</w:t>
      </w:r>
      <w:r>
        <w:rPr>
          <w:rStyle w:val="OperatorTok"/>
        </w:rPr>
        <w:t xml:space="preserve">=</w:t>
      </w:r>
      <w:r>
        <w:rPr>
          <w:rStyle w:val="StringTok"/>
        </w:rPr>
        <w:t xml:space="preserve">"width=device-width, initial-scale=1.0"</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Hola mundo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Hola, mundo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Esta es mi primera pagina web.</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ya aparecen varias piezas fundacionales:</w:t>
      </w:r>
    </w:p>
    <w:p>
      <w:pPr>
        <w:pStyle w:val="Compact"/>
        <w:numPr>
          <w:ilvl w:val="0"/>
          <w:numId w:val="1073"/>
        </w:numPr>
      </w:pPr>
      <w:r>
        <w:rPr>
          <w:rStyle w:val="VerbatimChar"/>
        </w:rPr>
        <w:t xml:space="preserve">&lt;!DOCTYPE html&gt;</w:t>
      </w:r>
      <w:r>
        <w:t xml:space="preserve"> </w:t>
      </w:r>
      <w:r>
        <w:t xml:space="preserve">declara el tipo de documento;</w:t>
      </w:r>
    </w:p>
    <w:p>
      <w:pPr>
        <w:pStyle w:val="Compact"/>
        <w:numPr>
          <w:ilvl w:val="0"/>
          <w:numId w:val="1073"/>
        </w:numPr>
      </w:pPr>
      <w:r>
        <w:rPr>
          <w:rStyle w:val="VerbatimChar"/>
        </w:rPr>
        <w:t xml:space="preserve">&lt;html&gt;</w:t>
      </w:r>
      <w:r>
        <w:t xml:space="preserve"> </w:t>
      </w:r>
      <w:r>
        <w:t xml:space="preserve">envuelve toda la página;</w:t>
      </w:r>
    </w:p>
    <w:p>
      <w:pPr>
        <w:pStyle w:val="Compact"/>
        <w:numPr>
          <w:ilvl w:val="0"/>
          <w:numId w:val="1073"/>
        </w:numPr>
      </w:pPr>
      <w:r>
        <w:rPr>
          <w:rStyle w:val="VerbatimChar"/>
        </w:rPr>
        <w:t xml:space="preserve">&lt;head&gt;</w:t>
      </w:r>
      <w:r>
        <w:t xml:space="preserve"> </w:t>
      </w:r>
      <w:r>
        <w:t xml:space="preserve">contiene metadatos;</w:t>
      </w:r>
    </w:p>
    <w:p>
      <w:pPr>
        <w:pStyle w:val="Compact"/>
        <w:numPr>
          <w:ilvl w:val="0"/>
          <w:numId w:val="1073"/>
        </w:numPr>
      </w:pPr>
      <w:r>
        <w:rPr>
          <w:rStyle w:val="VerbatimChar"/>
        </w:rPr>
        <w:t xml:space="preserve">&lt;body&gt;</w:t>
      </w:r>
      <w:r>
        <w:t xml:space="preserve"> </w:t>
      </w:r>
      <w:r>
        <w:t xml:space="preserve">reúne lo visible;</w:t>
      </w:r>
    </w:p>
    <w:p>
      <w:pPr>
        <w:pStyle w:val="Compact"/>
        <w:numPr>
          <w:ilvl w:val="0"/>
          <w:numId w:val="1073"/>
        </w:numPr>
      </w:pPr>
      <w:r>
        <w:rPr>
          <w:rStyle w:val="VerbatimChar"/>
        </w:rPr>
        <w:t xml:space="preserve">&lt;h1&gt;</w:t>
      </w:r>
      <w:r>
        <w:t xml:space="preserve"> </w:t>
      </w:r>
      <w:r>
        <w:t xml:space="preserve">marca el título principal;</w:t>
      </w:r>
    </w:p>
    <w:p>
      <w:pPr>
        <w:pStyle w:val="Compact"/>
        <w:numPr>
          <w:ilvl w:val="0"/>
          <w:numId w:val="1073"/>
        </w:numPr>
      </w:pPr>
      <w:r>
        <w:rPr>
          <w:rStyle w:val="VerbatimChar"/>
        </w:rPr>
        <w:t xml:space="preserve">&lt;p&gt;</w:t>
      </w:r>
      <w:r>
        <w:t xml:space="preserve"> </w:t>
      </w:r>
      <w:r>
        <w:t xml:space="preserve">introduce un párrafo.</w:t>
      </w:r>
    </w:p>
    <w:p>
      <w:pPr>
        <w:pStyle w:val="FirstParagraph"/>
      </w:pPr>
      <w:r>
        <w:t xml:space="preserve">La utilidad del ejemplo no está en su espectacularidad, sino en mostrar que una página se compone de partes con jerarquía. Esa misma lógica reaparecerá en páginas más complejas.</w:t>
      </w:r>
    </w:p>
    <w:bookmarkEnd w:id="332"/>
    <w:bookmarkStart w:id="336" w:name="cómo-se-ve-esto-en-el-navegador"/>
    <w:p>
      <w:pPr>
        <w:pStyle w:val="Ttulo3"/>
      </w:pPr>
      <w:r>
        <w:t xml:space="preserve">Cómo se ve esto en el navegador</w:t>
      </w:r>
    </w:p>
    <w:p>
      <w:pPr>
        <w:pStyle w:val="FirstParagraph"/>
      </w:pPr>
      <w:r>
        <w:t xml:space="preserve">El punto decisivo es distinguir entre el archivo y su resultado visible. El navegador no muestra las etiquetas como texto normal. Las interpreta y las convierte en una página.</w:t>
      </w:r>
    </w:p>
    <w:p>
      <w:pPr>
        <w:pStyle w:val="Textoindependiente"/>
      </w:pPr>
      <w:r>
        <w:drawing>
          <wp:inline>
            <wp:extent cx="5320665" cy="3336053"/>
            <wp:effectExtent b="0" l="0" r="0" t="0"/>
            <wp:docPr descr="Renderizado de 00-hola-mundo.html en el navegador." title="" id="334" name="Picture"/>
            <a:graphic>
              <a:graphicData uri="http://schemas.openxmlformats.org/drawingml/2006/picture">
                <pic:pic>
                  <pic:nvPicPr>
                    <pic:cNvPr descr="parte-3-modulo-3/img/07-capitulo-docx/00-hola-mundo.png" id="335" name="Picture"/>
                    <pic:cNvPicPr>
                      <a:picLocks noChangeArrowheads="1" noChangeAspect="1"/>
                    </pic:cNvPicPr>
                  </pic:nvPicPr>
                  <pic:blipFill>
                    <a:blip r:embed="rId33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diferencia parece simple, pero enseña algo fundamental.</w:t>
      </w:r>
      <w:r>
        <w:t xml:space="preserve"> </w:t>
      </w:r>
      <w:r>
        <w:rPr>
          <w:rStyle w:val="VerbatimChar"/>
        </w:rPr>
        <w:t xml:space="preserve">HTML</w:t>
      </w:r>
      <w:r>
        <w:t xml:space="preserve"> </w:t>
      </w:r>
      <w:r>
        <w:t xml:space="preserve">describe la estructura del contenido y el navegador decide cómo presentarla. El</w:t>
      </w:r>
      <w:r>
        <w:t xml:space="preserve"> </w:t>
      </w:r>
      <w:r>
        <w:rPr>
          <w:rStyle w:val="VerbatimChar"/>
        </w:rPr>
        <w:t xml:space="preserve">h1</w:t>
      </w:r>
      <w:r>
        <w:t xml:space="preserve"> </w:t>
      </w:r>
      <w:r>
        <w:t xml:space="preserve">aparece como encabezado principal; el</w:t>
      </w:r>
      <w:r>
        <w:t xml:space="preserve"> </w:t>
      </w:r>
      <w:r>
        <w:rPr>
          <w:rStyle w:val="VerbatimChar"/>
        </w:rPr>
        <w:t xml:space="preserve">p</w:t>
      </w:r>
      <w:r>
        <w:t xml:space="preserve"> </w:t>
      </w:r>
      <w:r>
        <w:t xml:space="preserve">aparece como párrafo. Cuando abras el archivo en el navegador, no verás “código fuente”, sino la interpretación visual de ese código.</w:t>
      </w:r>
    </w:p>
    <w:bookmarkEnd w:id="336"/>
    <w:bookmarkStart w:id="337" w:name="X6123b854d7ffc53d94b5482eb56275521eef0a6"/>
    <w:p>
      <w:pPr>
        <w:pStyle w:val="Ttulo3"/>
      </w:pPr>
      <w:r>
        <w:t xml:space="preserve">Ejercicio 2. Organizar información con títulos y secciones</w:t>
      </w:r>
    </w:p>
    <w:p>
      <w:pPr>
        <w:pStyle w:val="FirstParagraph"/>
      </w:pPr>
      <w:r>
        <w:t xml:space="preserve">Cuando la página deja de ser un simple saludo, la pregunta cambia: ya no basta con mostrar algo, sino que conviene ordenarlo. Los títulos y subtítulos sirven justamente para eso.</w:t>
      </w:r>
    </w:p>
    <w:p>
      <w:pPr>
        <w:pStyle w:val="Textoindependiente"/>
      </w:pPr>
      <w:r>
        <w:t xml:space="preserve">Copia este archivo:</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Texto y titulos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Introduccion al derecho digital</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Que estudia</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 los efectos de la tecnologia en las normas, procesos y relaciones entre personas.</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Por que importa</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Ayuda a entender temas como privacidad, contratos electronicos y firma digital.</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transición importante aquí es conceptual.</w:t>
      </w:r>
      <w:r>
        <w:t xml:space="preserve"> </w:t>
      </w:r>
      <w:r>
        <w:rPr>
          <w:rStyle w:val="VerbatimChar"/>
        </w:rPr>
        <w:t xml:space="preserve">HTML</w:t>
      </w:r>
      <w:r>
        <w:t xml:space="preserve"> </w:t>
      </w:r>
      <w:r>
        <w:t xml:space="preserve">no sirve solo para “poner texto”, sino para indicar jerarquías. Un</w:t>
      </w:r>
      <w:r>
        <w:t xml:space="preserve"> </w:t>
      </w:r>
      <w:r>
        <w:rPr>
          <w:rStyle w:val="VerbatimChar"/>
        </w:rPr>
        <w:t xml:space="preserve">h1</w:t>
      </w:r>
      <w:r>
        <w:t xml:space="preserve"> </w:t>
      </w:r>
      <w:r>
        <w:t xml:space="preserve">no cumple la misma función que un</w:t>
      </w:r>
      <w:r>
        <w:t xml:space="preserve"> </w:t>
      </w:r>
      <w:r>
        <w:rPr>
          <w:rStyle w:val="VerbatimChar"/>
        </w:rPr>
        <w:t xml:space="preserve">h2</w:t>
      </w:r>
      <w:r>
        <w:t xml:space="preserve">, y esa diferencia importa para legibilidad, accesibilidad y organización del contenido.</w:t>
      </w:r>
    </w:p>
    <w:bookmarkEnd w:id="337"/>
    <w:bookmarkStart w:id="341" w:name="cómo-se-ve-esto-en-el-navegador-1"/>
    <w:p>
      <w:pPr>
        <w:pStyle w:val="Ttulo3"/>
      </w:pPr>
      <w:r>
        <w:t xml:space="preserve">Cómo se ve esto en el navegador</w:t>
      </w:r>
    </w:p>
    <w:p>
      <w:pPr>
        <w:pStyle w:val="FirstParagraph"/>
      </w:pPr>
      <w:r>
        <w:t xml:space="preserve">Si abres este archivo, verás un título principal y, debajo, dos bloques de contenido más pequeños.</w:t>
      </w:r>
    </w:p>
    <w:p>
      <w:pPr>
        <w:pStyle w:val="Textoindependiente"/>
      </w:pPr>
      <w:r>
        <w:drawing>
          <wp:inline>
            <wp:extent cx="5320665" cy="3336053"/>
            <wp:effectExtent b="0" l="0" r="0" t="0"/>
            <wp:docPr descr="Renderizado de 01-texto-y-titulos.html en el navegador." title="" id="339" name="Picture"/>
            <a:graphic>
              <a:graphicData uri="http://schemas.openxmlformats.org/drawingml/2006/picture">
                <pic:pic>
                  <pic:nvPicPr>
                    <pic:cNvPr descr="parte-3-modulo-3/img/07-capitulo-docx/01-texto-y-titulos.png" id="340" name="Picture"/>
                    <pic:cNvPicPr>
                      <a:picLocks noChangeArrowheads="1" noChangeAspect="1"/>
                    </pic:cNvPicPr>
                  </pic:nvPicPr>
                  <pic:blipFill>
                    <a:blip r:embed="rId338"/>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página sigue siendo muy simple, pero ya no muestra una sola línea aislada. Empieza a parecerse a un texto organizado por secciones.</w:t>
      </w:r>
    </w:p>
    <w:bookmarkEnd w:id="341"/>
    <w:bookmarkStart w:id="344" w:name="X880e7b1e4dd71d65828163531bada1cd1242398"/>
    <w:p>
      <w:pPr>
        <w:pStyle w:val="Ttulo3"/>
      </w:pPr>
      <w:r>
        <w:t xml:space="preserve">Ejercicio 3. Listas, enlaces y tablas como formas de trabajo</w:t>
      </w:r>
    </w:p>
    <w:p>
      <w:pPr>
        <w:pStyle w:val="FirstParagraph"/>
      </w:pPr>
      <w:r>
        <w:t xml:space="preserve">Una parte significativa del trabajo jurídico se presenta como colección de elementos: tareas, documentos, citas, requisitos o registros. Por eso conviene ver tres estructuras muy comunes: listas, enlaces y tablas.</w:t>
      </w:r>
    </w:p>
    <w:bookmarkStart w:id="342" w:name="lista-y-enlace"/>
    <w:p>
      <w:pPr>
        <w:pStyle w:val="Ttulo4"/>
      </w:pPr>
      <w:r>
        <w:t xml:space="preserve">Lista y enlace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Listas y enlaces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Tareas de hoy</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Leer una resolucion</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Ordenar expedientes</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Enviar un correo</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DataTypeTok"/>
        </w:rPr>
        <w:t xml:space="preserve">&gt;</w:t>
      </w:r>
      <w:r>
        <w:br/>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Puedes buscar mas informacion en</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"https://developer.mozilla.org/es/"</w:t>
      </w:r>
      <w:r>
        <w:rPr>
          <w:rStyle w:val="OtherTok"/>
        </w:rPr>
        <w:t xml:space="preserve"> target</w:t>
      </w:r>
      <w:r>
        <w:rPr>
          <w:rStyle w:val="OperatorTok"/>
        </w:rPr>
        <w:t xml:space="preserve">=</w:t>
      </w:r>
      <w:r>
        <w:rPr>
          <w:rStyle w:val="StringTok"/>
        </w:rPr>
        <w:t xml:space="preserve">"_blank"</w:t>
      </w:r>
      <w:r>
        <w:rPr>
          <w:rStyle w:val="OtherTok"/>
        </w:rPr>
        <w:t xml:space="preserve"> rel</w:t>
      </w:r>
      <w:r>
        <w:rPr>
          <w:rStyle w:val="OperatorTok"/>
        </w:rPr>
        <w:t xml:space="preserve">=</w:t>
      </w:r>
      <w:r>
        <w:rPr>
          <w:rStyle w:val="StringTok"/>
        </w:rPr>
        <w:t xml:space="preserve">"noreferrer"</w:t>
      </w:r>
      <w:r>
        <w:rPr>
          <w:rStyle w:val="DataTypeTok"/>
        </w:rPr>
        <w:t xml:space="preserve">&gt;</w:t>
      </w:r>
      <w:r>
        <w:rPr>
          <w:rStyle w:val="NormalTok"/>
        </w:rPr>
        <w:t xml:space="preserve">MDN en espanol</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42"/>
    <w:bookmarkStart w:id="343" w:name="tabla-simple"/>
    <w:p>
      <w:pPr>
        <w:pStyle w:val="Ttulo4"/>
      </w:pPr>
      <w:r>
        <w:t xml:space="preserve">Tabla simple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Tabla simple</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Registro de citas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Persona</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Fecha</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Estado</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Ana Perez</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2026-05-30</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Confirmada</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Luis Rojas</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2026-06-02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Pendiente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En estos ejemplos</w:t>
      </w:r>
      <w:r>
        <w:t xml:space="preserve"> </w:t>
      </w:r>
      <w:r>
        <w:rPr>
          <w:rStyle w:val="VerbatimChar"/>
        </w:rPr>
        <w:t xml:space="preserve">HTML</w:t>
      </w:r>
      <w:r>
        <w:t xml:space="preserve"> </w:t>
      </w:r>
      <w:r>
        <w:t xml:space="preserve">deja ver algo más cercano al trabajo real: una lista sirve para agrupar elementos del mismo tipo, un enlace conecta la página con otro recurso y una tabla organiza información en filas y columnas. Aunque los ejemplos son pequeños, ya aparecen formas de representación muy útiles para portales, fichas y paneles sencillos.</w:t>
      </w:r>
    </w:p>
    <w:bookmarkEnd w:id="343"/>
    <w:bookmarkEnd w:id="344"/>
    <w:bookmarkStart w:id="351" w:name="cómo-se-ve-esto-en-el-navegador-2"/>
    <w:p>
      <w:pPr>
        <w:pStyle w:val="Ttulo3"/>
      </w:pPr>
      <w:r>
        <w:t xml:space="preserve">Cómo se ve esto en el navegador</w:t>
      </w:r>
    </w:p>
    <w:p>
      <w:pPr>
        <w:pStyle w:val="FirstParagraph"/>
      </w:pPr>
      <w:r>
        <w:t xml:space="preserve">En el primer archivo verás un título, tres tareas con viñetas y un enlace. En el segundo, verás una tabla con tres columnas y dos registros.</w:t>
      </w:r>
    </w:p>
    <w:p>
      <w:pPr>
        <w:pStyle w:val="Textoindependiente"/>
      </w:pPr>
      <w:r>
        <w:rPr>
          <w:b/>
          <w:bCs/>
        </w:rPr>
        <w:t xml:space="preserve">Vista de listas y enlaces</w:t>
      </w:r>
    </w:p>
    <w:p>
      <w:pPr>
        <w:pStyle w:val="Textoindependiente"/>
      </w:pPr>
      <w:r>
        <w:drawing>
          <wp:inline>
            <wp:extent cx="5320665" cy="3336053"/>
            <wp:effectExtent b="0" l="0" r="0" t="0"/>
            <wp:docPr descr="Renderizado de 02-listas-y-enlaces.html en el navegador." title="" id="346" name="Picture"/>
            <a:graphic>
              <a:graphicData uri="http://schemas.openxmlformats.org/drawingml/2006/picture">
                <pic:pic>
                  <pic:nvPicPr>
                    <pic:cNvPr descr="parte-3-modulo-3/img/07-capitulo-docx/02-listas-y-enlaces.png" id="347" name="Picture"/>
                    <pic:cNvPicPr>
                      <a:picLocks noChangeArrowheads="1" noChangeAspect="1"/>
                    </pic:cNvPicPr>
                  </pic:nvPicPr>
                  <pic:blipFill>
                    <a:blip r:embed="rId345"/>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Vista de tabla</w:t>
      </w:r>
    </w:p>
    <w:p>
      <w:pPr>
        <w:pStyle w:val="Textoindependiente"/>
      </w:pPr>
      <w:r>
        <w:drawing>
          <wp:inline>
            <wp:extent cx="5320665" cy="3336053"/>
            <wp:effectExtent b="0" l="0" r="0" t="0"/>
            <wp:docPr descr="Renderizado de 03-tablas.html en el navegador." title="" id="349" name="Picture"/>
            <a:graphic>
              <a:graphicData uri="http://schemas.openxmlformats.org/drawingml/2006/picture">
                <pic:pic>
                  <pic:nvPicPr>
                    <pic:cNvPr descr="parte-3-modulo-3/img/07-capitulo-docx/03-tablas.png" id="350" name="Picture"/>
                    <pic:cNvPicPr>
                      <a:picLocks noChangeArrowheads="1" noChangeAspect="1"/>
                    </pic:cNvPicPr>
                  </pic:nvPicPr>
                  <pic:blipFill>
                    <a:blip r:embed="rId348"/>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utilidad de abrir ambos archivos es ver que</w:t>
      </w:r>
      <w:r>
        <w:t xml:space="preserve"> </w:t>
      </w:r>
      <w:r>
        <w:rPr>
          <w:rStyle w:val="VerbatimChar"/>
        </w:rPr>
        <w:t xml:space="preserve">HTML</w:t>
      </w:r>
      <w:r>
        <w:t xml:space="preserve"> </w:t>
      </w:r>
      <w:r>
        <w:t xml:space="preserve">no solo sirve para redactar párrafos. También organiza elementos repetidos y datos comparables.</w:t>
      </w:r>
    </w:p>
    <w:bookmarkEnd w:id="351"/>
    <w:bookmarkStart w:id="352" w:name="X72084fb0a808cb1741ad4698c87641ba77d8518"/>
    <w:p>
      <w:pPr>
        <w:pStyle w:val="Ttulo3"/>
      </w:pPr>
      <w:r>
        <w:t xml:space="preserve">Ejercicio 4. Formularios: capturar información</w:t>
      </w:r>
    </w:p>
    <w:p>
      <w:pPr>
        <w:pStyle w:val="FirstParagraph"/>
      </w:pPr>
      <w:r>
        <w:t xml:space="preserve">La web no solo publica; también recibe datos. Por eso los formularios son una pieza central de muchos servicios digitales.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Formulario simple</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Formulario de contacto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"nombre"</w:t>
      </w:r>
      <w:r>
        <w:rPr>
          <w:rStyle w:val="DataTypeTok"/>
        </w:rPr>
        <w:t xml:space="preserve">&gt;</w:t>
      </w:r>
      <w:r>
        <w:rPr>
          <w:rStyle w:val="NormalTok"/>
        </w:rPr>
        <w:t xml:space="preserve">Nombre</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"nombre"</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"Escribe tu nombre"</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"correo"</w:t>
      </w:r>
      <w:r>
        <w:rPr>
          <w:rStyle w:val="DataTypeTok"/>
        </w:rPr>
        <w:t xml:space="preserve">&gt;</w:t>
      </w:r>
      <w:r>
        <w:rPr>
          <w:rStyle w:val="NormalTok"/>
        </w:rPr>
        <w:t xml:space="preserve">Correo</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"correo"</w:t>
      </w:r>
      <w:r>
        <w:rPr>
          <w:rStyle w:val="OtherTok"/>
        </w:rPr>
        <w:t xml:space="preserve"> type</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"correo@ejemplo.com"</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"mensaje"</w:t>
      </w:r>
      <w:r>
        <w:rPr>
          <w:rStyle w:val="DataTypeTok"/>
        </w:rPr>
        <w:t xml:space="preserve">&gt;</w:t>
      </w:r>
      <w:r>
        <w:rPr>
          <w:rStyle w:val="NormalTok"/>
        </w:rPr>
        <w:t xml:space="preserve">Mensaje</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textarea</w:t>
      </w:r>
      <w:r>
        <w:rPr>
          <w:rStyle w:val="OtherTok"/>
        </w:rPr>
        <w:t xml:space="preserve"> id</w:t>
      </w:r>
      <w:r>
        <w:rPr>
          <w:rStyle w:val="OperatorTok"/>
        </w:rPr>
        <w:t xml:space="preserve">=</w:t>
      </w:r>
      <w:r>
        <w:rPr>
          <w:rStyle w:val="StringTok"/>
        </w:rPr>
        <w:t xml:space="preserve">"mensaje"</w:t>
      </w:r>
      <w:r>
        <w:rPr>
          <w:rStyle w:val="OtherTok"/>
        </w:rPr>
        <w:t xml:space="preserve"> rows</w:t>
      </w:r>
      <w:r>
        <w:rPr>
          <w:rStyle w:val="OperatorTok"/>
        </w:rPr>
        <w:t xml:space="preserve">=</w:t>
      </w:r>
      <w:r>
        <w:rPr>
          <w:rStyle w:val="StringTok"/>
        </w:rPr>
        <w:t xml:space="preserve">"4"</w:t>
      </w:r>
      <w:r>
        <w:rPr>
          <w:rStyle w:val="OtherTok"/>
        </w:rPr>
        <w:t xml:space="preserve"> cols</w:t>
      </w:r>
      <w:r>
        <w:rPr>
          <w:rStyle w:val="OperatorTok"/>
        </w:rPr>
        <w:t xml:space="preserve">=</w:t>
      </w:r>
      <w:r>
        <w:rPr>
          <w:rStyle w:val="StringTok"/>
        </w:rPr>
        <w:t xml:space="preserve">"30"</w:t>
      </w:r>
      <w:r>
        <w:rPr>
          <w:rStyle w:val="DataTypeTok"/>
        </w:rPr>
        <w:t xml:space="preserve">&gt;&lt;/</w:t>
      </w:r>
      <w:r>
        <w:rPr>
          <w:rStyle w:val="KeywordTok"/>
        </w:rPr>
        <w:t xml:space="preserve">textarea</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button</w:t>
      </w:r>
      <w:r>
        <w:rPr>
          <w:rStyle w:val="OtherTok"/>
        </w:rPr>
        <w:t xml:space="preserve"> type</w:t>
      </w:r>
      <w:r>
        <w:rPr>
          <w:rStyle w:val="OperatorTok"/>
        </w:rPr>
        <w:t xml:space="preserve">=</w:t>
      </w:r>
      <w:r>
        <w:rPr>
          <w:rStyle w:val="StringTok"/>
        </w:rPr>
        <w:t xml:space="preserve">"submit"</w:t>
      </w:r>
      <w:r>
        <w:rPr>
          <w:rStyle w:val="DataTypeTok"/>
        </w:rPr>
        <w:t xml:space="preserve">&gt;</w:t>
      </w:r>
      <w:r>
        <w:rPr>
          <w:rStyle w:val="NormalTok"/>
        </w:rPr>
        <w:t xml:space="preserve">Enviar</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enseñanza del ejemplo no está en enviar el formulario, sino en reconocer los bloques básicos de entrada:</w:t>
      </w:r>
      <w:r>
        <w:t xml:space="preserve"> </w:t>
      </w:r>
      <w:r>
        <w:rPr>
          <w:rStyle w:val="VerbatimChar"/>
        </w:rPr>
        <w:t xml:space="preserve">label</w:t>
      </w:r>
      <w:r>
        <w:t xml:space="preserve">,</w:t>
      </w:r>
      <w:r>
        <w:t xml:space="preserve"> </w:t>
      </w:r>
      <w:r>
        <w:rPr>
          <w:rStyle w:val="VerbatimChar"/>
        </w:rPr>
        <w:t xml:space="preserve">input</w:t>
      </w:r>
      <w:r>
        <w:t xml:space="preserve">,</w:t>
      </w:r>
      <w:r>
        <w:t xml:space="preserve"> </w:t>
      </w:r>
      <w:r>
        <w:rPr>
          <w:rStyle w:val="VerbatimChar"/>
        </w:rPr>
        <w:t xml:space="preserve">textarea</w:t>
      </w:r>
      <w:r>
        <w:t xml:space="preserve"> </w:t>
      </w:r>
      <w:r>
        <w:t xml:space="preserve">y</w:t>
      </w:r>
      <w:r>
        <w:t xml:space="preserve"> </w:t>
      </w:r>
      <w:r>
        <w:rPr>
          <w:rStyle w:val="VerbatimChar"/>
        </w:rPr>
        <w:t xml:space="preserve">button</w:t>
      </w:r>
      <w:r>
        <w:t xml:space="preserve">. Muchos servicios jurídicos digitalizados dependen precisamente de esta lógica de captura estructurada.</w:t>
      </w:r>
    </w:p>
    <w:bookmarkEnd w:id="352"/>
    <w:bookmarkStart w:id="356" w:name="cómo-se-ve-esto-en-el-navegador-3"/>
    <w:p>
      <w:pPr>
        <w:pStyle w:val="Ttulo3"/>
      </w:pPr>
      <w:r>
        <w:t xml:space="preserve">Cómo se ve esto en el navegador</w:t>
      </w:r>
    </w:p>
    <w:p>
      <w:pPr>
        <w:pStyle w:val="FirstParagraph"/>
      </w:pPr>
      <w:r>
        <w:t xml:space="preserve">Al abrirlo, verás un pequeño formulario: una etiqueta para</w:t>
      </w:r>
      <w:r>
        <w:t xml:space="preserve"> </w:t>
      </w:r>
      <w:r>
        <w:rPr>
          <w:rStyle w:val="VerbatimChar"/>
        </w:rPr>
        <w:t xml:space="preserve">Nombre</w:t>
      </w:r>
      <w:r>
        <w:t xml:space="preserve">, una caja de texto, otra para</w:t>
      </w:r>
      <w:r>
        <w:t xml:space="preserve"> </w:t>
      </w:r>
      <w:r>
        <w:rPr>
          <w:rStyle w:val="VerbatimChar"/>
        </w:rPr>
        <w:t xml:space="preserve">Correo</w:t>
      </w:r>
      <w:r>
        <w:t xml:space="preserve">, un área grande para</w:t>
      </w:r>
      <w:r>
        <w:t xml:space="preserve"> </w:t>
      </w:r>
      <w:r>
        <w:rPr>
          <w:rStyle w:val="VerbatimChar"/>
        </w:rPr>
        <w:t xml:space="preserve">Mensaje</w:t>
      </w:r>
      <w:r>
        <w:t xml:space="preserve"> </w:t>
      </w:r>
      <w:r>
        <w:t xml:space="preserve">y un botón</w:t>
      </w:r>
      <w:r>
        <w:t xml:space="preserve"> </w:t>
      </w:r>
      <w:r>
        <w:rPr>
          <w:rStyle w:val="VerbatimChar"/>
        </w:rPr>
        <w:t xml:space="preserve">Enviar</w:t>
      </w:r>
      <w:r>
        <w:t xml:space="preserve">.</w:t>
      </w:r>
    </w:p>
    <w:p>
      <w:pPr>
        <w:pStyle w:val="Textoindependiente"/>
      </w:pPr>
      <w:r>
        <w:drawing>
          <wp:inline>
            <wp:extent cx="5320665" cy="3336053"/>
            <wp:effectExtent b="0" l="0" r="0" t="0"/>
            <wp:docPr descr="Renderizado de 04-formulario-simple.html en el navegador." title="" id="354" name="Picture"/>
            <a:graphic>
              <a:graphicData uri="http://schemas.openxmlformats.org/drawingml/2006/picture">
                <pic:pic>
                  <pic:nvPicPr>
                    <pic:cNvPr descr="parte-3-modulo-3/img/07-capitulo-docx/04-formulario-simple.png" id="355" name="Picture"/>
                    <pic:cNvPicPr>
                      <a:picLocks noChangeArrowheads="1" noChangeAspect="1"/>
                    </pic:cNvPicPr>
                  </pic:nvPicPr>
                  <pic:blipFill>
                    <a:blip r:embed="rId35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Todavía no ocurre ninguna validación ni se envían datos, pero ya aparece la estructura básica de muchas páginas de contacto o registro.</w:t>
      </w:r>
    </w:p>
    <w:bookmarkEnd w:id="356"/>
    <w:bookmarkEnd w:id="357"/>
    <w:bookmarkStart w:id="371" w:name="css-volver-legible-la-página"/>
    <w:p>
      <w:pPr>
        <w:pStyle w:val="Ttulo2"/>
      </w:pPr>
      <w:r>
        <w:t xml:space="preserve">CSS: volver legible la página</w:t>
      </w:r>
    </w:p>
    <w:p>
      <w:pPr>
        <w:pStyle w:val="FirstParagraph"/>
      </w:pPr>
      <w:r>
        <w:t xml:space="preserve">Una página correctamente estructurada puede seguir viéndose pobre o confusa. Allí entra</w:t>
      </w:r>
      <w:r>
        <w:t xml:space="preserve"> </w:t>
      </w:r>
      <w:r>
        <w:rPr>
          <w:rStyle w:val="VerbatimChar"/>
        </w:rPr>
        <w:t xml:space="preserve">CSS</w:t>
      </w:r>
      <w:r>
        <w:t xml:space="preserve">: no cambia qué cosa es cada bloque, pero sí cómo se presenta</w:t>
      </w:r>
      <w:r>
        <w:t xml:space="preserve"> </w:t>
      </w:r>
      <w:r>
        <w:t xml:space="preserve">(</w:t>
      </w:r>
      <w:hyperlink w:anchor="ref-mdncss2026">
        <w:r>
          <w:rPr>
            <w:rStyle w:val="Hipervnculo"/>
          </w:rPr>
          <w:t xml:space="preserve">MDN Web Docs 2026b</w:t>
        </w:r>
      </w:hyperlink>
      <w:r>
        <w:t xml:space="preserve">)</w:t>
      </w:r>
      <w:r>
        <w:t xml:space="preserve">. Eso importa porque en interfaces jurídicas y profesionales la legibilidad también forma parte de la calidad del servicio.</w:t>
      </w:r>
    </w:p>
    <w:bookmarkStart w:id="358" w:name="Xc280cbcfb57d84e4937e3abde46b34e6fc8c2a5"/>
    <w:p>
      <w:pPr>
        <w:pStyle w:val="Ttulo3"/>
      </w:pPr>
      <w:r>
        <w:t xml:space="preserve">Ejercicio 5. Primeros estilos: fuente, fondo y color</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CSS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#f4f7fb</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br/>
      </w:r>
      <w:r>
        <w:br/>
      </w:r>
      <w:r>
        <w:rPr>
          <w:rStyle w:val="NormalTok"/>
        </w:rPr>
        <w:t xml:space="preserve">      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#1d3557</w:t>
      </w:r>
      <w:r>
        <w:rPr>
          <w:rStyle w:val="OperatorTok"/>
        </w:rPr>
        <w:t xml:space="preserve">;</w:t>
      </w:r>
      <w:r>
        <w:br/>
      </w:r>
      <w:r>
        <w:rPr>
          <w:rStyle w:val="NormalTok"/>
        </w:rPr>
        <w:t xml:space="preserve">      }</w:t>
      </w:r>
      <w:r>
        <w:br/>
      </w:r>
      <w:r>
        <w:br/>
      </w:r>
      <w:r>
        <w:rPr>
          <w:rStyle w:val="NormalTok"/>
        </w:rPr>
        <w:t xml:space="preserve">      p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#444</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Pagina con estilos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CSS permite cambiar la apariencia de una pagina web.</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muestra una primera decisión importante:</w:t>
      </w:r>
      <w:r>
        <w:t xml:space="preserve"> </w:t>
      </w:r>
      <w:r>
        <w:rPr>
          <w:rStyle w:val="VerbatimChar"/>
        </w:rPr>
        <w:t xml:space="preserve">CSS</w:t>
      </w:r>
      <w:r>
        <w:t xml:space="preserve"> </w:t>
      </w:r>
      <w:r>
        <w:t xml:space="preserve">puede escribirse dentro de</w:t>
      </w:r>
      <w:r>
        <w:t xml:space="preserve"> </w:t>
      </w:r>
      <w:r>
        <w:rPr>
          <w:rStyle w:val="VerbatimChar"/>
        </w:rPr>
        <w:t xml:space="preserve">&lt;style&gt;</w:t>
      </w:r>
      <w:r>
        <w:t xml:space="preserve"> </w:t>
      </w:r>
      <w:r>
        <w:t xml:space="preserve">cuando el ejemplo es pequeño. El resultado visible suele ser inmediato. Cambia la tipografía, aparece un fondo y el texto gana legibilidad. La estructura sigue siendo la misma, pero la experiencia de lectura ya no es equivalente.</w:t>
      </w:r>
    </w:p>
    <w:bookmarkEnd w:id="358"/>
    <w:bookmarkStart w:id="362" w:name="cómo-se-ve-esto-en-el-navegador-4"/>
    <w:p>
      <w:pPr>
        <w:pStyle w:val="Ttulo3"/>
      </w:pPr>
      <w:r>
        <w:t xml:space="preserve">Cómo se ve esto en el navegador</w:t>
      </w:r>
    </w:p>
    <w:p>
      <w:pPr>
        <w:pStyle w:val="FirstParagraph"/>
      </w:pPr>
      <w:r>
        <w:t xml:space="preserve">Sin</w:t>
      </w:r>
      <w:r>
        <w:t xml:space="preserve"> </w:t>
      </w:r>
      <w:r>
        <w:rPr>
          <w:rStyle w:val="VerbatimChar"/>
        </w:rPr>
        <w:t xml:space="preserve">CSS</w:t>
      </w:r>
      <w:r>
        <w:t xml:space="preserve">, el navegador mostraría algo muy simple: un título negro, un párrafo estándar y fondo blanco. Con las reglas anteriores, el resultado visible cambia de inmediato.</w:t>
      </w:r>
    </w:p>
    <w:p>
      <w:pPr>
        <w:pStyle w:val="Textoindependiente"/>
      </w:pPr>
      <w:r>
        <w:drawing>
          <wp:inline>
            <wp:extent cx="5320665" cy="3336053"/>
            <wp:effectExtent b="0" l="0" r="0" t="0"/>
            <wp:docPr descr="Renderizado de 00-estilos-en-linea.html en el navegador." title="" id="360" name="Picture"/>
            <a:graphic>
              <a:graphicData uri="http://schemas.openxmlformats.org/drawingml/2006/picture">
                <pic:pic>
                  <pic:nvPicPr>
                    <pic:cNvPr descr="parte-3-modulo-3/img/07-capitulo-docx/00-estilos-en-linea.png" id="361" name="Picture"/>
                    <pic:cNvPicPr>
                      <a:picLocks noChangeArrowheads="1" noChangeAspect="1"/>
                    </pic:cNvPicPr>
                  </pic:nvPicPr>
                  <pic:blipFill>
                    <a:blip r:embed="rId359"/>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utilidad de esta comparación está en que permite aislar el papel de</w:t>
      </w:r>
      <w:r>
        <w:t xml:space="preserve"> </w:t>
      </w:r>
      <w:r>
        <w:rPr>
          <w:rStyle w:val="VerbatimChar"/>
        </w:rPr>
        <w:t xml:space="preserve">CSS</w:t>
      </w:r>
      <w:r>
        <w:t xml:space="preserve">. El contenido sigue siendo exactamente el mismo. Lo que cambia es la forma en que se presenta: color, espacio y legibilidad.</w:t>
      </w:r>
    </w:p>
    <w:bookmarkEnd w:id="362"/>
    <w:bookmarkStart w:id="366" w:name="ejercicio-6.-colores-cajas-y-espaciado"/>
    <w:p>
      <w:pPr>
        <w:pStyle w:val="Ttulo3"/>
      </w:pPr>
      <w:r>
        <w:t xml:space="preserve">Ejercicio 6. Colores, cajas y espaciado</w:t>
      </w:r>
    </w:p>
    <w:p>
      <w:pPr>
        <w:pStyle w:val="FirstParagraph"/>
      </w:pPr>
      <w:r>
        <w:t xml:space="preserve">Cuando una página necesita destacar un mensaje o separar un bloque del resto, entra en juego el modelo de caja. Eso significa pensar en ancho, margen, relleno y bordes.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Cajas y espaciado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#faf8f2</w:t>
      </w:r>
      <w:r>
        <w:rPr>
          <w:rStyle w:val="OperatorTok"/>
        </w:rPr>
        <w:t xml:space="preserve">;</w:t>
      </w:r>
      <w:r>
        <w:br/>
      </w:r>
      <w:r>
        <w:rPr>
          <w:rStyle w:val="NormalTok"/>
        </w:rPr>
        <w:t xml:space="preserve">      }</w:t>
      </w:r>
      <w:r>
        <w:br/>
      </w:r>
      <w:r>
        <w:br/>
      </w:r>
      <w:r>
        <w:rPr>
          <w:rStyle w:val="NormalTok"/>
        </w:rPr>
        <w:t xml:space="preserve">      </w:t>
      </w:r>
      <w:r>
        <w:rPr>
          <w:rStyle w:val="FunctionTok"/>
        </w:rPr>
        <w:t xml:space="preserve">.tarjeta</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40</w:t>
      </w:r>
      <w:r>
        <w:rPr>
          <w:rStyle w:val="DataTypeTok"/>
        </w:rPr>
        <w:t xml:space="preserve">px</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#caa56a</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white</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"tarjeta"</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Expediente 204</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Esta tarjeta muestra como funciona el espacio interno y externo de un bloque.</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clase</w:t>
      </w:r>
      <w:r>
        <w:t xml:space="preserve"> </w:t>
      </w:r>
      <w:r>
        <w:rPr>
          <w:rStyle w:val="VerbatimChar"/>
        </w:rPr>
        <w:t xml:space="preserve">.tarjeta</w:t>
      </w:r>
      <w:r>
        <w:t xml:space="preserve"> </w:t>
      </w:r>
      <w:r>
        <w:t xml:space="preserve">enseña algo fundamental: el contenido no solo se escribe, también se encierra en bloques visuales. Esa idea será útil después para fichas, avisos, paneles y formularios.</w:t>
      </w:r>
    </w:p>
    <w:p>
      <w:pPr>
        <w:pStyle w:val="Textoindependiente"/>
      </w:pPr>
      <w:r>
        <w:t xml:space="preserve">Si lo abres en el navegador, no verás solo un texto suelto. Verás una especie de ficha o tarjeta centrada, con fondo blanco, borde visible y espacio interior. Ese efecto importa porque muestra que</w:t>
      </w:r>
      <w:r>
        <w:t xml:space="preserve"> </w:t>
      </w:r>
      <w:r>
        <w:rPr>
          <w:rStyle w:val="VerbatimChar"/>
        </w:rPr>
        <w:t xml:space="preserve">CSS</w:t>
      </w:r>
      <w:r>
        <w:t xml:space="preserve"> </w:t>
      </w:r>
      <w:r>
        <w:t xml:space="preserve">no se limita a “pintar”; también organiza bloques y les da presencia visual.</w:t>
      </w:r>
    </w:p>
    <w:p>
      <w:pPr>
        <w:pStyle w:val="Textoindependiente"/>
      </w:pPr>
      <w:r>
        <w:drawing>
          <wp:inline>
            <wp:extent cx="5320665" cy="3336053"/>
            <wp:effectExtent b="0" l="0" r="0" t="0"/>
            <wp:docPr descr="Renderizado de 02-cajas-y-espaciado.html en el navegador." title="" id="364" name="Picture"/>
            <a:graphic>
              <a:graphicData uri="http://schemas.openxmlformats.org/drawingml/2006/picture">
                <pic:pic>
                  <pic:nvPicPr>
                    <pic:cNvPr descr="parte-3-modulo-3/img/07-capitulo-docx/02-cajas-y-espaciado.png" id="365" name="Picture"/>
                    <pic:cNvPicPr>
                      <a:picLocks noChangeArrowheads="1" noChangeAspect="1"/>
                    </pic:cNvPicPr>
                  </pic:nvPicPr>
                  <pic:blipFill>
                    <a:blip r:embed="rId36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66"/>
    <w:bookmarkStart w:id="370" w:name="ejercicio-7.-tipografía-y-flexbox"/>
    <w:p>
      <w:pPr>
        <w:pStyle w:val="Ttulo3"/>
      </w:pPr>
      <w:r>
        <w:t xml:space="preserve">Ejercicio 7. Tipografía y flexbox</w:t>
      </w:r>
    </w:p>
    <w:p>
      <w:pPr>
        <w:pStyle w:val="FirstParagraph"/>
      </w:pPr>
      <w:r>
        <w:t xml:space="preserve">El estilo también sirve para ordenar visualmente varios elementos a la vez. En el material base de esta sesión aparecen dos movimientos muy útiles: mejorar la tipografía y usar</w:t>
      </w:r>
      <w:r>
        <w:t xml:space="preserve"> </w:t>
      </w:r>
      <w:r>
        <w:rPr>
          <w:rStyle w:val="VerbatimChar"/>
        </w:rPr>
        <w:t xml:space="preserve">flexbox</w:t>
      </w:r>
      <w:r>
        <w:t xml:space="preserve"> </w:t>
      </w:r>
      <w:r>
        <w:t xml:space="preserve">para alinear cajas en fila.</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Flexbox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br/>
      </w:r>
      <w:r>
        <w:br/>
      </w:r>
      <w:r>
        <w:rPr>
          <w:rStyle w:val="NormalTok"/>
        </w:rPr>
        <w:t xml:space="preserve">      </w:t>
      </w:r>
      <w:r>
        <w:rPr>
          <w:rStyle w:val="FunctionTok"/>
        </w:rPr>
        <w:t xml:space="preserve">.fila</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br/>
      </w:r>
      <w:r>
        <w:br/>
      </w:r>
      <w:r>
        <w:rPr>
          <w:rStyle w:val="NormalTok"/>
        </w:rPr>
        <w:t xml:space="preserve">      </w:t>
      </w:r>
      <w:r>
        <w:rPr>
          <w:rStyle w:val="FunctionTok"/>
        </w:rPr>
        <w:t xml:space="preserve">.bloque</w:t>
      </w:r>
      <w:r>
        <w:rPr>
          <w:rStyle w:val="NormalTok"/>
        </w:rPr>
        <w:t xml:space="preserve"> {</w:t>
      </w:r>
      <w:r>
        <w:br/>
      </w:r>
      <w:r>
        <w:rPr>
          <w:rStyle w:val="NormalTok"/>
        </w:rPr>
        <w:t xml:space="preserve">        </w:t>
      </w:r>
      <w:r>
        <w:rPr>
          <w:rStyle w:val="KeywordTok"/>
        </w:rPr>
        <w:t xml:space="preserve">flex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#dbeafe</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#60a5fa</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Panel de accesos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"fila"</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Agenda</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Clientes</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Pagos</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el aprendizaje ya no es solo estético.</w:t>
      </w:r>
      <w:r>
        <w:t xml:space="preserve"> </w:t>
      </w:r>
      <w:r>
        <w:rPr>
          <w:rStyle w:val="VerbatimChar"/>
        </w:rPr>
        <w:t xml:space="preserve">display: flex</w:t>
      </w:r>
      <w:r>
        <w:t xml:space="preserve"> </w:t>
      </w:r>
      <w:r>
        <w:t xml:space="preserve">permite distribuir elementos en una misma fila con una lógica mucho más controlable que el simple apilamiento vertical. Para interfaces simples, esta técnica basta para construir paneles bastante claros.</w:t>
      </w:r>
    </w:p>
    <w:p>
      <w:pPr>
        <w:pStyle w:val="Textoindependiente"/>
      </w:pPr>
      <w:r>
        <w:t xml:space="preserve">En el navegador, la diferencia es muy visible: en lugar de aparecer una caja debajo de la otra,</w:t>
      </w:r>
      <w:r>
        <w:t xml:space="preserve"> </w:t>
      </w:r>
      <w:r>
        <w:rPr>
          <w:rStyle w:val="VerbatimChar"/>
        </w:rPr>
        <w:t xml:space="preserve">Agenda</w:t>
      </w:r>
      <w:r>
        <w:t xml:space="preserve">,</w:t>
      </w:r>
      <w:r>
        <w:t xml:space="preserve"> </w:t>
      </w:r>
      <w:r>
        <w:rPr>
          <w:rStyle w:val="VerbatimChar"/>
        </w:rPr>
        <w:t xml:space="preserve">Clientes</w:t>
      </w:r>
      <w:r>
        <w:t xml:space="preserve"> </w:t>
      </w:r>
      <w:r>
        <w:t xml:space="preserve">y</w:t>
      </w:r>
      <w:r>
        <w:t xml:space="preserve"> </w:t>
      </w:r>
      <w:r>
        <w:rPr>
          <w:rStyle w:val="VerbatimChar"/>
        </w:rPr>
        <w:t xml:space="preserve">Pagos</w:t>
      </w:r>
      <w:r>
        <w:t xml:space="preserve"> </w:t>
      </w:r>
      <w:r>
        <w:t xml:space="preserve">quedan alineadas horizontalmente como accesos de un pequeño panel. Eso deja ver que</w:t>
      </w:r>
      <w:r>
        <w:t xml:space="preserve"> </w:t>
      </w:r>
      <w:r>
        <w:rPr>
          <w:rStyle w:val="VerbatimChar"/>
        </w:rPr>
        <w:t xml:space="preserve">CSS</w:t>
      </w:r>
      <w:r>
        <w:t xml:space="preserve"> </w:t>
      </w:r>
      <w:r>
        <w:t xml:space="preserve">también sirve para decidir cómo se acomodan los elementos entre sí.</w:t>
      </w:r>
    </w:p>
    <w:p>
      <w:pPr>
        <w:pStyle w:val="Textoindependiente"/>
      </w:pPr>
      <w:r>
        <w:drawing>
          <wp:inline>
            <wp:extent cx="5320665" cy="3336053"/>
            <wp:effectExtent b="0" l="0" r="0" t="0"/>
            <wp:docPr descr="Renderizado de 04-flexbox-basico.html en el navegador." title="" id="368" name="Picture"/>
            <a:graphic>
              <a:graphicData uri="http://schemas.openxmlformats.org/drawingml/2006/picture">
                <pic:pic>
                  <pic:nvPicPr>
                    <pic:cNvPr descr="parte-3-modulo-3/img/07-capitulo-docx/04-flexbox-basico.png" id="369" name="Picture"/>
                    <pic:cNvPicPr>
                      <a:picLocks noChangeArrowheads="1" noChangeAspect="1"/>
                    </pic:cNvPicPr>
                  </pic:nvPicPr>
                  <pic:blipFill>
                    <a:blip r:embed="rId367"/>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70"/>
    <w:bookmarkEnd w:id="371"/>
    <w:bookmarkStart w:id="399" w:name="javascript-hacer-que-la-página-responda"/>
    <w:p>
      <w:pPr>
        <w:pStyle w:val="Ttulo2"/>
      </w:pPr>
      <w:r>
        <w:t xml:space="preserve">JavaScript: hacer que la página responda</w:t>
      </w:r>
    </w:p>
    <w:p>
      <w:pPr>
        <w:pStyle w:val="FirstParagraph"/>
      </w:pPr>
      <w:r>
        <w:t xml:space="preserve">Hasta aquí la página muestra contenido y se ve mejor, pero sigue siendo estática.</w:t>
      </w:r>
      <w:r>
        <w:t xml:space="preserve"> </w:t>
      </w:r>
      <w:r>
        <w:rPr>
          <w:rStyle w:val="VerbatimChar"/>
        </w:rPr>
        <w:t xml:space="preserve">JavaScript</w:t>
      </w:r>
      <w:r>
        <w:t xml:space="preserve"> </w:t>
      </w:r>
      <w:r>
        <w:t xml:space="preserve">introduce comportamiento: permite reaccionar, calcular, leer entradas y cambiar lo que aparece en pantalla.</w:t>
      </w:r>
    </w:p>
    <w:bookmarkStart w:id="375" w:name="ejercicio-8.-el-primer-script"/>
    <w:p>
      <w:pPr>
        <w:pStyle w:val="Ttulo3"/>
      </w:pPr>
      <w:r>
        <w:t xml:space="preserve">Ejercicio 8. El primer script</w:t>
      </w:r>
    </w:p>
    <w:p>
      <w:pPr>
        <w:pStyle w:val="FirstParagraph"/>
      </w:pPr>
      <w:r>
        <w:t xml:space="preserve">El primer paso conviene mantenerlo pequeño: comprobar que el navegador ya puede ejecutar instrucciones.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Script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Abre la consola del navegador</w:t>
      </w:r>
      <w:r>
        <w:rPr>
          <w:rStyle w:val="DataTypeTok"/>
        </w:rPr>
        <w:t xml:space="preserve">&lt;/</w:t>
      </w:r>
      <w:r>
        <w:rPr>
          <w:rStyle w:val="KeywordTok"/>
        </w:rPr>
        <w:t xml:space="preserve">h1</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"Hola desde JavaScript"</w:t>
      </w:r>
      <w:r>
        <w:rPr>
          <w:rStyle w:val="NormalTok"/>
        </w:rPr>
        <w:t xml:space="preserve">)</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El mensaje no aparece en la página, sino en la consola del navegador. Ese detalle es útil porque enseña a distinguir entre lo que el usuario ve y lo que el desarrollador usa para comprobar que el código está funcionando.</w:t>
      </w:r>
    </w:p>
    <w:p>
      <w:pPr>
        <w:pStyle w:val="Textoindependiente"/>
      </w:pPr>
      <w:r>
        <w:t xml:space="preserve">En pantalla, por tanto, solo verás el texto</w:t>
      </w:r>
      <w:r>
        <w:t xml:space="preserve"> </w:t>
      </w:r>
      <w:r>
        <w:rPr>
          <w:rStyle w:val="VerbatimChar"/>
        </w:rPr>
        <w:t xml:space="preserve">Abre la consola del navegador</w:t>
      </w:r>
      <w:r>
        <w:t xml:space="preserve">. La acción de</w:t>
      </w:r>
      <w:r>
        <w:t xml:space="preserve"> </w:t>
      </w:r>
      <w:r>
        <w:rPr>
          <w:rStyle w:val="VerbatimChar"/>
        </w:rPr>
        <w:t xml:space="preserve">JavaScript</w:t>
      </w:r>
      <w:r>
        <w:t xml:space="preserve"> </w:t>
      </w:r>
      <w:r>
        <w:t xml:space="preserve">ocurre fuera de la página visible y se comprueba en la consola. Ese primer paso es deliberado: antes de modificar la interfaz, conviene comprobar que el lenguaje ya está corriendo.</w:t>
      </w:r>
    </w:p>
    <w:p>
      <w:pPr>
        <w:pStyle w:val="Textoindependiente"/>
      </w:pPr>
      <w:r>
        <w:drawing>
          <wp:inline>
            <wp:extent cx="5320665" cy="3336053"/>
            <wp:effectExtent b="0" l="0" r="0" t="0"/>
            <wp:docPr descr="Renderizado de 00-script-basico.html en el navegador." title="" id="373" name="Picture"/>
            <a:graphic>
              <a:graphicData uri="http://schemas.openxmlformats.org/drawingml/2006/picture">
                <pic:pic>
                  <pic:nvPicPr>
                    <pic:cNvPr descr="parte-3-modulo-3/img/07-capitulo-docx/00-script-basico.png" id="374" name="Picture"/>
                    <pic:cNvPicPr>
                      <a:picLocks noChangeArrowheads="1" noChangeAspect="1"/>
                    </pic:cNvPicPr>
                  </pic:nvPicPr>
                  <pic:blipFill>
                    <a:blip r:embed="rId372"/>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75"/>
    <w:bookmarkStart w:id="379" w:name="ejercicio-9.-variables-y-condicionales"/>
    <w:p>
      <w:pPr>
        <w:pStyle w:val="Ttulo3"/>
      </w:pPr>
      <w:r>
        <w:t xml:space="preserve">Ejercicio 9. Variables y condicionales</w:t>
      </w:r>
    </w:p>
    <w:p>
      <w:pPr>
        <w:pStyle w:val="FirstParagraph"/>
      </w:pPr>
      <w:r>
        <w:t xml:space="preserve">Una vez que el script corre, puede guardar información y tomar decisiones.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Condicionales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Estado de pago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"resultado"</w:t>
      </w:r>
      <w:r>
        <w:rPr>
          <w:rStyle w:val="DataTypeTok"/>
        </w:rPr>
        <w:t xml:space="preserve">&gt;&lt;/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deuda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mensaje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(deuda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mensaje </w:t>
      </w:r>
      <w:r>
        <w:rPr>
          <w:rStyle w:val="OperatorTok"/>
        </w:rPr>
        <w:t xml:space="preserve">=</w:t>
      </w:r>
      <w:r>
        <w:rPr>
          <w:rStyle w:val="NormalTok"/>
        </w:rPr>
        <w:t xml:space="preserve"> </w:t>
      </w:r>
      <w:r>
        <w:rPr>
          <w:rStyle w:val="StringTok"/>
        </w:rPr>
        <w:t xml:space="preserve">"Pago pendiente"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mensaje </w:t>
      </w:r>
      <w:r>
        <w:rPr>
          <w:rStyle w:val="OperatorTok"/>
        </w:rPr>
        <w:t xml:space="preserve">=</w:t>
      </w:r>
      <w:r>
        <w:rPr>
          <w:rStyle w:val="NormalTok"/>
        </w:rPr>
        <w:t xml:space="preserve"> </w:t>
      </w:r>
      <w:r>
        <w:rPr>
          <w:rStyle w:val="StringTok"/>
        </w:rPr>
        <w:t xml:space="preserve">"Sin deuda registrada"</w:t>
      </w:r>
      <w:r>
        <w:rPr>
          <w:rStyle w:val="OperatorTok"/>
        </w:rPr>
        <w:t xml:space="preserve">;</w:t>
      </w:r>
      <w:r>
        <w:br/>
      </w:r>
      <w:r>
        <w:rPr>
          <w:rStyle w:val="NormalTok"/>
        </w:rPr>
        <w:t xml:space="preserve">      }</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"resultado"</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aparece una transición importante:</w:t>
      </w:r>
      <w:r>
        <w:t xml:space="preserve"> </w:t>
      </w:r>
      <w:r>
        <w:rPr>
          <w:rStyle w:val="VerbatimChar"/>
        </w:rPr>
        <w:t xml:space="preserve">JavaScript</w:t>
      </w:r>
      <w:r>
        <w:t xml:space="preserve"> </w:t>
      </w:r>
      <w:r>
        <w:t xml:space="preserve">no solo calcula, sino que también modifica el contenido visible a partir de una condición. Eso acerca mucho más el lenguaje a problemas reales de estado, validación y respuesta.</w:t>
      </w:r>
    </w:p>
    <w:p>
      <w:pPr>
        <w:pStyle w:val="Textoindependiente"/>
      </w:pPr>
      <w:r>
        <w:t xml:space="preserve">Si abres este archivo en el navegador, verás un título que dice</w:t>
      </w:r>
      <w:r>
        <w:t xml:space="preserve"> </w:t>
      </w:r>
      <w:r>
        <w:rPr>
          <w:rStyle w:val="VerbatimChar"/>
        </w:rPr>
        <w:t xml:space="preserve">Estado de pago</w:t>
      </w:r>
      <w:r>
        <w:t xml:space="preserve"> </w:t>
      </w:r>
      <w:r>
        <w:t xml:space="preserve">y, debajo, una línea de texto que el propio</w:t>
      </w:r>
      <w:r>
        <w:t xml:space="preserve"> </w:t>
      </w:r>
      <w:r>
        <w:rPr>
          <w:rStyle w:val="VerbatimChar"/>
        </w:rPr>
        <w:t xml:space="preserve">JavaScript</w:t>
      </w:r>
      <w:r>
        <w:t xml:space="preserve"> </w:t>
      </w:r>
      <w:r>
        <w:t xml:space="preserve">rellenó. Como</w:t>
      </w:r>
      <w:r>
        <w:t xml:space="preserve"> </w:t>
      </w:r>
      <w:r>
        <w:rPr>
          <w:rStyle w:val="VerbatimChar"/>
        </w:rPr>
        <w:t xml:space="preserve">deuda = 0</w:t>
      </w:r>
      <w:r>
        <w:t xml:space="preserve">, el resultado visible será:</w:t>
      </w:r>
    </w:p>
    <w:p>
      <w:pPr>
        <w:pStyle w:val="Textoindependiente"/>
      </w:pPr>
      <w:r>
        <w:drawing>
          <wp:inline>
            <wp:extent cx="5320665" cy="3336053"/>
            <wp:effectExtent b="0" l="0" r="0" t="0"/>
            <wp:docPr descr="Renderizado de 02-condicionales.html en el navegador." title="" id="377" name="Picture"/>
            <a:graphic>
              <a:graphicData uri="http://schemas.openxmlformats.org/drawingml/2006/picture">
                <pic:pic>
                  <pic:nvPicPr>
                    <pic:cNvPr descr="parte-3-modulo-3/img/07-capitulo-docx/02-condicionales.png" id="378" name="Picture"/>
                    <pic:cNvPicPr>
                      <a:picLocks noChangeArrowheads="1" noChangeAspect="1"/>
                    </pic:cNvPicPr>
                  </pic:nvPicPr>
                  <pic:blipFill>
                    <a:blip r:embed="rId376"/>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Si cambias el valor de</w:t>
      </w:r>
      <w:r>
        <w:t xml:space="preserve"> </w:t>
      </w:r>
      <w:r>
        <w:rPr>
          <w:rStyle w:val="VerbatimChar"/>
        </w:rPr>
        <w:t xml:space="preserve">deuda</w:t>
      </w:r>
      <w:r>
        <w:t xml:space="preserve"> </w:t>
      </w:r>
      <w:r>
        <w:t xml:space="preserve">a</w:t>
      </w:r>
      <w:r>
        <w:t xml:space="preserve"> </w:t>
      </w:r>
      <w:r>
        <w:rPr>
          <w:rStyle w:val="VerbatimChar"/>
        </w:rPr>
        <w:t xml:space="preserve">10</w:t>
      </w:r>
      <w:r>
        <w:t xml:space="preserve"> </w:t>
      </w:r>
      <w:r>
        <w:t xml:space="preserve">y recargas, la línea cambiará a</w:t>
      </w:r>
      <w:r>
        <w:t xml:space="preserve"> </w:t>
      </w:r>
      <w:r>
        <w:rPr>
          <w:rStyle w:val="VerbatimChar"/>
        </w:rPr>
        <w:t xml:space="preserve">Pago pendiente</w:t>
      </w:r>
      <w:r>
        <w:t xml:space="preserve">. Esa pequeña prueba deja ver exactamente qué hace</w:t>
      </w:r>
      <w:r>
        <w:t xml:space="preserve"> </w:t>
      </w:r>
      <w:r>
        <w:rPr>
          <w:rStyle w:val="VerbatimChar"/>
        </w:rPr>
        <w:t xml:space="preserve">JavaScript</w:t>
      </w:r>
      <w:r>
        <w:t xml:space="preserve">: no cambia la estructura básica de la página, pero sí su contenido visible según una regla.</w:t>
      </w:r>
    </w:p>
    <w:bookmarkEnd w:id="379"/>
    <w:bookmarkStart w:id="398" w:name="ejercicio-10.-bucles-funciones-y-eventos"/>
    <w:p>
      <w:pPr>
        <w:pStyle w:val="Ttulo3"/>
      </w:pPr>
      <w:r>
        <w:t xml:space="preserve">Ejercicio 10. Bucles, funciones y eventos</w:t>
      </w:r>
    </w:p>
    <w:p>
      <w:pPr>
        <w:pStyle w:val="FirstParagraph"/>
      </w:pPr>
      <w:r>
        <w:t xml:space="preserve">Tres ideas del material de referencia merecen quedar juntas porque forman una secuencia muy natural:</w:t>
      </w:r>
    </w:p>
    <w:p>
      <w:pPr>
        <w:pStyle w:val="Compact"/>
        <w:numPr>
          <w:ilvl w:val="0"/>
          <w:numId w:val="1074"/>
        </w:numPr>
      </w:pPr>
      <w:r>
        <w:t xml:space="preserve">un</w:t>
      </w:r>
      <w:r>
        <w:t xml:space="preserve"> </w:t>
      </w:r>
      <w:r>
        <w:rPr>
          <w:b/>
          <w:bCs/>
        </w:rPr>
        <w:t xml:space="preserve">bucle</w:t>
      </w:r>
      <w:r>
        <w:t xml:space="preserve"> </w:t>
      </w:r>
      <w:r>
        <w:t xml:space="preserve">repite una acción sobre varios elementos;</w:t>
      </w:r>
    </w:p>
    <w:p>
      <w:pPr>
        <w:pStyle w:val="Compact"/>
        <w:numPr>
          <w:ilvl w:val="0"/>
          <w:numId w:val="1074"/>
        </w:numPr>
      </w:pPr>
      <w:r>
        <w:t xml:space="preserve">una</w:t>
      </w:r>
      <w:r>
        <w:t xml:space="preserve"> </w:t>
      </w:r>
      <w:r>
        <w:rPr>
          <w:b/>
          <w:bCs/>
        </w:rPr>
        <w:t xml:space="preserve">función</w:t>
      </w:r>
      <w:r>
        <w:t xml:space="preserve"> </w:t>
      </w:r>
      <w:r>
        <w:t xml:space="preserve">encapsula una operación reutilizable;</w:t>
      </w:r>
    </w:p>
    <w:p>
      <w:pPr>
        <w:pStyle w:val="Compact"/>
        <w:numPr>
          <w:ilvl w:val="0"/>
          <w:numId w:val="1074"/>
        </w:numPr>
      </w:pPr>
      <w:r>
        <w:t xml:space="preserve">un</w:t>
      </w:r>
      <w:r>
        <w:t xml:space="preserve"> </w:t>
      </w:r>
      <w:r>
        <w:rPr>
          <w:b/>
          <w:bCs/>
        </w:rPr>
        <w:t xml:space="preserve">evento</w:t>
      </w:r>
      <w:r>
        <w:t xml:space="preserve"> </w:t>
      </w:r>
      <w:r>
        <w:t xml:space="preserve">espera la acción de la persona usuaria.</w:t>
      </w:r>
    </w:p>
    <w:bookmarkStart w:id="384" w:name="bucle-para-llenar-una-lista"/>
    <w:p>
      <w:pPr>
        <w:pStyle w:val="Ttulo4"/>
      </w:pPr>
      <w:r>
        <w:t xml:space="preserve">Bucle para llenar una lista</w:t>
      </w:r>
    </w:p>
    <w:p>
      <w:pPr>
        <w:pStyle w:val="SourceCode"/>
      </w:pP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"lista"</w:t>
      </w:r>
      <w:r>
        <w:rPr>
          <w:rStyle w:val="DataTypeTok"/>
        </w:rPr>
        <w:t xml:space="preserve">&gt;&lt;/</w:t>
      </w:r>
      <w:r>
        <w:rPr>
          <w:rStyle w:val="KeywordTok"/>
        </w:rPr>
        <w:t xml:space="preserve">ul</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tareas </w:t>
      </w:r>
      <w:r>
        <w:rPr>
          <w:rStyle w:val="OperatorTok"/>
        </w:rPr>
        <w:t xml:space="preserve">=</w:t>
      </w:r>
      <w:r>
        <w:rPr>
          <w:rStyle w:val="NormalTok"/>
        </w:rPr>
        <w:t xml:space="preserve"> [</w:t>
      </w:r>
      <w:r>
        <w:rPr>
          <w:rStyle w:val="StringTok"/>
        </w:rPr>
        <w:t xml:space="preserve">"Revisar contrato"</w:t>
      </w:r>
      <w:r>
        <w:rPr>
          <w:rStyle w:val="OperatorTok"/>
        </w:rPr>
        <w:t xml:space="preserve">,</w:t>
      </w:r>
      <w:r>
        <w:rPr>
          <w:rStyle w:val="NormalTok"/>
        </w:rPr>
        <w:t xml:space="preserve"> </w:t>
      </w:r>
      <w:r>
        <w:rPr>
          <w:rStyle w:val="StringTok"/>
        </w:rPr>
        <w:t xml:space="preserve">"Llamar al cliente"</w:t>
      </w:r>
      <w:r>
        <w:rPr>
          <w:rStyle w:val="OperatorTok"/>
        </w:rPr>
        <w:t xml:space="preserve">,</w:t>
      </w:r>
      <w:r>
        <w:rPr>
          <w:rStyle w:val="NormalTok"/>
        </w:rPr>
        <w:t xml:space="preserve"> </w:t>
      </w:r>
      <w:r>
        <w:rPr>
          <w:rStyle w:val="StringTok"/>
        </w:rPr>
        <w:t xml:space="preserve">"Enviar informe"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lista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"lista"</w:t>
      </w:r>
      <w:r>
        <w:rPr>
          <w:rStyle w:val="NormalTok"/>
        </w:rPr>
        <w:t xml:space="preserv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Attribute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"li"</w:t>
      </w:r>
      <w:r>
        <w:rPr>
          <w:rStyle w:val="NormalTok"/>
        </w:rPr>
        <w:t xml:space="preserve">)</w:t>
      </w:r>
      <w:r>
        <w:rPr>
          <w:rStyle w:val="OperatorTok"/>
        </w:rPr>
        <w:t xml:space="preserve">;</w:t>
      </w:r>
      <w:r>
        <w:br/>
      </w:r>
      <w:r>
        <w:rPr>
          <w:rStyle w:val="NormalTok"/>
        </w:rPr>
        <w:t xml:space="preserve">    item</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tareas[i]</w:t>
      </w:r>
      <w:r>
        <w:rPr>
          <w:rStyle w:val="OperatorTok"/>
        </w:rPr>
        <w:t xml:space="preserve">;</w:t>
      </w:r>
      <w:r>
        <w:br/>
      </w:r>
      <w:r>
        <w:rPr>
          <w:rStyle w:val="NormalTok"/>
        </w:rPr>
        <w:t xml:space="preserve">    lista</w:t>
      </w:r>
      <w:r>
        <w:rPr>
          <w:rStyle w:val="OperatorTok"/>
        </w:rPr>
        <w:t xml:space="preserve">.</w:t>
      </w:r>
      <w:r>
        <w:rPr>
          <w:rStyle w:val="FunctionTok"/>
        </w:rPr>
        <w:t xml:space="preserve">appendChild</w:t>
      </w:r>
      <w:r>
        <w:rPr>
          <w:rStyle w:val="NormalTok"/>
        </w:rPr>
        <w:t xml:space="preserve">(item)</w:t>
      </w:r>
      <w:r>
        <w:rPr>
          <w:rStyle w:val="OperatorTok"/>
        </w:rPr>
        <w:t xml:space="preserve">;</w:t>
      </w:r>
      <w:r>
        <w:br/>
      </w:r>
      <w:r>
        <w:rPr>
          <w:rStyle w:val="NormalTok"/>
        </w:rPr>
        <w:t xml:space="preserve">  }</w:t>
      </w:r>
      <w:r>
        <w:br/>
      </w:r>
      <w:r>
        <w:rPr>
          <w:rStyle w:val="DataTypeTok"/>
        </w:rPr>
        <w:t xml:space="preserve">&lt;/</w:t>
      </w:r>
      <w:r>
        <w:rPr>
          <w:rStyle w:val="KeywordTok"/>
        </w:rPr>
        <w:t xml:space="preserve">script</w:t>
      </w:r>
      <w:r>
        <w:rPr>
          <w:rStyle w:val="DataTypeTok"/>
        </w:rPr>
        <w:t xml:space="preserve">&gt;</w:t>
      </w:r>
    </w:p>
    <w:bookmarkStart w:id="383" w:name="cómo-se-ve-esto-en-el-navegador-5"/>
    <w:p>
      <w:pPr>
        <w:pStyle w:val="Ttulo5"/>
      </w:pPr>
      <w:r>
        <w:t xml:space="preserve">Cómo se ve esto en el navegador</w:t>
      </w:r>
    </w:p>
    <w:p>
      <w:pPr>
        <w:pStyle w:val="FirstParagraph"/>
      </w:pPr>
      <w:r>
        <w:t xml:space="preserve">El archivo muestra una lista vacía en el código, pero</w:t>
      </w:r>
      <w:r>
        <w:t xml:space="preserve"> </w:t>
      </w:r>
      <w:r>
        <w:rPr>
          <w:rStyle w:val="VerbatimChar"/>
        </w:rPr>
        <w:t xml:space="preserve">JavaScript</w:t>
      </w:r>
      <w:r>
        <w:t xml:space="preserve"> </w:t>
      </w:r>
      <w:r>
        <w:t xml:space="preserve">la llena al cargarse la página.</w:t>
      </w:r>
    </w:p>
    <w:p>
      <w:pPr>
        <w:pStyle w:val="Textoindependiente"/>
      </w:pPr>
      <w:r>
        <w:drawing>
          <wp:inline>
            <wp:extent cx="5320665" cy="3336053"/>
            <wp:effectExtent b="0" l="0" r="0" t="0"/>
            <wp:docPr descr="Renderizado de 03-bucles.html en el navegador." title="" id="381" name="Picture"/>
            <a:graphic>
              <a:graphicData uri="http://schemas.openxmlformats.org/drawingml/2006/picture">
                <pic:pic>
                  <pic:nvPicPr>
                    <pic:cNvPr descr="parte-3-modulo-3/img/07-capitulo-docx/03-bucles.png" id="382" name="Picture"/>
                    <pic:cNvPicPr>
                      <a:picLocks noChangeArrowheads="1" noChangeAspect="1"/>
                    </pic:cNvPicPr>
                  </pic:nvPicPr>
                  <pic:blipFill>
                    <a:blip r:embed="rId380"/>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83"/>
    <w:bookmarkEnd w:id="384"/>
    <w:bookmarkStart w:id="389" w:name="función-para-calcular-una-multa"/>
    <w:p>
      <w:pPr>
        <w:pStyle w:val="Ttulo4"/>
      </w:pPr>
      <w:r>
        <w:t xml:space="preserve">Función para calcular una multa</w:t>
      </w:r>
    </w:p>
    <w:p>
      <w:pPr>
        <w:pStyle w:val="SourceCode"/>
      </w:pP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"salida"</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function</w:t>
      </w:r>
      <w:r>
        <w:rPr>
          <w:rStyle w:val="NormalTok"/>
        </w:rPr>
        <w:t xml:space="preserve"> </w:t>
      </w:r>
      <w:r>
        <w:rPr>
          <w:rStyle w:val="FunctionTok"/>
        </w:rPr>
        <w:t xml:space="preserve">calcularMulta</w:t>
      </w:r>
      <w:r>
        <w:rPr>
          <w:rStyle w:val="NormalTok"/>
        </w:rPr>
        <w:t xml:space="preserve">(multaPorDia</w:t>
      </w:r>
      <w:r>
        <w:rPr>
          <w:rStyle w:val="OperatorTok"/>
        </w:rPr>
        <w:t xml:space="preserve">,</w:t>
      </w:r>
      <w:r>
        <w:rPr>
          <w:rStyle w:val="NormalTok"/>
        </w:rPr>
        <w:t xml:space="preserve"> dias) {</w:t>
      </w:r>
      <w:r>
        <w:br/>
      </w:r>
      <w:r>
        <w:rPr>
          <w:rStyle w:val="NormalTok"/>
        </w:rPr>
        <w:t xml:space="preserve">    </w:t>
      </w:r>
      <w:r>
        <w:rPr>
          <w:rStyle w:val="ControlFlowTok"/>
        </w:rPr>
        <w:t xml:space="preserve">return</w:t>
      </w:r>
      <w:r>
        <w:rPr>
          <w:rStyle w:val="NormalTok"/>
        </w:rPr>
        <w:t xml:space="preserve"> multaPorDia </w:t>
      </w:r>
      <w:r>
        <w:rPr>
          <w:rStyle w:val="OperatorTok"/>
        </w:rPr>
        <w:t xml:space="preserve">*</w:t>
      </w:r>
      <w:r>
        <w:rPr>
          <w:rStyle w:val="NormalTok"/>
        </w:rPr>
        <w:t xml:space="preserve"> dias</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FunctionTok"/>
        </w:rPr>
        <w:t xml:space="preserve">calcularMulta</w:t>
      </w:r>
      <w:r>
        <w:rPr>
          <w:rStyle w:val="NormalTok"/>
        </w:rPr>
        <w:t xml:space="preserve">(</w:t>
      </w:r>
      <w:r>
        <w:rPr>
          <w:rStyle w:val="DecValTok"/>
        </w:rPr>
        <w:t xml:space="preserve">25</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"salida"</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"Monto total: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88" w:name="cómo-se-ve-esto-en-el-navegador-6"/>
    <w:p>
      <w:pPr>
        <w:pStyle w:val="Ttulo5"/>
      </w:pPr>
      <w:r>
        <w:t xml:space="preserve">Cómo se ve esto en el navegador</w:t>
      </w:r>
    </w:p>
    <w:p>
      <w:pPr>
        <w:pStyle w:val="FirstParagraph"/>
      </w:pPr>
      <w:r>
        <w:t xml:space="preserve">Aquí el cálculo no se ve como operación interna, sino como resultado visible en la página.</w:t>
      </w:r>
    </w:p>
    <w:p>
      <w:pPr>
        <w:pStyle w:val="Textoindependiente"/>
      </w:pPr>
      <w:r>
        <w:drawing>
          <wp:inline>
            <wp:extent cx="5320665" cy="3336053"/>
            <wp:effectExtent b="0" l="0" r="0" t="0"/>
            <wp:docPr descr="Renderizado de 04-funciones.html en el navegador." title="" id="386" name="Picture"/>
            <a:graphic>
              <a:graphicData uri="http://schemas.openxmlformats.org/drawingml/2006/picture">
                <pic:pic>
                  <pic:nvPicPr>
                    <pic:cNvPr descr="parte-3-modulo-3/img/07-capitulo-docx/04-funciones.png" id="387" name="Picture"/>
                    <pic:cNvPicPr>
                      <a:picLocks noChangeArrowheads="1" noChangeAspect="1"/>
                    </pic:cNvPicPr>
                  </pic:nvPicPr>
                  <pic:blipFill>
                    <a:blip r:embed="rId385"/>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88"/>
    <w:bookmarkEnd w:id="389"/>
    <w:bookmarkStart w:id="397" w:name="evento-de-clic"/>
    <w:p>
      <w:pPr>
        <w:pStyle w:val="Ttulo4"/>
      </w:pPr>
      <w:r>
        <w:t xml:space="preserve">Evento de clic</w:t>
      </w:r>
    </w:p>
    <w:p>
      <w:pPr>
        <w:pStyle w:val="SourceCode"/>
      </w:pP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"boton"</w:t>
      </w:r>
      <w:r>
        <w:rPr>
          <w:rStyle w:val="DataTypeTok"/>
        </w:rPr>
        <w:t xml:space="preserve">&gt;</w:t>
      </w:r>
      <w:r>
        <w:rPr>
          <w:rStyle w:val="NormalTok"/>
        </w:rPr>
        <w:t xml:space="preserve">Haz clic aqui</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"mensaje"</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"boton"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mensaje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"mensaje"</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"El boton fue presionado"</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96" w:name="cómo-se-ve-esto-en-el-navegador-7"/>
    <w:p>
      <w:pPr>
        <w:pStyle w:val="Ttulo5"/>
      </w:pPr>
      <w:r>
        <w:t xml:space="preserve">Cómo se ve esto en el navegador</w:t>
      </w:r>
    </w:p>
    <w:p>
      <w:pPr>
        <w:pStyle w:val="FirstParagraph"/>
      </w:pPr>
      <w:r>
        <w:t xml:space="preserve">Cuando abras el archivo, primero verás un título, el botón y un espacio vacío debajo. Después del clic aparecerá el mensaje.</w:t>
      </w:r>
    </w:p>
    <w:p>
      <w:pPr>
        <w:pStyle w:val="Textoindependiente"/>
      </w:pPr>
      <w:r>
        <w:rPr>
          <w:b/>
          <w:bCs/>
        </w:rPr>
        <w:t xml:space="preserve">Antes del clic</w:t>
      </w:r>
    </w:p>
    <w:p>
      <w:pPr>
        <w:pStyle w:val="Textoindependiente"/>
      </w:pPr>
      <w:r>
        <w:drawing>
          <wp:inline>
            <wp:extent cx="5320665" cy="3336053"/>
            <wp:effectExtent b="0" l="0" r="0" t="0"/>
            <wp:docPr descr="Estado inicial de 05-eventos.html antes del clic." title="" id="391" name="Picture"/>
            <a:graphic>
              <a:graphicData uri="http://schemas.openxmlformats.org/drawingml/2006/picture">
                <pic:pic>
                  <pic:nvPicPr>
                    <pic:cNvPr descr="parte-3-modulo-3/img/07-capitulo-docx/05-eventos-antes.png" id="392" name="Picture"/>
                    <pic:cNvPicPr>
                      <a:picLocks noChangeArrowheads="1" noChangeAspect="1"/>
                    </pic:cNvPicPr>
                  </pic:nvPicPr>
                  <pic:blipFill>
                    <a:blip r:embed="rId390"/>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Después del clic</w:t>
      </w:r>
    </w:p>
    <w:p>
      <w:pPr>
        <w:pStyle w:val="Textoindependiente"/>
      </w:pPr>
      <w:r>
        <w:drawing>
          <wp:inline>
            <wp:extent cx="5320665" cy="3336053"/>
            <wp:effectExtent b="0" l="0" r="0" t="0"/>
            <wp:docPr descr="Estado de 05-eventos.html después del clic." title="" id="394" name="Picture"/>
            <a:graphic>
              <a:graphicData uri="http://schemas.openxmlformats.org/drawingml/2006/picture">
                <pic:pic>
                  <pic:nvPicPr>
                    <pic:cNvPr descr="parte-3-modulo-3/img/07-capitulo-docx/05-eventos-despues.png" id="395" name="Picture"/>
                    <pic:cNvPicPr>
                      <a:picLocks noChangeArrowheads="1" noChangeAspect="1"/>
                    </pic:cNvPicPr>
                  </pic:nvPicPr>
                  <pic:blipFill>
                    <a:blip r:embed="rId39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Estos tres movimientos resumen buena parte de la lógica inicial de</w:t>
      </w:r>
      <w:r>
        <w:t xml:space="preserve"> </w:t>
      </w:r>
      <w:r>
        <w:rPr>
          <w:rStyle w:val="VerbatimChar"/>
        </w:rPr>
        <w:t xml:space="preserve">JavaScript</w:t>
      </w:r>
      <w:r>
        <w:t xml:space="preserve">: iterar, reutilizar y reaccionar. Con eso ya puede construirse una interfaz pequeña que no sea solo decorativa.</w:t>
      </w:r>
    </w:p>
    <w:p>
      <w:pPr>
        <w:pStyle w:val="Textoindependiente"/>
      </w:pPr>
      <w:r>
        <w:t xml:space="preserve">En el navegador, sus efectos serían visibles de esta manera:</w:t>
      </w:r>
    </w:p>
    <w:p>
      <w:pPr>
        <w:pStyle w:val="Compact"/>
        <w:numPr>
          <w:ilvl w:val="0"/>
          <w:numId w:val="1075"/>
        </w:numPr>
      </w:pPr>
      <w:r>
        <w:t xml:space="preserve">el bucle llena una lista vacía con tres tareas;</w:t>
      </w:r>
    </w:p>
    <w:p>
      <w:pPr>
        <w:pStyle w:val="Compact"/>
        <w:numPr>
          <w:ilvl w:val="0"/>
          <w:numId w:val="1075"/>
        </w:numPr>
      </w:pPr>
      <w:r>
        <w:t xml:space="preserve">la función muestra un resultado como</w:t>
      </w:r>
      <w:r>
        <w:t xml:space="preserve"> </w:t>
      </w:r>
      <w:r>
        <w:rPr>
          <w:rStyle w:val="VerbatimChar"/>
        </w:rPr>
        <w:t xml:space="preserve">Monto total: 100</w:t>
      </w:r>
      <w:r>
        <w:t xml:space="preserve">;</w:t>
      </w:r>
    </w:p>
    <w:p>
      <w:pPr>
        <w:pStyle w:val="Compact"/>
        <w:numPr>
          <w:ilvl w:val="0"/>
          <w:numId w:val="1075"/>
        </w:numPr>
      </w:pPr>
      <w:r>
        <w:t xml:space="preserve">el evento de clic deja inicialmente un botón solo y, después de pulsarlo, hace aparecer el mensaje</w:t>
      </w:r>
      <w:r>
        <w:t xml:space="preserve"> </w:t>
      </w:r>
      <w:r>
        <w:rPr>
          <w:rStyle w:val="VerbatimChar"/>
        </w:rPr>
        <w:t xml:space="preserve">El boton fue presionado</w:t>
      </w:r>
      <w:r>
        <w:t xml:space="preserve">.</w:t>
      </w:r>
    </w:p>
    <w:p>
      <w:pPr>
        <w:pStyle w:val="FirstParagraph"/>
      </w:pPr>
      <w:r>
        <w:t xml:space="preserve">Lo importante aquí es no perder de vista el vínculo entre instrucción y resultado.</w:t>
      </w:r>
      <w:r>
        <w:t xml:space="preserve"> </w:t>
      </w:r>
      <w:r>
        <w:rPr>
          <w:rStyle w:val="VerbatimChar"/>
        </w:rPr>
        <w:t xml:space="preserve">JavaScript</w:t>
      </w:r>
      <w:r>
        <w:t xml:space="preserve"> </w:t>
      </w:r>
      <w:r>
        <w:t xml:space="preserve">no es solo texto dentro de</w:t>
      </w:r>
      <w:r>
        <w:t xml:space="preserve"> </w:t>
      </w:r>
      <w:r>
        <w:rPr>
          <w:rStyle w:val="VerbatimChar"/>
        </w:rPr>
        <w:t xml:space="preserve">&lt;script&gt;</w:t>
      </w:r>
      <w:r>
        <w:t xml:space="preserve">: es la parte que introduce cambios, respuestas y cálculos en la pantalla.</w:t>
      </w:r>
    </w:p>
    <w:bookmarkEnd w:id="396"/>
    <w:bookmarkEnd w:id="397"/>
    <w:bookmarkEnd w:id="398"/>
    <w:bookmarkEnd w:id="399"/>
    <w:bookmarkStart w:id="418" w:name="X3d321e9cea869e9101e143e20769f5c9e5e9385"/>
    <w:p>
      <w:pPr>
        <w:pStyle w:val="Ttulo2"/>
      </w:pPr>
      <w:r>
        <w:t xml:space="preserve">DOM y formularios: leer lo que la persona escribe</w:t>
      </w:r>
    </w:p>
    <w:p>
      <w:pPr>
        <w:pStyle w:val="FirstParagraph"/>
      </w:pPr>
      <w:r>
        <w:t xml:space="preserve">El siguiente paso consiste en conectar</w:t>
      </w:r>
      <w:r>
        <w:t xml:space="preserve"> </w:t>
      </w:r>
      <w:r>
        <w:rPr>
          <w:rStyle w:val="VerbatimChar"/>
        </w:rPr>
        <w:t xml:space="preserve">JavaScript</w:t>
      </w:r>
      <w:r>
        <w:t xml:space="preserve"> </w:t>
      </w:r>
      <w:r>
        <w:t xml:space="preserve">con campos reales de la página. Allí aparece el DOM, es decir, la forma en que el navegador representa internamente el documento para que pueda ser leído y modificado.</w:t>
      </w:r>
    </w:p>
    <w:bookmarkStart w:id="406" w:name="X1005fbccb45c5bae18d80a78c6739cb93113294"/>
    <w:p>
      <w:pPr>
        <w:pStyle w:val="Ttulo3"/>
      </w:pPr>
      <w:r>
        <w:t xml:space="preserve">Ejercicio 11. Leer un input y mostrar un saludo</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Leer input</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Saludo personalizado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"nombre"</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"Escribe tu nombre"</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"mostrar"</w:t>
      </w:r>
      <w:r>
        <w:rPr>
          <w:rStyle w:val="DataTypeTok"/>
        </w:rPr>
        <w:t xml:space="preserve">&gt;</w:t>
      </w:r>
      <w:r>
        <w:rPr>
          <w:rStyle w:val="NormalTok"/>
        </w:rPr>
        <w:t xml:space="preserve">Mostrar saludo</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"salida"</w:t>
      </w:r>
      <w:r>
        <w:rPr>
          <w:rStyle w:val="DataTypeTok"/>
        </w:rPr>
        <w:t xml:space="preserve">&gt;&lt;/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"mostrar"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salida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"salida"</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nombre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"nombre"</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salida</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"Hola,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novedad aquí es el uso de</w:t>
      </w:r>
      <w:r>
        <w:t xml:space="preserve"> </w:t>
      </w:r>
      <w:r>
        <w:rPr>
          <w:rStyle w:val="VerbatimChar"/>
        </w:rPr>
        <w:t xml:space="preserve">.value</w:t>
      </w:r>
      <w:r>
        <w:t xml:space="preserve">, que permite leer lo que una persona escribió en un campo. La página deja de ser una pieza cerrada y empieza a reaccionar a una entrada externa.</w:t>
      </w:r>
    </w:p>
    <w:p>
      <w:pPr>
        <w:pStyle w:val="Textoindependiente"/>
      </w:pPr>
      <w:r>
        <w:t xml:space="preserve">En el navegador verás una caja para escribir tu nombre, un botón y un espacio vacío. Si escribes</w:t>
      </w:r>
      <w:r>
        <w:t xml:space="preserve"> </w:t>
      </w:r>
      <w:r>
        <w:rPr>
          <w:rStyle w:val="VerbatimChar"/>
        </w:rPr>
        <w:t xml:space="preserve">Lucía</w:t>
      </w:r>
      <w:r>
        <w:t xml:space="preserve"> </w:t>
      </w:r>
      <w:r>
        <w:t xml:space="preserve">y haces clic, el espacio vacío pasa a mostrar</w:t>
      </w:r>
      <w:r>
        <w:t xml:space="preserve"> </w:t>
      </w:r>
      <w:r>
        <w:rPr>
          <w:rStyle w:val="VerbatimChar"/>
        </w:rPr>
        <w:t xml:space="preserve">Hola, Lucía</w:t>
      </w:r>
      <w:r>
        <w:t xml:space="preserve">. Esa escena, tan simple, contiene una idea central de toda interfaz web: leer una entrada y devolver una salida visible.</w:t>
      </w:r>
    </w:p>
    <w:p>
      <w:pPr>
        <w:pStyle w:val="Textoindependiente"/>
      </w:pPr>
      <w:r>
        <w:rPr>
          <w:b/>
          <w:bCs/>
        </w:rPr>
        <w:t xml:space="preserve">Antes de escribir</w:t>
      </w:r>
    </w:p>
    <w:p>
      <w:pPr>
        <w:pStyle w:val="Textoindependiente"/>
      </w:pPr>
      <w:r>
        <w:drawing>
          <wp:inline>
            <wp:extent cx="5320665" cy="3336053"/>
            <wp:effectExtent b="0" l="0" r="0" t="0"/>
            <wp:docPr descr="Estado inicial de 01-leer-input.html antes de escribir." title="" id="401" name="Picture"/>
            <a:graphic>
              <a:graphicData uri="http://schemas.openxmlformats.org/drawingml/2006/picture">
                <pic:pic>
                  <pic:nvPicPr>
                    <pic:cNvPr descr="parte-3-modulo-3/img/07-capitulo-docx/01-leer-input-antes.png" id="402" name="Picture"/>
                    <pic:cNvPicPr>
                      <a:picLocks noChangeArrowheads="1" noChangeAspect="1"/>
                    </pic:cNvPicPr>
                  </pic:nvPicPr>
                  <pic:blipFill>
                    <a:blip r:embed="rId400"/>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Después del clic</w:t>
      </w:r>
    </w:p>
    <w:p>
      <w:pPr>
        <w:pStyle w:val="Textoindependiente"/>
      </w:pPr>
      <w:r>
        <w:drawing>
          <wp:inline>
            <wp:extent cx="5320665" cy="3336053"/>
            <wp:effectExtent b="0" l="0" r="0" t="0"/>
            <wp:docPr descr="Estado de 01-leer-input.html después de escribir y hacer clic." title="" id="404" name="Picture"/>
            <a:graphic>
              <a:graphicData uri="http://schemas.openxmlformats.org/drawingml/2006/picture">
                <pic:pic>
                  <pic:nvPicPr>
                    <pic:cNvPr descr="parte-3-modulo-3/img/07-capitulo-docx/01-leer-input-despues.png" id="405" name="Picture"/>
                    <pic:cNvPicPr>
                      <a:picLocks noChangeArrowheads="1" noChangeAspect="1"/>
                    </pic:cNvPicPr>
                  </pic:nvPicPr>
                  <pic:blipFill>
                    <a:blip r:embed="rId40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406"/>
    <w:bookmarkStart w:id="417" w:name="Xb7d751b6977d2b10146f54d349d0e44ca914169"/>
    <w:p>
      <w:pPr>
        <w:pStyle w:val="Ttulo3"/>
      </w:pPr>
      <w:r>
        <w:t xml:space="preserve">Ejercicio 12. Validar un formulario y cambiar estilos</w:t>
      </w:r>
    </w:p>
    <w:p>
      <w:pPr>
        <w:pStyle w:val="FirstParagraph"/>
      </w:pPr>
      <w:r>
        <w:t xml:space="preserve">Dos ejercicios del repositorio base ayudan a cerrar esta etapa: revisar si un campo está vacío y modificar visualmente un bloque desde un evento.</w:t>
      </w:r>
    </w:p>
    <w:bookmarkStart w:id="408" w:name="validación-simple"/>
    <w:p>
      <w:pPr>
        <w:pStyle w:val="Ttulo4"/>
      </w:pPr>
      <w:r>
        <w:t xml:space="preserve">Validación simple</w:t>
      </w:r>
    </w:p>
    <w:p>
      <w:pPr>
        <w:pStyle w:val="SourceCode"/>
      </w:pP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"correo"</w:t>
      </w:r>
      <w:r>
        <w:rPr>
          <w:rStyle w:val="OtherTok"/>
        </w:rPr>
        <w:t xml:space="preserve"> type</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"correo@ejemplo.com"</w:t>
      </w:r>
      <w:r>
        <w:rPr>
          <w:rStyle w:val="DataTypeTok"/>
        </w:rPr>
        <w:t xml:space="preserve">&gt;</w:t>
      </w:r>
      <w:r>
        <w:br/>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"enviar"</w:t>
      </w:r>
      <w:r>
        <w:rPr>
          <w:rStyle w:val="DataTypeTok"/>
        </w:rPr>
        <w:t xml:space="preserve">&gt;</w:t>
      </w:r>
      <w:r>
        <w:rPr>
          <w:rStyle w:val="NormalTok"/>
        </w:rPr>
        <w:t xml:space="preserve">Validar</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"mensaje"</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"enviar"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mensaje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"mensaje"</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correo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"correo"</w:t>
      </w:r>
      <w:r>
        <w:rPr>
          <w:rStyle w:val="NormalTok"/>
        </w:rPr>
        <w:t xml:space="preserve">)</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ntrolFlowTok"/>
        </w:rPr>
        <w:t xml:space="preserve">if</w:t>
      </w:r>
      <w:r>
        <w:rPr>
          <w:rStyle w:val="NormalTok"/>
        </w:rPr>
        <w:t xml:space="preserve"> (correo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"Debes escribir un correo"</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"Formulario listo para enviar"</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407" w:name="cómo-se-ve-esto-en-el-navegador-8"/>
    <w:p>
      <w:pPr>
        <w:pStyle w:val="Ttulo5"/>
      </w:pPr>
      <w:r>
        <w:t xml:space="preserve">Cómo se ve esto en el navegador</w:t>
      </w:r>
    </w:p>
    <w:p>
      <w:pPr>
        <w:pStyle w:val="FirstParagraph"/>
      </w:pPr>
      <w:r>
        <w:t xml:space="preserve">Al inicio verás una caja para correo, un botón y un espacio vacío. Si presionas</w:t>
      </w:r>
      <w:r>
        <w:t xml:space="preserve"> </w:t>
      </w:r>
      <w:r>
        <w:rPr>
          <w:rStyle w:val="VerbatimChar"/>
        </w:rPr>
        <w:t xml:space="preserve">Validar</w:t>
      </w:r>
      <w:r>
        <w:t xml:space="preserve"> </w:t>
      </w:r>
      <w:r>
        <w:t xml:space="preserve">sin escribir nada, aparecerá el mensaje de error. Si escribes un correo y vuelves a hacer clic, el mensaje cambia.</w:t>
      </w:r>
    </w:p>
    <w:bookmarkEnd w:id="407"/>
    <w:bookmarkEnd w:id="408"/>
    <w:bookmarkStart w:id="416" w:name="cambio-de-estilo"/>
    <w:p>
      <w:pPr>
        <w:pStyle w:val="Ttulo4"/>
      </w:pPr>
      <w:r>
        <w:t xml:space="preserve">Cambio de estilo</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"caja"</w:t>
      </w:r>
      <w:r>
        <w:rPr>
          <w:rStyle w:val="OtherTok"/>
        </w:rPr>
        <w:t xml:space="preserve"> class</w:t>
      </w:r>
      <w:r>
        <w:rPr>
          <w:rStyle w:val="OperatorTok"/>
        </w:rPr>
        <w:t xml:space="preserve">=</w:t>
      </w:r>
      <w:r>
        <w:rPr>
          <w:rStyle w:val="StringTok"/>
        </w:rPr>
        <w:t xml:space="preserve">"caja"</w:t>
      </w:r>
      <w:r>
        <w:rPr>
          <w:rStyle w:val="DataTypeTok"/>
        </w:rPr>
        <w:t xml:space="preserve">&gt;</w:t>
      </w:r>
      <w:r>
        <w:rPr>
          <w:rStyle w:val="NormalTok"/>
        </w:rPr>
        <w:t xml:space="preserve">Este cuadro puede cambiar de color.</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"cambiar"</w:t>
      </w:r>
      <w:r>
        <w:rPr>
          <w:rStyle w:val="DataTypeTok"/>
        </w:rPr>
        <w:t xml:space="preserve">&gt;</w:t>
      </w:r>
      <w:r>
        <w:rPr>
          <w:rStyle w:val="NormalTok"/>
        </w:rPr>
        <w:t xml:space="preserve">Cambiar color</w:t>
      </w:r>
      <w:r>
        <w:rPr>
          <w:rStyle w:val="DataTypeTok"/>
        </w:rPr>
        <w:t xml:space="preserve">&lt;/</w:t>
      </w:r>
      <w:r>
        <w:rPr>
          <w:rStyle w:val="KeywordTok"/>
        </w:rPr>
        <w:t xml:space="preserve">button</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"cambiar"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caja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"caja"</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caja</w:t>
      </w:r>
      <w:r>
        <w:rPr>
          <w:rStyle w:val="OperatorTok"/>
        </w:rPr>
        <w:t xml:space="preserve">.</w:t>
      </w:r>
      <w:r>
        <w:rPr>
          <w:rStyle w:val="AttributeTok"/>
        </w:rPr>
        <w:t xml:space="preserve">style</w:t>
      </w:r>
      <w:r>
        <w:rPr>
          <w:rStyle w:val="OperatorTok"/>
        </w:rPr>
        <w:t xml:space="preserve">.</w:t>
      </w:r>
      <w:r>
        <w:rPr>
          <w:rStyle w:val="AttributeTok"/>
        </w:rPr>
        <w:t xml:space="preserve">backgroundColor</w:t>
      </w:r>
      <w:r>
        <w:rPr>
          <w:rStyle w:val="NormalTok"/>
        </w:rPr>
        <w:t xml:space="preserve"> </w:t>
      </w:r>
      <w:r>
        <w:rPr>
          <w:rStyle w:val="OperatorTok"/>
        </w:rPr>
        <w:t xml:space="preserve">=</w:t>
      </w:r>
      <w:r>
        <w:rPr>
          <w:rStyle w:val="NormalTok"/>
        </w:rPr>
        <w:t xml:space="preserve"> </w:t>
      </w:r>
      <w:r>
        <w:rPr>
          <w:rStyle w:val="StringTok"/>
        </w:rPr>
        <w:t xml:space="preserve">"#fde68a"</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415" w:name="cómo-se-ve-esto-en-el-navegador-9"/>
    <w:p>
      <w:pPr>
        <w:pStyle w:val="Ttulo5"/>
      </w:pPr>
      <w:r>
        <w:t xml:space="preserve">Cómo se ve esto en el navegador</w:t>
      </w:r>
    </w:p>
    <w:p>
      <w:pPr>
        <w:pStyle w:val="FirstParagraph"/>
      </w:pPr>
      <w:r>
        <w:t xml:space="preserve">Primero aparecerá un cuadro con color de fondo inicial y un botón debajo. Después del clic, el mismo cuadro cambia de color.</w:t>
      </w:r>
    </w:p>
    <w:p>
      <w:pPr>
        <w:pStyle w:val="Textoindependiente"/>
      </w:pPr>
      <w:r>
        <w:t xml:space="preserve">Estas operaciones ya se parecen bastante a muchas microinteracciones reales: validar antes de seguir, mostrar mensajes contextuales y hacer visibles los cambios de estado.</w:t>
      </w:r>
    </w:p>
    <w:p>
      <w:pPr>
        <w:pStyle w:val="Textoindependiente"/>
      </w:pPr>
      <w:r>
        <w:t xml:space="preserve">En términos visibles, los dos ejemplos hacen esto:</w:t>
      </w:r>
    </w:p>
    <w:p>
      <w:pPr>
        <w:pStyle w:val="Textoindependiente"/>
      </w:pPr>
      <w:r>
        <w:rPr>
          <w:b/>
          <w:bCs/>
        </w:rPr>
        <w:t xml:space="preserve">Validación del formulario</w:t>
      </w:r>
    </w:p>
    <w:p>
      <w:pPr>
        <w:pStyle w:val="Textoindependiente"/>
      </w:pPr>
      <w:r>
        <w:drawing>
          <wp:inline>
            <wp:extent cx="5320665" cy="3336053"/>
            <wp:effectExtent b="0" l="0" r="0" t="0"/>
            <wp:docPr descr="Estado de 02-validar-formulario.html al validar el formulario vacío." title="" id="410" name="Picture"/>
            <a:graphic>
              <a:graphicData uri="http://schemas.openxmlformats.org/drawingml/2006/picture">
                <pic:pic>
                  <pic:nvPicPr>
                    <pic:cNvPr descr="parte-3-modulo-3/img/07-capitulo-docx/02-validar-formulario.png" id="411" name="Picture"/>
                    <pic:cNvPicPr>
                      <a:picLocks noChangeArrowheads="1" noChangeAspect="1"/>
                    </pic:cNvPicPr>
                  </pic:nvPicPr>
                  <pic:blipFill>
                    <a:blip r:embed="rId409"/>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Cambio de estilo</w:t>
      </w:r>
    </w:p>
    <w:p>
      <w:pPr>
        <w:pStyle w:val="Textoindependiente"/>
      </w:pPr>
      <w:r>
        <w:drawing>
          <wp:inline>
            <wp:extent cx="5320665" cy="3336053"/>
            <wp:effectExtent b="0" l="0" r="0" t="0"/>
            <wp:docPr descr="Estado de 03-cambiar-estilos.html después de cambiar el color del cuadro." title="" id="413" name="Picture"/>
            <a:graphic>
              <a:graphicData uri="http://schemas.openxmlformats.org/drawingml/2006/picture">
                <pic:pic>
                  <pic:nvPicPr>
                    <pic:cNvPr descr="parte-3-modulo-3/img/07-capitulo-docx/03-cambiar-estilos.png" id="414" name="Picture"/>
                    <pic:cNvPicPr>
                      <a:picLocks noChangeArrowheads="1" noChangeAspect="1"/>
                    </pic:cNvPicPr>
                  </pic:nvPicPr>
                  <pic:blipFill>
                    <a:blip r:embed="rId412"/>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Esa relación entre acción y respuesta es la razón por la cual</w:t>
      </w:r>
      <w:r>
        <w:t xml:space="preserve"> </w:t>
      </w:r>
      <w:r>
        <w:rPr>
          <w:rStyle w:val="VerbatimChar"/>
        </w:rPr>
        <w:t xml:space="preserve">JavaScript</w:t>
      </w:r>
      <w:r>
        <w:t xml:space="preserve"> </w:t>
      </w:r>
      <w:r>
        <w:t xml:space="preserve">importa tanto en formularios, paneles y pequeñas herramientas de trabajo.</w:t>
      </w:r>
    </w:p>
    <w:bookmarkEnd w:id="415"/>
    <w:bookmarkEnd w:id="416"/>
    <w:bookmarkEnd w:id="417"/>
    <w:bookmarkEnd w:id="418"/>
    <w:bookmarkStart w:id="420" w:name="del-archivo-local-a-la-publicación"/>
    <w:p>
      <w:pPr>
        <w:pStyle w:val="Ttulo2"/>
      </w:pPr>
      <w:r>
        <w:t xml:space="preserve">Del archivo local a la publicación</w:t>
      </w:r>
    </w:p>
    <w:p>
      <w:pPr>
        <w:pStyle w:val="FirstParagraph"/>
      </w:pPr>
      <w:r>
        <w:t xml:space="preserve">Hasta aquí el trabajo ocurre en tu máquina: editas archivos y el navegador los abre localmente. El paso siguiente consiste en publicarlos para que otras personas puedan acceder a ellos desde internet. En este curso, la vía recomendada para hacerlo es</w:t>
      </w:r>
      <w:r>
        <w:t xml:space="preserve"> </w:t>
      </w:r>
      <w:hyperlink r:id="rId419">
        <w:r>
          <w:rPr>
            <w:rStyle w:val="Hipervnculo"/>
          </w:rPr>
          <w:t xml:space="preserve">GitHub Pages</w:t>
        </w:r>
      </w:hyperlink>
      <w:r>
        <w:t xml:space="preserve">, porque permite publicar sitios estáticos directamente desde un repositorio y mantener unidos archivo, versión y resultado visible. Esa unión entre repositorio, despliegue y sitio público importa pedagógicamente porque vuelve visible la trazabilidad del proceso de publicación y no solo su resultado final</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Ese tutorial conviene leerlo cuando ya entiendes qué hace</w:t>
      </w:r>
      <w:r>
        <w:t xml:space="preserve"> </w:t>
      </w:r>
      <w:r>
        <w:rPr>
          <w:rStyle w:val="VerbatimChar"/>
        </w:rPr>
        <w:t xml:space="preserve">index.html</w:t>
      </w:r>
      <w:r>
        <w:t xml:space="preserve">, cómo se enlaza un</w:t>
      </w:r>
      <w:r>
        <w:t xml:space="preserve"> </w:t>
      </w:r>
      <w:r>
        <w:rPr>
          <w:rStyle w:val="VerbatimChar"/>
        </w:rPr>
        <w:t xml:space="preserve">style.css</w:t>
      </w:r>
      <w:r>
        <w:t xml:space="preserve"> </w:t>
      </w:r>
      <w:r>
        <w:t xml:space="preserve">y qué recursos necesita realmente la página. Publicar demasiado pronto, sin comprender esa estructura mínima, suele volver la experiencia más confusa de lo necesario.</w:t>
      </w:r>
    </w:p>
    <w:bookmarkEnd w:id="420"/>
    <w:bookmarkStart w:id="425" w:name="conclusiones-del-capítulo-6"/>
    <w:p>
      <w:pPr>
        <w:pStyle w:val="Ttulo2"/>
      </w:pPr>
      <w:r>
        <w:t xml:space="preserve">Conclusiones del capítulo</w:t>
      </w:r>
    </w:p>
    <w:p>
      <w:pPr>
        <w:pStyle w:val="FirstParagraph"/>
      </w:pPr>
      <w:r>
        <w:t xml:space="preserve">Aprender una base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cambia la relación con la web porque vuelve visible su materialidad mínima. Una página deja de parecer un contenedor mágico y empieza a verse como una estructura de contenido, una capa de estilo y una serie de comportamientos simples pero controlables. Para estudiantes de Derecho, esa alfabetización no es ornamental. Ayuda a entender mejor el entorno donde hoy se presentan servicios, perfiles, formularios e información pública.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Applications/quarto/share/formats/docx/tip.png" id="42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rPr>
                <w:rStyle w:val="VerbatimChar"/>
              </w:rPr>
              <w:t xml:space="preserve">HTML</w:t>
            </w:r>
            <w:r>
              <w:t xml:space="preserve"> </w:t>
            </w:r>
            <w:r>
              <w:t xml:space="preserve">organiza el contenido y le da jerarquía.</w:t>
            </w:r>
          </w:p>
          <w:p>
            <w:pPr>
              <w:pStyle w:val="Compact"/>
              <w:numPr>
                <w:ilvl w:val="0"/>
                <w:numId w:val="1076"/>
              </w:numPr>
            </w:pPr>
            <w:r>
              <w:rPr>
                <w:rStyle w:val="VerbatimChar"/>
              </w:rPr>
              <w:t xml:space="preserve">CSS</w:t>
            </w:r>
            <w:r>
              <w:t xml:space="preserve"> </w:t>
            </w:r>
            <w:r>
              <w:t xml:space="preserve">mejora legibilidad, disposición y apariencia visual.</w:t>
            </w:r>
          </w:p>
          <w:p>
            <w:pPr>
              <w:pStyle w:val="Compact"/>
              <w:numPr>
                <w:ilvl w:val="0"/>
                <w:numId w:val="1076"/>
              </w:numPr>
            </w:pPr>
            <w:r>
              <w:rPr>
                <w:rStyle w:val="VerbatimChar"/>
              </w:rPr>
              <w:t xml:space="preserve">JavaScript</w:t>
            </w:r>
            <w:r>
              <w:t xml:space="preserve"> </w:t>
            </w:r>
            <w:r>
              <w:t xml:space="preserve">permite calcular, reaccionar y modificar la página.</w:t>
            </w:r>
          </w:p>
          <w:p>
            <w:pPr>
              <w:pStyle w:val="Compact"/>
              <w:numPr>
                <w:ilvl w:val="0"/>
                <w:numId w:val="1076"/>
              </w:numPr>
            </w:pPr>
            <w:r>
              <w:t xml:space="preserve">Los formularios muestran cómo la web captura y procesa entradas del usuario.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Applications/quarto/share/formats/docx/caution.png" id="42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digital ocurre en interfaces que parecen naturales solo porque alguien ya tomó antes muchas decisiones de estructura, lenguaje y comportamiento. Aprender a construir versiones pequeñas de esas interfaces ayuda no solo a publicarlas mejor, sino también a leer con más criterio cómo funcionan los entornos que usamos todos los días.</w:t>
            </w:r>
          </w:p>
          <w:p/>
        </w:tc>
      </w:tr>
    </w:tbl>
    <w:bookmarkEnd w:id="425"/>
    <w:bookmarkEnd w:id="426"/>
    <w:bookmarkStart w:id="453"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Applications/quarto/share/formats/docx/note.png" id="42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429"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 En el propio marco peruano de gobierno digital, la seguridad aparece como parte del entramado de confianza que sostiene identidad, datos, servicios y relaciones electrónicas, no como una capa opcional añadida al final</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bookmarkEnd w:id="429"/>
    <w:bookmarkStart w:id="430"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430"/>
    <w:bookmarkStart w:id="433"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Applications/quarto/share/formats/docx/important.png" id="43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433"/>
    <w:bookmarkStart w:id="436"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77"/>
        </w:numPr>
      </w:pPr>
      <w:r>
        <w:rPr>
          <w:b/>
          <w:bCs/>
        </w:rPr>
        <w:t xml:space="preserve">confidencialidad</w:t>
      </w:r>
      <w:r>
        <w:t xml:space="preserve">: que la información solo sea accesible para quien corresponde;</w:t>
      </w:r>
    </w:p>
    <w:p>
      <w:pPr>
        <w:pStyle w:val="Compact"/>
        <w:numPr>
          <w:ilvl w:val="0"/>
          <w:numId w:val="1077"/>
        </w:numPr>
      </w:pPr>
      <w:r>
        <w:rPr>
          <w:b/>
          <w:bCs/>
        </w:rPr>
        <w:t xml:space="preserve">integridad</w:t>
      </w:r>
      <w:r>
        <w:t xml:space="preserve">: que la información no sea alterada indebidamente;</w:t>
      </w:r>
    </w:p>
    <w:p>
      <w:pPr>
        <w:pStyle w:val="Compact"/>
        <w:numPr>
          <w:ilvl w:val="0"/>
          <w:numId w:val="1077"/>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78"/>
        </w:numPr>
      </w:pPr>
      <w:r>
        <w:t xml:space="preserve">si un expediente reservado se comparte indebidamente, se afecta la confidencialidad;</w:t>
      </w:r>
    </w:p>
    <w:p>
      <w:pPr>
        <w:pStyle w:val="Compact"/>
        <w:numPr>
          <w:ilvl w:val="0"/>
          <w:numId w:val="1078"/>
        </w:numPr>
      </w:pPr>
      <w:r>
        <w:t xml:space="preserve">si una versión de contrato cambia sin control, se afecta la integridad;</w:t>
      </w:r>
    </w:p>
    <w:p>
      <w:pPr>
        <w:pStyle w:val="Compact"/>
        <w:numPr>
          <w:ilvl w:val="0"/>
          <w:numId w:val="1078"/>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Applications/quarto/share/formats/docx/note.png" id="43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436"/>
    <w:bookmarkStart w:id="437"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79"/>
        </w:numPr>
      </w:pPr>
      <w:r>
        <w:t xml:space="preserve">phishing;</w:t>
      </w:r>
    </w:p>
    <w:p>
      <w:pPr>
        <w:pStyle w:val="Compact"/>
        <w:numPr>
          <w:ilvl w:val="0"/>
          <w:numId w:val="1079"/>
        </w:numPr>
      </w:pPr>
      <w:r>
        <w:t xml:space="preserve">contraseñas débiles o reutilizadas;</w:t>
      </w:r>
    </w:p>
    <w:p>
      <w:pPr>
        <w:pStyle w:val="Compact"/>
        <w:numPr>
          <w:ilvl w:val="0"/>
          <w:numId w:val="1079"/>
        </w:numPr>
      </w:pPr>
      <w:r>
        <w:t xml:space="preserve">pérdida de laptops o USB;</w:t>
      </w:r>
    </w:p>
    <w:p>
      <w:pPr>
        <w:pStyle w:val="Compact"/>
        <w:numPr>
          <w:ilvl w:val="0"/>
          <w:numId w:val="1079"/>
        </w:numPr>
      </w:pPr>
      <w:r>
        <w:t xml:space="preserve">apertura de enlaces o adjuntos sospechosos;</w:t>
      </w:r>
    </w:p>
    <w:p>
      <w:pPr>
        <w:pStyle w:val="Compact"/>
        <w:numPr>
          <w:ilvl w:val="0"/>
          <w:numId w:val="1079"/>
        </w:numPr>
      </w:pPr>
      <w:r>
        <w:t xml:space="preserve">uso de canales inseguros para documentos sensibles;</w:t>
      </w:r>
    </w:p>
    <w:p>
      <w:pPr>
        <w:pStyle w:val="Compact"/>
        <w:numPr>
          <w:ilvl w:val="0"/>
          <w:numId w:val="1079"/>
        </w:numPr>
      </w:pPr>
      <w:r>
        <w:t xml:space="preserve">accesos no controlados a carpetas compartidas o repositorios;</w:t>
      </w:r>
    </w:p>
    <w:p>
      <w:pPr>
        <w:pStyle w:val="Compact"/>
        <w:numPr>
          <w:ilvl w:val="0"/>
          <w:numId w:val="1079"/>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437"/>
    <w:bookmarkStart w:id="438"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0"/>
        </w:numPr>
      </w:pPr>
      <w:r>
        <w:t xml:space="preserve">usar contraseñas robustas y distintas;</w:t>
      </w:r>
    </w:p>
    <w:p>
      <w:pPr>
        <w:pStyle w:val="Compact"/>
        <w:numPr>
          <w:ilvl w:val="0"/>
          <w:numId w:val="1080"/>
        </w:numPr>
      </w:pPr>
      <w:r>
        <w:t xml:space="preserve">no reutilizar la misma clave para todo;</w:t>
      </w:r>
    </w:p>
    <w:p>
      <w:pPr>
        <w:pStyle w:val="Compact"/>
        <w:numPr>
          <w:ilvl w:val="0"/>
          <w:numId w:val="1080"/>
        </w:numPr>
      </w:pPr>
      <w:r>
        <w:t xml:space="preserve">activar autenticación de dos factores cuando sea posible;</w:t>
      </w:r>
    </w:p>
    <w:p>
      <w:pPr>
        <w:pStyle w:val="Compact"/>
        <w:numPr>
          <w:ilvl w:val="0"/>
          <w:numId w:val="1080"/>
        </w:numPr>
      </w:pPr>
      <w:r>
        <w:t xml:space="preserve">no compartir credenciales por mensajería informal;</w:t>
      </w:r>
    </w:p>
    <w:p>
      <w:pPr>
        <w:pStyle w:val="Compact"/>
        <w:numPr>
          <w:ilvl w:val="0"/>
          <w:numId w:val="1080"/>
        </w:numPr>
      </w:pPr>
      <w:r>
        <w:t xml:space="preserve">usar un gestor de contraseñas si el contexto lo permite.</w:t>
      </w:r>
    </w:p>
    <w:p>
      <w:pPr>
        <w:pStyle w:val="FirstParagraph"/>
      </w:pPr>
      <w:r>
        <w:t xml:space="preserve">Parece básico, y justamente por eso suele descuidarse. La recomendación de activar segundo factor y preparar métodos de recuperación no es un lujo técnico: forma parte de la higiene mínima de cuentas que almacenan trabajo, evidencias o repositorios de curso</w:t>
      </w:r>
      <w:r>
        <w:t xml:space="preserve"> </w:t>
      </w:r>
      <w:r>
        <w:t xml:space="preserve">(</w:t>
      </w:r>
      <w:hyperlink w:anchor="ref-github2fa2026">
        <w:r>
          <w:rPr>
            <w:rStyle w:val="Hipervnculo"/>
          </w:rPr>
          <w:t xml:space="preserve">GitHub Docs 2026b</w:t>
        </w:r>
      </w:hyperlink>
      <w:r>
        <w:t xml:space="preserve">)</w:t>
      </w:r>
      <w:r>
        <w:t xml:space="preserve">.</w:t>
      </w:r>
    </w:p>
    <w:bookmarkEnd w:id="438"/>
    <w:bookmarkStart w:id="442"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81"/>
        </w:numPr>
      </w:pPr>
      <w:r>
        <w:t xml:space="preserve">remitentes sospechosos;</w:t>
      </w:r>
    </w:p>
    <w:p>
      <w:pPr>
        <w:pStyle w:val="Compact"/>
        <w:numPr>
          <w:ilvl w:val="0"/>
          <w:numId w:val="1081"/>
        </w:numPr>
      </w:pPr>
      <w:r>
        <w:t xml:space="preserve">enlaces extraños;</w:t>
      </w:r>
    </w:p>
    <w:p>
      <w:pPr>
        <w:pStyle w:val="Compact"/>
        <w:numPr>
          <w:ilvl w:val="0"/>
          <w:numId w:val="1081"/>
        </w:numPr>
      </w:pPr>
      <w:r>
        <w:t xml:space="preserve">presión artificial por actuar de inmediato;</w:t>
      </w:r>
    </w:p>
    <w:p>
      <w:pPr>
        <w:pStyle w:val="Compact"/>
        <w:numPr>
          <w:ilvl w:val="0"/>
          <w:numId w:val="1081"/>
        </w:numPr>
      </w:pPr>
      <w:r>
        <w:t xml:space="preserve">solicitudes de credenciales;</w:t>
      </w:r>
    </w:p>
    <w:p>
      <w:pPr>
        <w:pStyle w:val="Compact"/>
        <w:numPr>
          <w:ilvl w:val="0"/>
          <w:numId w:val="1081"/>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Applications/quarto/share/formats/docx/warning.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442"/>
    <w:bookmarkStart w:id="443"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82"/>
        </w:numPr>
      </w:pPr>
      <w:r>
        <w:t xml:space="preserve">¿el repositorio es público o privado?;</w:t>
      </w:r>
    </w:p>
    <w:p>
      <w:pPr>
        <w:pStyle w:val="Compact"/>
        <w:numPr>
          <w:ilvl w:val="0"/>
          <w:numId w:val="1082"/>
        </w:numPr>
      </w:pPr>
      <w:r>
        <w:t xml:space="preserve">¿contiene información que no debería exponerse?;</w:t>
      </w:r>
    </w:p>
    <w:p>
      <w:pPr>
        <w:pStyle w:val="Compact"/>
        <w:numPr>
          <w:ilvl w:val="0"/>
          <w:numId w:val="1082"/>
        </w:numPr>
      </w:pPr>
      <w:r>
        <w:t xml:space="preserve">¿se subieron credenciales por error?;</w:t>
      </w:r>
    </w:p>
    <w:p>
      <w:pPr>
        <w:pStyle w:val="Compact"/>
        <w:numPr>
          <w:ilvl w:val="0"/>
          <w:numId w:val="1082"/>
        </w:numPr>
      </w:pPr>
      <w:r>
        <w:t xml:space="preserve">¿hay archivos sensibles que no deberían estar versionados?;</w:t>
      </w:r>
    </w:p>
    <w:p>
      <w:pPr>
        <w:pStyle w:val="Compact"/>
        <w:numPr>
          <w:ilvl w:val="0"/>
          <w:numId w:val="1082"/>
        </w:numPr>
      </w:pPr>
      <w:r>
        <w:t xml:space="preserve">¿la estructura del proyecto distingue bien qué se comparte y qué no?</w:t>
      </w:r>
    </w:p>
    <w:p>
      <w:pPr>
        <w:pStyle w:val="FirstParagraph"/>
      </w:pPr>
      <w:r>
        <w:t xml:space="preserve">No todo lo que puede subirse a un repositorio debería subirse. La seguridad de la cuenta y la claridad sobre qué material es público, privado o recuperable forman parte del mismo problema práctico de control</w:t>
      </w:r>
      <w:r>
        <w:t xml:space="preserve"> </w:t>
      </w:r>
      <w:r>
        <w:t xml:space="preserve">(</w:t>
      </w:r>
      <w:hyperlink w:anchor="ref-github2fa2026">
        <w:r>
          <w:rPr>
            <w:rStyle w:val="Hipervnculo"/>
          </w:rPr>
          <w:t xml:space="preserve">GitHub Docs 2026b</w:t>
        </w:r>
      </w:hyperlink>
      <w:r>
        <w:t xml:space="preserve">)</w:t>
      </w:r>
      <w:r>
        <w:t xml:space="preserve">.</w:t>
      </w:r>
    </w:p>
    <w:bookmarkEnd w:id="443"/>
    <w:bookmarkStart w:id="446"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83"/>
        </w:numPr>
      </w:pPr>
      <w:r>
        <w:t xml:space="preserve">separar información sensible de materiales públicos;</w:t>
      </w:r>
    </w:p>
    <w:p>
      <w:pPr>
        <w:pStyle w:val="Compact"/>
        <w:numPr>
          <w:ilvl w:val="0"/>
          <w:numId w:val="1083"/>
        </w:numPr>
      </w:pPr>
      <w:r>
        <w:t xml:space="preserve">usar doble factor;</w:t>
      </w:r>
    </w:p>
    <w:p>
      <w:pPr>
        <w:pStyle w:val="Compact"/>
        <w:numPr>
          <w:ilvl w:val="0"/>
          <w:numId w:val="1083"/>
        </w:numPr>
      </w:pPr>
      <w:r>
        <w:t xml:space="preserve">revisar permisos de acceso;</w:t>
      </w:r>
    </w:p>
    <w:p>
      <w:pPr>
        <w:pStyle w:val="Compact"/>
        <w:numPr>
          <w:ilvl w:val="0"/>
          <w:numId w:val="1083"/>
        </w:numPr>
      </w:pPr>
      <w:r>
        <w:t xml:space="preserve">evitar compartir documentos críticos por canales inseguros;</w:t>
      </w:r>
    </w:p>
    <w:p>
      <w:pPr>
        <w:pStyle w:val="Compact"/>
        <w:numPr>
          <w:ilvl w:val="0"/>
          <w:numId w:val="1083"/>
        </w:numPr>
      </w:pPr>
      <w:r>
        <w:t xml:space="preserve">nombrar archivos y versiones de manera ordenada;</w:t>
      </w:r>
    </w:p>
    <w:p>
      <w:pPr>
        <w:pStyle w:val="Compact"/>
        <w:numPr>
          <w:ilvl w:val="0"/>
          <w:numId w:val="1083"/>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tip.png" id="44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446"/>
    <w:bookmarkStart w:id="447" w:name="práctica-en-editor-3"/>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84"/>
        </w:numPr>
      </w:pPr>
      <w:r>
        <w:t xml:space="preserve">estudio pequeño;</w:t>
      </w:r>
    </w:p>
    <w:p>
      <w:pPr>
        <w:pStyle w:val="Compact"/>
        <w:numPr>
          <w:ilvl w:val="0"/>
          <w:numId w:val="1084"/>
        </w:numPr>
      </w:pPr>
      <w:r>
        <w:t xml:space="preserve">oficina pública;</w:t>
      </w:r>
    </w:p>
    <w:p>
      <w:pPr>
        <w:pStyle w:val="Compact"/>
        <w:numPr>
          <w:ilvl w:val="0"/>
          <w:numId w:val="1084"/>
        </w:numPr>
      </w:pPr>
      <w:r>
        <w:t xml:space="preserve">equipo de práctica académica;</w:t>
      </w:r>
    </w:p>
    <w:p>
      <w:pPr>
        <w:pStyle w:val="Compact"/>
        <w:numPr>
          <w:ilvl w:val="0"/>
          <w:numId w:val="1084"/>
        </w:numPr>
      </w:pPr>
      <w:r>
        <w:t xml:space="preserve">proyecto con documentos sensibles.</w:t>
      </w:r>
    </w:p>
    <w:p>
      <w:pPr>
        <w:pStyle w:val="FirstParagraph"/>
      </w:pPr>
      <w:r>
        <w:t xml:space="preserve">La checklist debe distinguir al menos:</w:t>
      </w:r>
    </w:p>
    <w:p>
      <w:pPr>
        <w:pStyle w:val="Compact"/>
        <w:numPr>
          <w:ilvl w:val="0"/>
          <w:numId w:val="1085"/>
        </w:numPr>
      </w:pPr>
      <w:r>
        <w:t xml:space="preserve">riesgo;</w:t>
      </w:r>
    </w:p>
    <w:p>
      <w:pPr>
        <w:pStyle w:val="Compact"/>
        <w:numPr>
          <w:ilvl w:val="0"/>
          <w:numId w:val="1085"/>
        </w:numPr>
      </w:pPr>
      <w:r>
        <w:t xml:space="preserve">impacto posible;</w:t>
      </w:r>
    </w:p>
    <w:p>
      <w:pPr>
        <w:pStyle w:val="Compact"/>
        <w:numPr>
          <w:ilvl w:val="0"/>
          <w:numId w:val="1085"/>
        </w:numPr>
      </w:pPr>
      <w:r>
        <w:t xml:space="preserve">medida básica de mitigación.</w:t>
      </w:r>
    </w:p>
    <w:bookmarkEnd w:id="447"/>
    <w:bookmarkStart w:id="452"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Applications/quarto/share/formats/docx/tip.png" id="44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6"/>
              </w:numPr>
            </w:pPr>
            <w:r>
              <w:t xml:space="preserve">seguridad es también cultura de trabajo;</w:t>
            </w:r>
          </w:p>
          <w:p>
            <w:pPr>
              <w:pStyle w:val="Compact"/>
              <w:numPr>
                <w:ilvl w:val="0"/>
                <w:numId w:val="1086"/>
              </w:numPr>
            </w:pPr>
            <w:r>
              <w:t xml:space="preserve">la tríada de confidencialidad, integridad y disponibilidad ayuda a leer riesgos con más precisión;</w:t>
            </w:r>
          </w:p>
          <w:p>
            <w:pPr>
              <w:pStyle w:val="Compact"/>
              <w:numPr>
                <w:ilvl w:val="0"/>
                <w:numId w:val="1086"/>
              </w:numPr>
            </w:pPr>
            <w:r>
              <w:t xml:space="preserve">muchos incidentes nacen en hábitos descuidados, no en ataques extraordinarios;</w:t>
            </w:r>
          </w:p>
          <w:p>
            <w:pPr>
              <w:pStyle w:val="Compact"/>
              <w:numPr>
                <w:ilvl w:val="0"/>
                <w:numId w:val="1086"/>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Applications/quarto/share/formats/docx/caution.png" id="45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452"/>
    <w:bookmarkEnd w:id="453"/>
    <w:bookmarkStart w:id="454" w:name="Xa9a22dd01a7c4416711ba1dc488d3ad5ae1cc3d"/>
    <w:p>
      <w:pPr>
        <w:pStyle w:val="Ttulo1"/>
      </w:pPr>
      <w:r>
        <w:t xml:space="preserve">IV. Inteligencia artificial aplicada al Derecho</w:t>
      </w:r>
    </w:p>
    <w:p>
      <w:pPr>
        <w:pStyle w:val="FirstParagraph"/>
      </w:pPr>
      <w:r>
        <w:t xml:space="preserve">Este módulo entra en uno de los temas que más rápidamente ha capturado la atención del mundo jurídico contemporáneo: la inteligencia artificial. Pero conviene precisar desde el inicio el tono con el que este manual quiere abordar la cuestión. No se trata de rendirse ante la fascinación tecnológica ni de adoptar, como reacción, un rechazo automático. Se trata de comprender qué tipo de herramientas están entrando hoy en despachos, estudios, fiscalías, juzgados, áreas de cumplimiento, oficinas públicas y servicios de información jurídica; qué prometen realmente; qué riesgos traen consigo; y qué criterios necesita un jurista para usarlas, evaluarlas o limitarlas con seriedad</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Ese punto de partida es importante porque la conversación pública sobre inteligencia artificial suele avanzar más rápido que el vocabulario con el que intentamos pensarla. Con frecuencia se mezcla en una misma frase automatización, aprendizaje automático, inteligencia artificial generativa y modelos de lenguaje, como si todas esas expresiones nombraran lo mismo. Desde la práctica jurídica, esa confusión es especialmente dañina. No es lo mismo un sistema que ejecuta reglas previamente definidas, una herramienta que identifica patrones en grandes volúmenes de datos, un modelo que genera lenguaje plausible o una arquitectura que combina recuperación documental con redacción asistida. Cada una de esas operaciones plantea posibilidades y riesgos distintos, y el Derecho necesita aprender a distinguirlas antes de emitir juicios apresurados sobre sus virtudes o peligros</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La necesidad de esa distinción no es puramente académica. Tiene consecuencias prácticas inmediatas. Un abogado que usa una herramienta para resumir expedientes, una entidad pública que incorpora IA para facilitar el acceso a normas, un regulador que procesa evidencia masiva con apoyo algorítmico o un órgano jurisdiccional que organiza mejor sus antecedentes documentales no enfrentan el mismo problema técnico ni el mismo problema jurídico. En unos casos la cuestión principal será la calidad de la fuente; en otros, la trazabilidad del proceso; en otros, el riesgo de sesgo, de privacidad o de delegación indebida de juicio humano. Por eso este módulo no empieza preguntando si la IA “sirve” o “no sirve”, sino qué clase de operaciones realiza, sobre qué materiales trabaja y bajo qué condiciones puede integrarse al trabajo jurídico sin comprometer garantías que el procedimiento no puede darse el lujo de perder</w:t>
      </w:r>
      <w:r>
        <w:t xml:space="preserve"> </w:t>
      </w:r>
      <w:r>
        <w:t xml:space="preserve">(</w:t>
      </w:r>
      <w:hyperlink w:anchor="ref-oecdaiprinciples2026">
        <w:r>
          <w:rPr>
            <w:rStyle w:val="Hipervnculo"/>
          </w:rPr>
          <w:t xml:space="preserve">OECD 2026</w:t>
        </w:r>
      </w:hyperlink>
      <w:r>
        <w:t xml:space="preserve">;</w:t>
      </w:r>
      <w:r>
        <w:t xml:space="preserve"> </w:t>
      </w:r>
      <w:hyperlink w:anchor="ref-nistairmf2026">
        <w:r>
          <w:rPr>
            <w:rStyle w:val="Hipervnculo"/>
          </w:rPr>
          <w:t xml:space="preserve">NIST 2026</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La discusión importa además porque el Derecho trabaja con un material especialmente sensible para este tipo de tecnologías: lenguaje normativo, hechos institucionalizados, argumentos, decisiones justificadas y efectos sobre personas concretas. Un error en una recomendación musical puede resultar menor; un error en una interpretación normativa, en una clasificación administrativa o en una ayuda a la decisión judicial puede afectar defensa, debido proceso, acceso a prestaciones o ejercicio de derechos. La inteligencia artificial no entra, entonces, en un terreno neutral. Entra en un campo donde exactitud, transparencia, motivación, responsabilidad y control humano siguen siendo exigencias básicas de legitimidad</w:t>
      </w:r>
      <w:r>
        <w:t xml:space="preserve"> </w:t>
      </w:r>
      <w:r>
        <w:t xml:space="preserve">(</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El marco peruano permite entender por qué esta conversación ya no puede postergarse. La trayectoria nacional de modernización del Estado y transformación digital no comenzó con la inteligencia artificial, pero sí creó las condiciones institucionales para que hoy la IA aparezca como un asunto regulatorio y de política pública más nítido. La Ley Marco de Modernización de la Gestión del Estado estableció la necesidad de reorganizar la administración pública para mejorar servicios, eficiencia y atención a la ciudadanía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el Decreto Legislativo 1412 configuró el gobierno digital como un régimen transversal vinculado con identidad digital, servicios digitales, interoperabilidad, seguridad y gestión de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dio un paso adicional al articular el Sistema Nacional de Transformación Digital, incorporando a entidades públicas, sector privado, academia y sociedad civil en una arquitectura común de transformación</w:t>
      </w:r>
      <w:r>
        <w:t xml:space="preserve"> </w:t>
      </w:r>
      <w:r>
        <w:t xml:space="preserve">(</w:t>
      </w:r>
      <w:hyperlink w:anchor="ref-peru2020transformaciondigital">
        <w:r>
          <w:rPr>
            <w:rStyle w:val="Hipervnculo"/>
          </w:rPr>
          <w:t xml:space="preserve">Perú 2020</w:t>
        </w:r>
      </w:hyperlink>
      <w:r>
        <w:t xml:space="preserve">)</w:t>
      </w:r>
      <w:r>
        <w:t xml:space="preserve">.</w:t>
      </w:r>
    </w:p>
    <w:p>
      <w:pPr>
        <w:pStyle w:val="Textoindependiente"/>
      </w:pPr>
      <w:r>
        <w:t xml:space="preserve">Visto desde este itinerario, la inteligencia artificial no aparece como una pieza aislada ni como un lujo experimental. Aparece como una etapa adicional dentro de un proceso más amplio en el que el Estado peruano ha venido reconociendo que datos, infraestructura digital, servicios electrónicos y nuevas capacidades tecnológicas forman parte de la manera en que hoy se gobierna, se tramita y se garantiza el acceso a derechos. La Política Nacional de Transformación Digital al 2030 refuerza esa lectura al presentar la digitalización no como una simple modernización instrumental, sino como una política integral conectada con inclusión, confianza, productividad, innovación y ciudadanía digital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Dentro de ese marco más amplio, la Ley N.º 31814, Ley que promueve el uso de la inteligencia artificial en favor del desarrollo económico y social del país, representa un hito específico porque introduce por primera vez un lenguaje normativo nacional orientado directamente a la IA</w:t>
      </w:r>
      <w:r>
        <w:t xml:space="preserve"> </w:t>
      </w:r>
      <w:r>
        <w:t xml:space="preserve">(</w:t>
      </w:r>
      <w:hyperlink w:anchor="ref-peru2023ia">
        <w:r>
          <w:rPr>
            <w:rStyle w:val="Hipervnculo"/>
          </w:rPr>
          <w:t xml:space="preserve">Perú 2023</w:t>
        </w:r>
      </w:hyperlink>
      <w:r>
        <w:t xml:space="preserve">)</w:t>
      </w:r>
      <w:r>
        <w:t xml:space="preserve">. Su sola existencia muestra que el debate dejó de pertenecer exclusivamente a foros técnicos o empresariales. La ley asocia el despliegue de inteligencia artificial con desarrollo, innovación y mejora de servicios, pero al mismo tiempo exige leer esa promesa junto a principios de seguridad basada en riesgos, pluralidad de actores, respeto por la persona, desarrollo ético y observancia de derechos fundamentales</w:t>
      </w:r>
      <w:r>
        <w:t xml:space="preserve"> </w:t>
      </w:r>
      <w:r>
        <w:t xml:space="preserve">(</w:t>
      </w:r>
      <w:hyperlink w:anchor="ref-peru2023ia">
        <w:r>
          <w:rPr>
            <w:rStyle w:val="Hipervnculo"/>
          </w:rPr>
          <w:t xml:space="preserve">Perú 2023</w:t>
        </w:r>
      </w:hyperlink>
      <w:r>
        <w:t xml:space="preserve">)</w:t>
      </w:r>
      <w:r>
        <w:t xml:space="preserve">. En otras palabras, el marco peruano ya no permite discutir IA únicamente como eficiencia: obliga a discutirla también como gobernanza.</w:t>
      </w:r>
    </w:p>
    <w:p>
      <w:pPr>
        <w:pStyle w:val="Textoindependiente"/>
      </w:pPr>
      <w:r>
        <w:t xml:space="preserve">Ese deber de gobernanza se vuelve todavía más claro cuando se lo conecta con la Ley del Procedimiento Administrativo General y con el régimen de gobierno digital. Si buena parte de los usos institucionales de IA terminarán insertándose en procedimientos, servicios, evaluaciones de riesgo, orientación al ciudadano, gestión documental o fiscalización, entonces las exigencias de debido procedimiento, motivación, razonabilidad, transparencia y trazabilidad no desaparecen por el hecho de que el soporte técnico cambie</w:t>
      </w:r>
      <w:r>
        <w:t xml:space="preserve"> </w:t>
      </w:r>
      <w:r>
        <w:t xml:space="preserve">(</w:t>
      </w:r>
      <w:hyperlink w:anchor="ref-jus2019tuo27444">
        <w:r>
          <w:rPr>
            <w:rStyle w:val="Hipervnculo"/>
          </w:rPr>
          <w:t xml:space="preserve">Ministerio de Justicia y Derechos Humanos 2019</w:t>
        </w:r>
      </w:hyperlink>
      <w:r>
        <w:t xml:space="preserve">;</w:t>
      </w:r>
      <w:r>
        <w:t xml:space="preserve"> </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tecnología puede rediseñar tiempos y formas de circulación de la información, pero no suprime el deber de explicar cómo se llegó a una decisión ni quién responde por ella.</w:t>
      </w:r>
    </w:p>
    <w:p>
      <w:pPr>
        <w:pStyle w:val="Textoindependiente"/>
      </w:pPr>
      <w:r>
        <w:t xml:space="preserve">El escenario internacional va en la misma dirección, aunque con instrumentos y tradiciones regulatorias distintas. Los Principios de la OECD sobre inteligencia artificial se han convertido en un punto de referencia porque articulan un estándar de IA confiable basado en crecimiento inclusivo, respeto a derechos humanos, transparencia, robustez, seguridad y rendición de cuentas</w:t>
      </w:r>
      <w:r>
        <w:t xml:space="preserve"> </w:t>
      </w:r>
      <w:r>
        <w:t xml:space="preserve">(</w:t>
      </w:r>
      <w:hyperlink w:anchor="ref-oecdaiprinciples2026">
        <w:r>
          <w:rPr>
            <w:rStyle w:val="Hipervnculo"/>
          </w:rPr>
          <w:t xml:space="preserve">OECD 2026</w:t>
        </w:r>
      </w:hyperlink>
      <w:r>
        <w:t xml:space="preserve">)</w:t>
      </w:r>
      <w:r>
        <w:t xml:space="preserve">. Lo valioso de estos principios no es solo su formulación general, sino el hecho de que ayudan a ubicar la discusión jurídica en un terreno menos reactivo. Recordar que una IA confiable exige supervisión humana adecuada, trazabilidad y responsabilidad permite ordenar el análisis antes de que la conversación quede capturada por el entusiasmo de la novedad o por un temor demasiado abstracto.</w:t>
      </w:r>
    </w:p>
    <w:p>
      <w:pPr>
        <w:pStyle w:val="Textoindependiente"/>
      </w:pPr>
      <w:r>
        <w:t xml:space="preserve">La regulación europea ofrece otra pieza importante de ese mapa. El AI Act no parte de la idea de que toda IA merece el mismo tratamiento, sino de que los controles deben variar según el riesgo que el sistema plantea para seguridad, salud o derechos fundamentales</w:t>
      </w:r>
      <w:r>
        <w:t xml:space="preserve"> </w:t>
      </w:r>
      <w:r>
        <w:t xml:space="preserve">(</w:t>
      </w:r>
      <w:hyperlink w:anchor="ref-euaiact2026">
        <w:r>
          <w:rPr>
            <w:rStyle w:val="Hipervnculo"/>
          </w:rPr>
          <w:t xml:space="preserve">European Commission 2026</w:t>
        </w:r>
      </w:hyperlink>
      <w:r>
        <w:t xml:space="preserve">)</w:t>
      </w:r>
      <w:r>
        <w:t xml:space="preserve">. Este enfoque gradual resulta muy útil para el mundo jurídico, incluso fuera de Europa, porque enseña una intuición metodológica central: no basta con identificar la presencia de IA; hay que identificar el contexto de uso, el tipo de tarea, la posibilidad de daño y la intensidad de control que corresponde exigir. La misma herramienta puede ser relativamente inocua como apoyo a lenguaje claro y muchísimo más delicada si interviene en clasificación de personas, priorización de expedientes o apoyo a decisiones con impacto sustantivo.</w:t>
      </w:r>
    </w:p>
    <w:p>
      <w:pPr>
        <w:pStyle w:val="Textoindependiente"/>
      </w:pPr>
      <w:r>
        <w:t xml:space="preserve">El NIST, por su parte, aporta un lenguaje especialmente fértil para quienes necesitan pasar de la teoría regulatoria a criterios de trabajo. El</w:t>
      </w:r>
      <w:r>
        <w:t xml:space="preserve"> </w:t>
      </w:r>
      <w:r>
        <w:rPr>
          <w:rStyle w:val="VerbatimChar"/>
        </w:rPr>
        <w:t xml:space="preserve">AI Risk Management Framework</w:t>
      </w:r>
      <w:r>
        <w:t xml:space="preserve"> </w:t>
      </w:r>
      <w:r>
        <w:t xml:space="preserve">insiste en que la cuestión no es solo medir rendimiento técnico, sino gobernar, mapear, medir y gestionar riesgos a lo largo del ciclo de vida del sistema</w:t>
      </w:r>
      <w:r>
        <w:t xml:space="preserve"> </w:t>
      </w:r>
      <w:r>
        <w:t xml:space="preserve">(</w:t>
      </w:r>
      <w:hyperlink w:anchor="ref-nistairmf2026">
        <w:r>
          <w:rPr>
            <w:rStyle w:val="Hipervnculo"/>
          </w:rPr>
          <w:t xml:space="preserve">NIST 2026</w:t>
        </w:r>
      </w:hyperlink>
      <w:r>
        <w:t xml:space="preserve">)</w:t>
      </w:r>
      <w:r>
        <w:t xml:space="preserve">. Su perfil para IA generativa añade una advertencia decisiva para juristas: modelos capaces de producir texto con fluidez pueden también producir contenido falso o erróneo con gran seguridad verbal, fenómeno que describe como</w:t>
      </w:r>
      <w:r>
        <w:t xml:space="preserve"> </w:t>
      </w:r>
      <w:r>
        <w:rPr>
          <w:rStyle w:val="VerbatimChar"/>
        </w:rPr>
        <w:t xml:space="preserve">confabulation</w:t>
      </w:r>
      <w:r>
        <w:t xml:space="preserve"> </w:t>
      </w:r>
      <w:r>
        <w:t xml:space="preserve">(</w:t>
      </w:r>
      <w:hyperlink w:anchor="ref-nistgaiprofile2024">
        <w:r>
          <w:rPr>
            <w:rStyle w:val="Hipervnculo"/>
          </w:rPr>
          <w:t xml:space="preserve">Autio et al. 2024</w:t>
        </w:r>
      </w:hyperlink>
      <w:r>
        <w:t xml:space="preserve">)</w:t>
      </w:r>
      <w:r>
        <w:t xml:space="preserve">. Este punto merece ser destacado porque el Derecho opera en gran medida sobre confianza en el lenguaje. Una respuesta bien escrita, persuasiva y aparentemente bien estructurada puede seguir siendo normativamente falsa o documentalmente inexistente. Por eso la calidad retórica de la salida no puede confundirse con su validez jurídica.</w:t>
      </w:r>
    </w:p>
    <w:p>
      <w:pPr>
        <w:pStyle w:val="Textoindependiente"/>
      </w:pPr>
      <w:r>
        <w:t xml:space="preserve">En este terreno, la práctica legal enfrenta una tensión especialmente instructiva. Nunca había sido tan fácil producir borradores, resúmenes, tablas comparativas, clasificaciones iniciales o explicaciones en lenguaje llano. Y, al mismo tiempo, nunca había sido tan importante recordar que una herramienta útil para acelerar una primera aproximación no es necesariamente confiable para sostener una decisión final. La competencia profesional que empieza a volverse decisiva no es la de quien delega ciegamente, sino la de quien sabe formular pruebas, revisar fuentes, detectar invenciones plausibles, medir el costo del error y decidir en qué punto una integración tecnológica amplía capacidad institucional y en qué punto empieza a degradarla</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Esto explica por qué la inteligencia artificial importa ya para la práctica jurídica cotidiana. Importa en investigación y vigilancia normativa, porque permite reorganizar grandes corpus y acelerar búsquedas. Importa en gestión documental, porque puede asistir clasificación, extracción y comparación de información. Importa en cumplimiento y regulación, porque ayuda a mantener visibilidad sobre obligaciones y cambios normativos. Importa en fiscalización pública, porque vuelve procesables volúmenes de evidencia antes inmanejables. E importa en acceso a la justicia y a la información, porque puede reducir barreras iniciales de comprensión para usuarios no especializados</w:t>
      </w:r>
      <w:r>
        <w:t xml:space="preserve"> </w:t>
      </w:r>
      <w:r>
        <w:t xml:space="preserve">(</w:t>
      </w:r>
      <w:hyperlink w:anchor="ref-mapeolegaltechperu2025">
        <w:r>
          <w:rPr>
            <w:rStyle w:val="Hipervnculo"/>
          </w:rPr>
          <w:t xml:space="preserve">Iniciativa Tech &amp; Law 2025</w:t>
        </w:r>
      </w:hyperlink>
      <w:r>
        <w:t xml:space="preserve">)</w:t>
      </w:r>
      <w:r>
        <w:t xml:space="preserve">. Pero en todos esos frentes importa también por la razón inversa: porque un uso poco cuidadoso puede producir opacidad, dependencia indebida, pérdida de trazabilidad o debilitamiento de garantías procedimentales.</w:t>
      </w:r>
    </w:p>
    <w:p>
      <w:pPr>
        <w:pStyle w:val="Textoindependiente"/>
      </w:pPr>
      <w:r>
        <w:t xml:space="preserve">Los ejemplos peruanos ya permiten observar esta doble cara con bastante claridad. El</w:t>
      </w:r>
      <w:r>
        <w:t xml:space="preserve"> </w:t>
      </w:r>
      <w:r>
        <w:rPr>
          <w:i/>
          <w:iCs/>
        </w:rPr>
        <w:t xml:space="preserve">Mapeo LegalTech Perú 2025</w:t>
      </w:r>
      <w:r>
        <w:t xml:space="preserve"> </w:t>
      </w:r>
      <w:r>
        <w:t xml:space="preserve">muestra un ecosistema donde la IA no aparece necesariamente como sustitución del criterio jurídico, sino como apoyo a tareas documentales, de búsqueda, orientación y fiscalización</w:t>
      </w:r>
      <w:r>
        <w:t xml:space="preserve"> </w:t>
      </w:r>
      <w:r>
        <w:t xml:space="preserve">(</w:t>
      </w:r>
      <w:hyperlink w:anchor="ref-mapeolegaltechperu2025">
        <w:r>
          <w:rPr>
            <w:rStyle w:val="Hipervnculo"/>
          </w:rPr>
          <w:t xml:space="preserve">Iniciativa Tech &amp; Law 2025</w:t>
        </w:r>
      </w:hyperlink>
      <w:r>
        <w:t xml:space="preserve">)</w:t>
      </w:r>
      <w:r>
        <w:t xml:space="preserve">. Juztina, por ejemplo, organiza consulta jurídica conversacional sobre fuentes oficiales curadas; SUNARP utiliza IA como apoyo a búsqueda y lectura registral, preservando la calificación humana; YachAIbot facilita consulta del marco normativo; Indecopi procesa millones de grabaciones para hacer fiscalizable un universo de audio antes inmanejable; y el Poder Judicial explora asistentes que ayudan a organizar antecedentes y documentos sin convertir al sistema en un juez autónomo</w:t>
      </w:r>
      <w:r>
        <w:t xml:space="preserve"> </w:t>
      </w:r>
      <w:r>
        <w:t xml:space="preserve">(</w:t>
      </w:r>
      <w:hyperlink w:anchor="ref-mapeolegaltechperu2025">
        <w:r>
          <w:rPr>
            <w:rStyle w:val="Hipervnculo"/>
          </w:rPr>
          <w:t xml:space="preserve">Iniciativa Tech &amp; Law 2025</w:t>
        </w:r>
      </w:hyperlink>
      <w:r>
        <w:t xml:space="preserve">)</w:t>
      </w:r>
      <w:r>
        <w:t xml:space="preserve">. El valor pedagógico de estos casos no está solo en probar que “ya existe IA en el Perú”, sino en mostrar que la pregunta institucional relevante siempre es dónde termina la asistencia y dónde empezaría una delegación jurídicamente imprudente.</w:t>
      </w:r>
    </w:p>
    <w:p>
      <w:pPr>
        <w:pStyle w:val="Textoindependiente"/>
      </w:pPr>
      <w:r>
        <w:t xml:space="preserve">Esa frontera entre asistir y sustituir atraviesa buena parte de la discusión contemporánea. La figura del “juez robot” funciona aquí como advertencia conceptual. No porque mañana todos los tribunales vayan a reemplazar magistrados por sistemas automáticos, sino porque obliga a precisar qué contiene el juicio jurídico y por qué no se deja reducir fácilmente a salida estadística o inferencia computacional</w:t>
      </w:r>
      <w:r>
        <w:t xml:space="preserve"> </w:t>
      </w:r>
      <w:r>
        <w:t xml:space="preserve">(</w:t>
      </w:r>
      <w:hyperlink w:anchor="ref-pinerospolo2024juezrobot">
        <w:r>
          <w:rPr>
            <w:rStyle w:val="Hipervnculo"/>
          </w:rPr>
          <w:t xml:space="preserve">Pineros Polo 2024</w:t>
        </w:r>
      </w:hyperlink>
      <w:r>
        <w:t xml:space="preserve">)</w:t>
      </w:r>
      <w:r>
        <w:t xml:space="preserve">. Decidir en Derecho no es solo aplicar patrones; implica motivar, ponderar, asumir responsabilidad institucional, responder a garantías procesales y aceptar que la decisión puede ser revisada y criticada con argumentos públicos. Precisamente por eso, este módulo asume que la IA será más defendible cuanto más claramente se la ubique como apoyo evaluable, documentable y controlable, y no como atajo para escapar del trabajo del juicio.</w:t>
      </w:r>
    </w:p>
    <w:p>
      <w:pPr>
        <w:pStyle w:val="Textoindependiente"/>
      </w:pPr>
      <w:r>
        <w:t xml:space="preserve">Todo esto exige una actitud intelectual muy concreta. Frente a la inteligencia artificial, el jurista no necesita adoptar la pose del ingeniero ni refugiarse en la comodidad del tecnófobo. Necesita aprender a formular mejores preguntas. ¿Qué tarea específica se está automatizando o asistiendo? ¿Qué corpus alimenta el sistema? ¿Qué tipo de error produce cuando falla? ¿Qué derechos podrían verse afectados? ¿Quién supervisa y con qué autoridad? ¿Cómo se documenta el uso? ¿Cuándo conviene decir sí y cuándo conviene decir no? Esas preguntas son, en buena medida, la forma contemporánea de la prudencia jurídica.</w:t>
      </w:r>
    </w:p>
    <w:p>
      <w:pPr>
        <w:pStyle w:val="Textoindependiente"/>
      </w:pPr>
      <w:r>
        <w:t xml:space="preserve">El módulo se organiza para construir esa prudencia paso a paso. El capítulo 9, “Fundamentos de inteligencia artificial”, abre con un trabajo de limpieza conceptual. Antes de evaluar o adoptar una herramienta, hace falta distinguir automatización, aprendizaje automático, IA generativa y modelos de lenguaje; entender por qué un texto plausible no equivale a una respuesta jurídicamente válida; y reconocer riesgos estructurales como la</w:t>
      </w:r>
      <w:r>
        <w:t xml:space="preserve"> </w:t>
      </w:r>
      <w:r>
        <w:rPr>
          <w:rStyle w:val="VerbatimChar"/>
        </w:rPr>
        <w:t xml:space="preserve">confabulation</w:t>
      </w:r>
      <w:r>
        <w:t xml:space="preserve">, los sesgos o la sobreconfianza inducida por la fluidez verbal. La apuesta de ese capítulo no es ofrecer una taxonomía abstracta, sino volver legible el funcionamiento general de herramientas que ya circulan en el trabajo jurídico.</w:t>
      </w:r>
    </w:p>
    <w:p>
      <w:pPr>
        <w:pStyle w:val="Textoindependiente"/>
      </w:pPr>
      <w:r>
        <w:t xml:space="preserve">El capítulo 10, “Evaluar, gobernar e integrar IA en contextos jurídicos”, da el siguiente paso y se concentra en las condiciones institucionales del uso. La cuestión ya no será solo qué hace la IA, sino cómo se la prueba, cómo se mide su desempeño, cómo se gradúan controles según el riesgo y qué significa realmente mantener supervisión humana. En vez de tratar la gobernanza como burocracia añadida, ese capítulo la presenta como la forma misma de decidir si una integración merece confianza o si solo produce una ilusión de innovación.</w:t>
      </w:r>
    </w:p>
    <w:p>
      <w:pPr>
        <w:pStyle w:val="Textoindependiente"/>
      </w:pPr>
      <w:r>
        <w:t xml:space="preserve">El capítulo 11, “Proyectos Legal Tech peruanos”, cierra el módulo desplazando la discusión hacia casos concretos. Allí la IA deja de aparecer como un debate abstracto para mostrarse en proyectos reales del ecosistema peruano. El interés de ese cierre no está en hacer una lista de productos, sino en aprender a leerlos como soluciones institucionales: qué problema resolvían, qué datos movilizan, qué parte del trabajo jurídico reorganizan y qué tipo de supervisión siguen necesitando. Esa lectura permite conectar el análisis técnico y normativo con un entorno profesional tangible.</w:t>
      </w:r>
    </w:p>
    <w:p>
      <w:pPr>
        <w:pStyle w:val="Textoindependiente"/>
      </w:pPr>
      <w:r>
        <w:t xml:space="preserve">Mirado en conjunto, este módulo no busca formar creyentes de la inteligencia artificial ni fiscales morales de toda herramienta nueva. Busca algo más útil: formar juristas capaces de reconocer valor sin ingenuidad, riesgo sin parálisis y oportunidad sin pérdida de criterio. En un campo donde la retórica de la disrupción suele ser ruidosa, conviene recordar una idea más sobria: una tecnología jurídicamente relevante no se mide por cuánto impresiona, sino por cuánto puede integrarse a prácticas responsables, explicables y compatibles con derechos.</w:t>
      </w:r>
    </w:p>
    <w:p>
      <w:pPr>
        <w:pStyle w:val="Textoindependiente"/>
      </w:pPr>
      <w:r>
        <w:t xml:space="preserve">También por eso este módulo dialoga con todo lo aprendido antes en el manual. El pensamiento computacional enseñó a descomponer problemas y volver explícitas las reglas. La automatización mostró que procesos y datos importan tanto como la herramienta visible. La web, la nube y la ciberseguridad recordaron que toda solución técnica depende de infraestructura, circulación de información y gestión de riesgo. La inteligencia artificial llega, entonces, no como un capítulo aislado, sino como una condensación de preguntas previas: qué información entra, cómo se organiza, qué salida produce, quién la revisa y qué responsabilidad se asume por ella.</w:t>
      </w:r>
    </w:p>
    <w:p>
      <w:pPr>
        <w:pStyle w:val="Textoindependiente"/>
      </w:pPr>
      <w:r>
        <w:t xml:space="preserve">Si una idea debe quedar clara al abrir este módulo, podría formularse así: la inteligencia artificial ya forma parte del horizonte de trabajo del Derecho peruano y comparado, pero su incorporación legítima depende menos de su brillo técnico que de la capacidad institucional y profesional para entenderla, gobernarla y limitarla. Ese es el marco con el que avanzarán los capítulos que siguen.</w:t>
      </w:r>
    </w:p>
    <w:bookmarkEnd w:id="454"/>
    <w:bookmarkStart w:id="475"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Applications/quarto/share/formats/docx/note.png" id="45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más preciso para hablar de inteligencia artificial sin mezclar automatización, aprendizaje automático, IA generativa y modelos de lenguaje. El objetivo es entender qué hace realmente un LLM, por qué una respuesta plausible puede seguir siendo errónea, qué riesgos se vuelven especialmente delicados en Derecho y cómo probar estas herramientas sin caer en confianza ingenua</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Start w:id="457" w:name="X65ea50c2f6af8d4c896fcef239c1e2bdf615092"/>
    <w:p>
      <w:pPr>
        <w:pStyle w:val="Ttulo2"/>
      </w:pPr>
      <w:r>
        <w:t xml:space="preserve">La IA llegó antes que el vocabulario para discutirla</w:t>
      </w:r>
    </w:p>
    <w:p>
      <w:pPr>
        <w:pStyle w:val="FirstParagraph"/>
      </w:pPr>
      <w:r>
        <w:t xml:space="preserve">La inteligencia artificial se volvió visible para el gran público cuando empezó a escribir, resumir y conversar con una fluidez que parecía reservada al lenguaje humano. Sin embargo, la dificultad no comenzó con esas herramientas, sino con la pobreza de las categorías con las que solemos hablar de ellas. Muy pronto se volvió habitual llamar “IA” a cualquier proceso digital más o menos sofisticado, como si automatizar, clasificar, predecir y generar texto fueran operaciones equivalentes. Esa simplificación vuelve más torpe el análisis jurídico, porque impide distinguir entre tareas, riesgos y niveles de control que no son iguales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 Ordenar el vocabulario importa además porque la propia conversación regulatoria tiende a exigir transparencia y supervisión humana como principios operativos, no decorativos, del uso de IA</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Por eso conviene empezar por una advertencia de método. En este capítulo no interesa decidir si la IA impresiona o decepciona, sino volverla intelectualmente legible. Para un estudiante de Derecho, entender una tecnología no significa solo aprender qué promete, sino también en qué tipo de operación descansa, qué errores produce, qué derechos puede comprometer y qué clase de supervisión exige</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bookmarkEnd w:id="457"/>
    <w:bookmarkStart w:id="458" w:name="Xb165517129c46fb02fe9c6f0855bf0814edca09"/>
    <w:p>
      <w:pPr>
        <w:pStyle w:val="Ttulo2"/>
      </w:pPr>
      <w:r>
        <w:t xml:space="preserve">Separar conceptos evita entusiasmos confusos</w:t>
      </w:r>
    </w:p>
    <w:p>
      <w:pPr>
        <w:pStyle w:val="FirstParagraph"/>
      </w:pPr>
      <w:r>
        <w:t xml:space="preserve">La primera distinción importante es entre automatización e inteligencia artificial. Si un sistema aplica reglas explícitas del tipo “si falta firma, observar” o “si el plazo venció, alertar”, estamos ante una automatización basada en reglas. Esa clase de herramienta puede ser extraordinariamente útil y, de hecho, gran parte del valor práctico del legaltech sigue estando allí: en ordenar secuencias, reducir fricción, recuperar información y ejecutar criterios previamente definidos. No toda solución útil necesita aprender por sí misma ni producir lenguaje natural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El aprendizaje automático aparece cuando un sistema ya no depende solo de reglas escritas una por una, sino que identifica patrones a partir de datos. Sobre esa base, algunos sistemas clasifican, recomiendan, priorizan o predicen. La IA generativa da un paso adicional: produce contenido nuevo, como texto, imagen, audio o código, a partir de patrones aprendidos en grandes corpus. Los modelos de lenguaje de gran escala, o LLM, pertenecen a esta última familia y son especialmente relevantes para el trabajo jurídico porque operan justamente sobre el material con el que el Derecho piensa y decide: lenguaje, documentos, narrativas, citas y argumentos</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bookmarkEnd w:id="458"/>
    <w:bookmarkStart w:id="461" w:name="X093c37240ee3c5fbbc306266900e1105df9ed28"/>
    <w:p>
      <w:pPr>
        <w:pStyle w:val="Ttulo2"/>
      </w:pPr>
      <w:r>
        <w:t xml:space="preserve">¿Qué hace un modelo de lenguaje y qué no hace?</w:t>
      </w:r>
    </w:p>
    <w:p>
      <w:pPr>
        <w:pStyle w:val="FirstParagraph"/>
      </w:pPr>
      <w:r>
        <w:t xml:space="preserve">El perfil del NIST para IA generativa resulta útil porque ofrece una definición suficientemente sobria. Allí se presenta la IA generativa como una clase de modelos capaces de emular la estructura y las características de datos de entrada para producir contenido sintético derivado, y se explica que, en el caso de los LLM, buena parte del funcionamiento depende de predicción estadística sobre secuencias de texto</w:t>
      </w:r>
      <w:r>
        <w:t xml:space="preserve"> </w:t>
      </w:r>
      <w:r>
        <w:t xml:space="preserve">(</w:t>
      </w:r>
      <w:hyperlink w:anchor="ref-nistgaiprofile2024">
        <w:r>
          <w:rPr>
            <w:rStyle w:val="Hipervnculo"/>
          </w:rPr>
          <w:t xml:space="preserve">Autio et al. 2024</w:t>
        </w:r>
      </w:hyperlink>
      <w:r>
        <w:t xml:space="preserve">)</w:t>
      </w:r>
      <w:r>
        <w:t xml:space="preserve">. Esta observación importa mucho más de lo que parece. Significa que el modelo no “piensa” una norma como la piensa un jurista, ni “comprende” una controversia en sentido institucional fuerte. Lo que hace es generar una continuación lingüística plausible bajo ciertas regularidades aprendidas.</w:t>
      </w:r>
    </w:p>
    <w:p>
      <w:pPr>
        <w:pStyle w:val="Textoindependiente"/>
      </w:pPr>
      <w:r>
        <w:t xml:space="preserve">Ese mecanismo basta para producir efectos impresionantes. Un LLM puede resumir, reformular, clasificar, sugerir estructuras, traducir registros de lenguaje y construir borradores iniciales con gran rapidez. En el trabajo jurídico, eso explica por qué estas herramientas resultan atractivas para revisar documentos extensos, organizar consultas o producir primeras versiones de escritos. Pero la misma base estadística explica también su límite. Una respuesta puede estar bien escrita y mal fundada. Puede sonar jurídica sin haber controlado realmente la fuente, el contexto ni el alcance normativo del problema</w:t>
      </w:r>
      <w:r>
        <w:t xml:space="preserve"> </w:t>
      </w:r>
      <w:r>
        <w:t xml:space="preserve">(</w:t>
      </w:r>
      <w:hyperlink w:anchor="ref-nistgaiprofile2024">
        <w:r>
          <w:rPr>
            <w:rStyle w:val="Hipervnculo"/>
          </w:rPr>
          <w:t xml:space="preserve">Autio et al. 2024</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Applications/quarto/share/formats/docx/important.png" id="46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Derecho, una respuesta convincente no basta. Cada uso de IA generativa debería plantearse con una pregunta previa: ¿esta tarea admite una salida probable que luego revisaré, o exige desde el inicio exactitud, fuente verificable y control fino de contexto? La diferencia entre ambos escenarios cambia por completo la prudencia con la que conviene usar la herramienta</w:t>
            </w:r>
            <w:r>
              <w:t xml:space="preserve"> </w:t>
            </w:r>
            <w:r>
              <w:t xml:space="preserve">(</w:t>
            </w:r>
            <w:hyperlink w:anchor="ref-oecdaiprinciples2026">
              <w:r>
                <w:rPr>
                  <w:rStyle w:val="Hipervnculo"/>
                </w:rPr>
                <w:t xml:space="preserve">OECD 2026</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End w:id="461"/>
    <w:bookmarkStart w:id="462" w:name="X762727f3a574942deaf3a73dd336aba92121cfb"/>
    <w:p>
      <w:pPr>
        <w:pStyle w:val="Ttulo2"/>
      </w:pPr>
      <w:r>
        <w:t xml:space="preserve">Por qué el problema de las alucinaciones está mal nombrado y bien orientado</w:t>
      </w:r>
    </w:p>
    <w:p>
      <w:pPr>
        <w:pStyle w:val="FirstParagraph"/>
      </w:pPr>
      <w:r>
        <w:t xml:space="preserve">En la conversación cotidiana se habla de “alucinaciones”, pero el NIST propone un término más útil:</w:t>
      </w:r>
      <w:r>
        <w:t xml:space="preserve"> </w:t>
      </w:r>
      <w:r>
        <w:rPr>
          <w:rStyle w:val="VerbatimChar"/>
        </w:rPr>
        <w:t xml:space="preserve">confabulation</w:t>
      </w:r>
      <w:r>
        <w:t xml:space="preserve">. Se trata de la producción de contenido falso o erróneo expresado con confianza, incluyendo respuestas que contradicen el propio prompt, el contexto previo o hechos verificables</w:t>
      </w:r>
      <w:r>
        <w:t xml:space="preserve"> </w:t>
      </w:r>
      <w:r>
        <w:t xml:space="preserve">(</w:t>
      </w:r>
      <w:hyperlink w:anchor="ref-nistgaiprofile2024">
        <w:r>
          <w:rPr>
            <w:rStyle w:val="Hipervnculo"/>
          </w:rPr>
          <w:t xml:space="preserve">Autio et al. 2024</w:t>
        </w:r>
      </w:hyperlink>
      <w:r>
        <w:t xml:space="preserve">)</w:t>
      </w:r>
      <w:r>
        <w:t xml:space="preserve">. La ventaja de este lenguaje es doble. Primero, evita atribuir al sistema un estado mental humano. Segundo, subraya que no estamos ante un accidente extravagante, sino ante un riesgo estructural de modelos que generan texto aproximando distribuciones estadísticas de entrenamiento</w:t>
      </w:r>
      <w:r>
        <w:t xml:space="preserve"> </w:t>
      </w:r>
      <w:r>
        <w:t xml:space="preserve">(</w:t>
      </w:r>
      <w:hyperlink w:anchor="ref-nistgaiprofile2024">
        <w:r>
          <w:rPr>
            <w:rStyle w:val="Hipervnculo"/>
          </w:rPr>
          <w:t xml:space="preserve">Autio et al. 2024</w:t>
        </w:r>
      </w:hyperlink>
      <w:r>
        <w:t xml:space="preserve">)</w:t>
      </w:r>
      <w:r>
        <w:t xml:space="preserve">.</w:t>
      </w:r>
    </w:p>
    <w:p>
      <w:pPr>
        <w:pStyle w:val="Textoindependiente"/>
      </w:pPr>
      <w:r>
        <w:t xml:space="preserve">Esto adquiere una gravedad particular en Derecho. Una confabulación no siempre aparece como disparate visible. A veces se manifiesta como una cita plausible pero inexistente, una interpretación demasiado segura, una omisión decisiva o una cadena argumentativa internamente elegante y normativamente falsa. El problema no es solo que el modelo se equivoque, sino que lo haga con una seguridad verbal que puede inducir confianza indebida, sobre todo en tareas abiertas y dependientes de fuerte experticia contextual</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 En otras palabras, la fluidez no debe confundirse con fundamento, y en Derecho ese desliz puede comprometer fuente, contexto y responsabilidad.</w:t>
      </w:r>
    </w:p>
    <w:bookmarkEnd w:id="462"/>
    <w:bookmarkStart w:id="463" w:name="Xa121962da2646d7a8ed829686b24114ff0cb751"/>
    <w:p>
      <w:pPr>
        <w:pStyle w:val="Ttulo2"/>
      </w:pPr>
      <w:r>
        <w:t xml:space="preserve">Sesgos, sobreconfianza e integridad de la información</w:t>
      </w:r>
    </w:p>
    <w:p>
      <w:pPr>
        <w:pStyle w:val="FirstParagraph"/>
      </w:pPr>
      <w:r>
        <w:t xml:space="preserve">El riesgo de la IA generativa no se agota en fabricar datos falsos. El mismo perfil del NIST agrupa otros peligros que ayudan a pensar mejor el problema: sesgos perjudiciales, riesgos de privacidad, degradación de la integridad de la información, seguridad y formas de sobredependencia humana frente al sistema</w:t>
      </w:r>
      <w:r>
        <w:t xml:space="preserve"> </w:t>
      </w:r>
      <w:r>
        <w:t xml:space="preserve">(</w:t>
      </w:r>
      <w:hyperlink w:anchor="ref-nistgaiprofile2024">
        <w:r>
          <w:rPr>
            <w:rStyle w:val="Hipervnculo"/>
          </w:rPr>
          <w:t xml:space="preserve">Autio et al. 2024</w:t>
        </w:r>
      </w:hyperlink>
      <w:r>
        <w:t xml:space="preserve">)</w:t>
      </w:r>
      <w:r>
        <w:t xml:space="preserve">. La OECD refuerza ese panorama al insistir en que una IA confiable debe respetar derechos humanos y valores democráticos, incorporar supervisión humana adecuada al contexto y dejar trazabilidad suficiente para someter sus resultados a control</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Aquí aparece un desplazamiento importante para el análisis jurídico. La pregunta no es solo si el sistema acierta mucho, sino qué tipo de daño produce cuando falla, a quién perjudica, qué información oculta sobre su funcionamiento y qué grado de revisión humana sigue siendo posible. Páez, Gutiérrez y Acosta-Navas insisten, desde una perspectiva centrada en las ciencias sociales, en que evaluar IA únicamente por rendimiento técnico deja fuera dimensiones humanas e institucionales decisivas, como desigualdad, reconfiguración de relaciones y efectos sobre burocracias y regímenes políticos</w:t>
      </w:r>
      <w:r>
        <w:t xml:space="preserve"> </w:t>
      </w:r>
      <w:r>
        <w:t xml:space="preserve">(</w:t>
      </w:r>
      <w:hyperlink w:anchor="ref-paez2025humancentered">
        <w:r>
          <w:rPr>
            <w:rStyle w:val="Hipervnculo"/>
          </w:rPr>
          <w:t xml:space="preserve">Páez et al. 2025</w:t>
        </w:r>
      </w:hyperlink>
      <w:r>
        <w:t xml:space="preserve">)</w:t>
      </w:r>
      <w:r>
        <w:t xml:space="preserve">.</w:t>
      </w:r>
    </w:p>
    <w:bookmarkEnd w:id="463"/>
    <w:bookmarkStart w:id="464" w:name="el-derecho-no-usa-lenguaje-en-abstracto"/>
    <w:p>
      <w:pPr>
        <w:pStyle w:val="Ttulo2"/>
      </w:pPr>
      <w:r>
        <w:t xml:space="preserve">El Derecho no usa lenguaje en abstracto</w:t>
      </w:r>
    </w:p>
    <w:p>
      <w:pPr>
        <w:pStyle w:val="FirstParagraph"/>
      </w:pPr>
      <w:r>
        <w:t xml:space="preserve">La razón por la que estos riesgos importan tanto en Derecho es sencilla: el lenguaje jurídico no funciona como un texto cualquiera. No basta con sonar correcto. Hay que distinguir hechos, identificar fuentes, ponderar efectos, respetar garantías y entender que una palabra cambia de sentido según el procedimiento, la materia o el órgano que decide. El problema de la IA generativa no es solo que pueda equivocarse, sino que puede ocultar muy bien el punto exacto en el que empezó a equivocarse</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Por eso la discusión sobre IA en justicia y decisión pública no puede reducirse a eficiencia. La figura del “juez robot”, por ejemplo, funciona menos como proyecto inmediato que como experimento intelectual para recordar algo elemental: una decisión jurídicamente sensible incorpora motivación, interpretación, independencia y responsabilidad institucional que no se dejan traducir sin pérdida a una mera salida computable</w:t>
      </w:r>
      <w:r>
        <w:t xml:space="preserve"> </w:t>
      </w:r>
      <w:r>
        <w:t xml:space="preserve">(</w:t>
      </w:r>
      <w:hyperlink w:anchor="ref-pinerospolo2024juezrobot">
        <w:r>
          <w:rPr>
            <w:rStyle w:val="Hipervnculo"/>
          </w:rPr>
          <w:t xml:space="preserve">Pineros Polo 2024</w:t>
        </w:r>
      </w:hyperlink>
      <w:r>
        <w:t xml:space="preserve">)</w:t>
      </w:r>
      <w:r>
        <w:t xml:space="preserve">. Dicho en términos más sobrios, la IA parece mucho más defendible como apoyo operativo o documental que como sustitución integral del juicio jurídico.</w:t>
      </w:r>
    </w:p>
    <w:bookmarkEnd w:id="464"/>
    <w:bookmarkStart w:id="467" w:name="Xe540cb96f46071595c65df290e2f897a60a32ac"/>
    <w:p>
      <w:pPr>
        <w:pStyle w:val="Ttulo2"/>
      </w:pPr>
      <w:r>
        <w:t xml:space="preserve">RAG y el problema de la fuente verificable</w:t>
      </w:r>
    </w:p>
    <w:p>
      <w:pPr>
        <w:pStyle w:val="FirstParagraph"/>
      </w:pPr>
      <w:r>
        <w:t xml:space="preserve">Uno de los desarrollos más interesantes para el mundo jurídico es RAG, esto es, la combinación entre recuperación de información y generación de respuesta. La lógica es simple: antes de responder, el sistema busca documentos relevantes y usa ese material como apoyo para producir una salida</w:t>
      </w:r>
      <w:r>
        <w:t xml:space="preserve"> </w:t>
      </w:r>
      <w:r>
        <w:t xml:space="preserve">(</w:t>
      </w:r>
      <w:hyperlink w:anchor="ref-nistairmf2026">
        <w:r>
          <w:rPr>
            <w:rStyle w:val="Hipervnculo"/>
          </w:rPr>
          <w:t xml:space="preserve">NIST 2026</w:t>
        </w:r>
      </w:hyperlink>
      <w:r>
        <w:t xml:space="preserve">)</w:t>
      </w:r>
      <w:r>
        <w:t xml:space="preserve">. No elimina los riesgos, pero sí permite reducir parte de la deriva puramente inventiva del modelo cuando la base documental está bien curada y la respuesta conserva trazabilidad.</w:t>
      </w:r>
    </w:p>
    <w:p>
      <w:pPr>
        <w:pStyle w:val="Textoindependiente"/>
      </w:pPr>
      <w:r>
        <w:t xml:space="preserve">El ecosistema legaltech peruano ofrece un ejemplo útil para pensar esto. Según el</w:t>
      </w:r>
      <w:r>
        <w:t xml:space="preserve"> </w:t>
      </w:r>
      <w:r>
        <w:rPr>
          <w:i/>
          <w:iCs/>
        </w:rPr>
        <w:t xml:space="preserve">Mapeo LegalTech Perú 2025</w:t>
      </w:r>
      <w:r>
        <w:t xml:space="preserve">, Juztina organiza la consulta jurídica como una conversación apoyada en fuentes oficiales curadas y técnicas de RAG, con la promesa de reducir horas de búsqueda sin renunciar a la trazabilidad de la respuesta</w:t>
      </w:r>
      <w:r>
        <w:t xml:space="preserve"> </w:t>
      </w:r>
      <w:r>
        <w:t xml:space="preserve">(</w:t>
      </w:r>
      <w:hyperlink w:anchor="ref-mapeolegaltechperu2025">
        <w:r>
          <w:rPr>
            <w:rStyle w:val="Hipervnculo"/>
          </w:rPr>
          <w:t xml:space="preserve">Iniciativa Tech &amp; Law 2025</w:t>
        </w:r>
      </w:hyperlink>
      <w:r>
        <w:t xml:space="preserve">)</w:t>
      </w:r>
      <w:r>
        <w:t xml:space="preserve">. Lo importante aquí no es solo el brillo del producto, sino la intuición metodológica: en Derecho, generar mejor muchas veces significa antes recuperar mejor. La calidad de la respuesta depende en buena medida de la calidad, delimitación y control del corpus sobre el que el sistema trabaja.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Applications/quarto/share/formats/docx/note.png" id="46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Un LLM aislado puede redactar con soltura. Un sistema jurídicamente útil necesita, además, fuente curada, contexto delimitado y una revisión humana capaz de detectar lo que el modelo no sabe que ignora</w:t>
            </w:r>
            <w:r>
              <w:t xml:space="preserve"> </w:t>
            </w:r>
            <w:r>
              <w:t xml:space="preserve">(</w:t>
            </w:r>
            <w:hyperlink w:anchor="ref-nistgaiprofile2024">
              <w:r>
                <w:rPr>
                  <w:rStyle w:val="Hipervnculo"/>
                </w:rPr>
                <w:t xml:space="preserve">Autio et al. 2024</w:t>
              </w:r>
            </w:hyperlink>
            <w:r>
              <w:t xml:space="preserve">;</w:t>
            </w:r>
            <w:r>
              <w:t xml:space="preserve"> </w:t>
            </w:r>
            <w:hyperlink w:anchor="ref-mapeolegaltechperu2025">
              <w:r>
                <w:rPr>
                  <w:rStyle w:val="Hipervnculo"/>
                </w:rPr>
                <w:t xml:space="preserve">Iniciativa Tech &amp; Law 2025</w:t>
              </w:r>
            </w:hyperlink>
            <w:r>
              <w:t xml:space="preserve">)</w:t>
            </w:r>
            <w:r>
              <w:t xml:space="preserve">.</w:t>
            </w:r>
          </w:p>
          <w:p/>
        </w:tc>
      </w:tr>
    </w:tbl>
    <w:bookmarkEnd w:id="467"/>
    <w:bookmarkStart w:id="468" w:name="Xcc63fb89a7f5c959810ddd735301d1885ad5c8e"/>
    <w:p>
      <w:pPr>
        <w:pStyle w:val="Ttulo2"/>
      </w:pPr>
      <w:r>
        <w:t xml:space="preserve">Cómo probar una herramienta sin autoengañarse</w:t>
      </w:r>
    </w:p>
    <w:p>
      <w:pPr>
        <w:pStyle w:val="FirstParagraph"/>
      </w:pPr>
      <w:r>
        <w:t xml:space="preserve">La mejor forma de empezar a usar estas herramientas no es pedirles “algo jurídico” y dejarse impresionar por el tono. Conviene construir pruebas pequeñas, repetibles y comparables. El mismo caso, dos o tres prompts distintos, una consigna clara de citación, una fuente conocida y una revisión posterior que anote aciertos, errores, omisiones y cambios de criterio. Ese registro convierte una intuición difusa en observación más seria</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Un buen experimento de aula puede ser este: tomar una resolución breve o una norma conocida, pedir al sistema un resumen, luego un cuadro de problemas jurídicos y finalmente una explicación para público no especializado. Lo que interesa no es solo si el resultado “sirve”, sino en qué punto exagera, simplifica demasiado, inventa, pierde matices o cambia de tono sin razón visible. Cuando esa observación se documenta, el estudiante deja de usar la herramienta como oráculo y empieza a tratarla como objeto de evaluación.</w:t>
      </w:r>
    </w:p>
    <w:bookmarkEnd w:id="468"/>
    <w:bookmarkStart w:id="469" w:name="práctica-en-editor-4"/>
    <w:p>
      <w:pPr>
        <w:pStyle w:val="Ttulo2"/>
      </w:pPr>
      <w:r>
        <w:t xml:space="preserve">Práctica en editor</w:t>
      </w:r>
    </w:p>
    <w:p>
      <w:pPr>
        <w:pStyle w:val="FirstParagraph"/>
      </w:pPr>
      <w:r>
        <w:t xml:space="preserve">Registra en un archivo de texto o Markdown tres pruebas controladas sobre una misma fuente jurídica breve. Anota para cada una:</w:t>
      </w:r>
    </w:p>
    <w:p>
      <w:pPr>
        <w:pStyle w:val="Compact"/>
        <w:numPr>
          <w:ilvl w:val="0"/>
          <w:numId w:val="1087"/>
        </w:numPr>
      </w:pPr>
      <w:r>
        <w:t xml:space="preserve">el prompt utilizado;</w:t>
      </w:r>
    </w:p>
    <w:p>
      <w:pPr>
        <w:pStyle w:val="Compact"/>
        <w:numPr>
          <w:ilvl w:val="0"/>
          <w:numId w:val="1087"/>
        </w:numPr>
      </w:pPr>
      <w:r>
        <w:t xml:space="preserve">la salida obtenida;</w:t>
      </w:r>
    </w:p>
    <w:p>
      <w:pPr>
        <w:pStyle w:val="Compact"/>
        <w:numPr>
          <w:ilvl w:val="0"/>
          <w:numId w:val="1087"/>
        </w:numPr>
      </w:pPr>
      <w:r>
        <w:t xml:space="preserve">qué parte parecía útil;</w:t>
      </w:r>
    </w:p>
    <w:p>
      <w:pPr>
        <w:pStyle w:val="Compact"/>
        <w:numPr>
          <w:ilvl w:val="0"/>
          <w:numId w:val="1087"/>
        </w:numPr>
      </w:pPr>
      <w:r>
        <w:t xml:space="preserve">qué parte exigía verificación;</w:t>
      </w:r>
    </w:p>
    <w:p>
      <w:pPr>
        <w:pStyle w:val="Compact"/>
        <w:numPr>
          <w:ilvl w:val="0"/>
          <w:numId w:val="1087"/>
        </w:numPr>
      </w:pPr>
      <w:r>
        <w:t xml:space="preserve">qué errores, vacíos o invenciones aparecieron.</w:t>
      </w:r>
    </w:p>
    <w:p>
      <w:pPr>
        <w:pStyle w:val="FirstParagraph"/>
      </w:pPr>
      <w:r>
        <w:t xml:space="preserve">Si quieres profundizar, añade una sexta columna o sección donde indiques si el problema fue de fuente, de contexto, de lenguaje o de confianza excesiva de la respuesta.</w:t>
      </w:r>
    </w:p>
    <w:bookmarkEnd w:id="469"/>
    <w:bookmarkStart w:id="474" w:name="conclusiones-del-capítulo-8"/>
    <w:p>
      <w:pPr>
        <w:pStyle w:val="Ttulo2"/>
      </w:pPr>
      <w:r>
        <w:t xml:space="preserve">Conclusiones del capítulo</w:t>
      </w:r>
    </w:p>
    <w:p>
      <w:pPr>
        <w:pStyle w:val="FirstParagraph"/>
      </w:pPr>
      <w:r>
        <w:t xml:space="preserve">Comprender la IA en un manual de Legal Tech no significa adorarlas ni temerlas, sino distinguir operaciones y riesgos con suficiente claridad como para usarlas con criterio. La automatización basada en reglas, el aprendizaje automático, la IA generativa y los LLM no son lo mismo. Tampoco comprometen las mismas garantías. En Derecho, esa diferencia importa porque el material de trabajo no es solo información, sino lenguaje normativo, justificación, responsabilidad y efectos sobre personas concretas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La lección más importante de esta sesión puede formularse así: los modelos de lenguaje son herramientas poderosas para reorganizar, resumir y producir borradores, pero siguen siendo inseguros allí donde una apariencia de corrección puede ocultar un error de fuente, de contexto o de juicio. Por eso la competencia básica del jurista frente a IA no es la fascinación, sino la capacidad de probar, contrastar y decidir cuándo una salida puede servir como apoyo y cuándo debe ser descartada.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Applications/quarto/share/formats/docx/tip.png" id="47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8"/>
              </w:numPr>
            </w:pPr>
            <w:r>
              <w:t xml:space="preserve">no toda automatización es inteligencia artificial, y no toda IA es generativa;</w:t>
            </w:r>
          </w:p>
          <w:p>
            <w:pPr>
              <w:pStyle w:val="Compact"/>
              <w:numPr>
                <w:ilvl w:val="0"/>
                <w:numId w:val="1088"/>
              </w:numPr>
            </w:pPr>
            <w:r>
              <w:t xml:space="preserve">un LLM produce texto plausible, no comprensión jurídica en sentido fuerte;</w:t>
            </w:r>
          </w:p>
          <w:p>
            <w:pPr>
              <w:pStyle w:val="Compact"/>
              <w:numPr>
                <w:ilvl w:val="0"/>
                <w:numId w:val="1088"/>
              </w:numPr>
            </w:pPr>
            <w:r>
              <w:t xml:space="preserve">las</w:t>
            </w:r>
            <w:r>
              <w:t xml:space="preserve"> </w:t>
            </w:r>
            <w:r>
              <w:rPr>
                <w:rStyle w:val="VerbatimChar"/>
              </w:rPr>
              <w:t xml:space="preserve">confabulaciones</w:t>
            </w:r>
            <w:r>
              <w:t xml:space="preserve"> </w:t>
            </w:r>
            <w:r>
              <w:t xml:space="preserve">son un riesgo estructural, no una rareza anecdótica;</w:t>
            </w:r>
          </w:p>
          <w:p>
            <w:pPr>
              <w:pStyle w:val="Compact"/>
              <w:numPr>
                <w:ilvl w:val="0"/>
                <w:numId w:val="1088"/>
              </w:numPr>
            </w:pPr>
            <w:r>
              <w:t xml:space="preserve">en Derecho, fuente, contexto y revisión humana importan tanto como la fluidez de la respuesta;</w:t>
            </w:r>
          </w:p>
          <w:p>
            <w:pPr>
              <w:pStyle w:val="Compact"/>
              <w:numPr>
                <w:ilvl w:val="0"/>
                <w:numId w:val="1088"/>
              </w:numPr>
            </w:pPr>
            <w:r>
              <w:t xml:space="preserve">sistemas como RAG pueden mejorar trazabilidad, pero no eliminan la necesidad de control.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caution.png" id="47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Cuando una herramienta responde con tono seguro, la tentación es evaluar solo su utilidad inmediata. El problema más serio empieza cuando dejamos de preguntarnos de dónde salió la respuesta, qué omitió y quién responderá por ella si se usa en una decisión con consecuencias jurídicas reales.</w:t>
            </w:r>
          </w:p>
          <w:p/>
        </w:tc>
      </w:tr>
    </w:tbl>
    <w:bookmarkEnd w:id="474"/>
    <w:bookmarkEnd w:id="475"/>
    <w:bookmarkStart w:id="499"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Applications/quarto/share/formats/docx/note.png" id="4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interés inicial por la IA: cómo evaluarla, gobernarla e integrarla en flujos jurídicos sin convertir la novedad técnica en una fuente nueva de opacidad. El objetivo es construir criterios de evaluación, pensar el control humano, documentar pruebas, graduar controles según el riesgo y distinguir entre integraciones razonables y delegaciones imprudentes</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Start w:id="478" w:name="Xd4c703f01a8b311cb54ca7a378a648d0ce73730"/>
    <w:p>
      <w:pPr>
        <w:pStyle w:val="Ttulo2"/>
      </w:pPr>
      <w:r>
        <w:t xml:space="preserve">La pregunta relevante no es solo si funciona</w:t>
      </w:r>
    </w:p>
    <w:p>
      <w:pPr>
        <w:pStyle w:val="FirstParagraph"/>
      </w:pPr>
      <w:r>
        <w:t xml:space="preserve">Una herramienta puede producir una demostración brillante y seguir siendo una mala candidata para el trabajo jurídico cotidiano. El entusiasmo tecnológico suele fijarse en la velocidad, el estilo o la comodidad de la interfaz. Pero el Derecho obliga a formular preguntas más incómodas: de dónde sale la respuesta, qué daño puede producir un error, quién revisa el resultado, con qué criterios se corrige y cómo queda trazado todo el proceso. Evaluar IA con seriedad significa desplazar la atención desde la espectacularidad del output hacia la calidad institucional de su uso</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Ese desplazamiento es fundamental porque la integración de IA no es una cuestión puramente instrumental. Cada vez que una organización adopta una herramienta para resumir expedientes, clasificar consultas, priorizar alertas o asistir decisiones, está rediseñando relaciones entre personas, procesos, tiempos y responsabilidades. El problema jurídico no aparece al final, cuando algo falla. Aparece desde el inicio, cuando se decide cómo se usará la herramienta, qué tarea tocará, qué datos circularán y qué margen quedará para la revisión humana</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bookmarkEnd w:id="478"/>
    <w:bookmarkStart w:id="481" w:name="X5f6af0f11f5e985e449863b817f9653947e47a5"/>
    <w:p>
      <w:pPr>
        <w:pStyle w:val="Ttulo2"/>
      </w:pPr>
      <w:r>
        <w:t xml:space="preserve">Gobernar también significa diseñar la prueba</w:t>
      </w:r>
    </w:p>
    <w:p>
      <w:pPr>
        <w:pStyle w:val="FirstParagraph"/>
      </w:pPr>
      <w:r>
        <w:t xml:space="preserve">El AI Risk Management Framework del NIST propone una idea especialmente útil para este capítulo: la pregunta responsable sobre IA no es solo si el sistema acierta, sino cómo se gestionan sus riesgos antes, durante y después del uso</w:t>
      </w:r>
      <w:r>
        <w:t xml:space="preserve"> </w:t>
      </w:r>
      <w:r>
        <w:t xml:space="preserve">(</w:t>
      </w:r>
      <w:hyperlink w:anchor="ref-nistairmf2026">
        <w:r>
          <w:rPr>
            <w:rStyle w:val="Hipervnculo"/>
          </w:rPr>
          <w:t xml:space="preserve">NIST 2026</w:t>
        </w:r>
      </w:hyperlink>
      <w:r>
        <w:t xml:space="preserve">)</w:t>
      </w:r>
      <w:r>
        <w:t xml:space="preserve">. Su Playbook aterriza ese principio en cuatro funciones que sirven mucho para pensar un flujo jurídico real:</w:t>
      </w:r>
      <w:r>
        <w:t xml:space="preserve"> </w:t>
      </w:r>
      <w:r>
        <w:rPr>
          <w:rStyle w:val="VerbatimChar"/>
        </w:rPr>
        <w:t xml:space="preserve">Govern</w:t>
      </w:r>
      <w:r>
        <w:t xml:space="preserve">,</w:t>
      </w:r>
      <w:r>
        <w:t xml:space="preserve"> </w:t>
      </w:r>
      <w:r>
        <w:rPr>
          <w:rStyle w:val="VerbatimChar"/>
        </w:rPr>
        <w:t xml:space="preserve">Map</w:t>
      </w:r>
      <w:r>
        <w:t xml:space="preserve">,</w:t>
      </w:r>
      <w:r>
        <w:t xml:space="preserve"> </w:t>
      </w:r>
      <w:r>
        <w:rPr>
          <w:rStyle w:val="VerbatimChar"/>
        </w:rPr>
        <w:t xml:space="preserve">Measure</w:t>
      </w:r>
      <w:r>
        <w:t xml:space="preserve"> </w:t>
      </w:r>
      <w:r>
        <w:t xml:space="preserve">y</w:t>
      </w:r>
      <w:r>
        <w:t xml:space="preserve"> </w:t>
      </w:r>
      <w:r>
        <w:rPr>
          <w:rStyle w:val="VerbatimChar"/>
        </w:rPr>
        <w:t xml:space="preserve">Manage</w:t>
      </w:r>
      <w:r>
        <w:t xml:space="preserve"> </w:t>
      </w:r>
      <w:r>
        <w:t xml:space="preserve">(</w:t>
      </w:r>
      <w:hyperlink w:anchor="ref-nistplaybook2026">
        <w:r>
          <w:rPr>
            <w:rStyle w:val="Hipervnculo"/>
          </w:rPr>
          <w:t xml:space="preserve">NIST AI Resource Center 2026</w:t>
        </w:r>
      </w:hyperlink>
      <w:r>
        <w:t xml:space="preserve">)</w:t>
      </w:r>
      <w:r>
        <w:t xml:space="preserve">. La traducción pedagógica es directa. Primero se definen responsabilidades y reglas. Luego se entiende el contexto de uso. Después se mide el comportamiento del sistema. Y finalmente se gestionan los riesgos detectados.</w:t>
      </w:r>
    </w:p>
    <w:p>
      <w:pPr>
        <w:pStyle w:val="Textoindependiente"/>
      </w:pPr>
      <w:r>
        <w:t xml:space="preserve">Lo importante es que el propio Playbook advierte que esto no debe leerse como una checklist universal. No existe una secuencia idéntica para todos los casos, porque gobernar IA exige controles situados, proporcionales al riesgo y sensibles al tipo de tarea</w:t>
      </w:r>
      <w:r>
        <w:t xml:space="preserve"> </w:t>
      </w:r>
      <w:r>
        <w:t xml:space="preserve">(</w:t>
      </w:r>
      <w:hyperlink w:anchor="ref-nistplaybook2026">
        <w:r>
          <w:rPr>
            <w:rStyle w:val="Hipervnculo"/>
          </w:rPr>
          <w:t xml:space="preserve">NIST AI Resource Center 2026</w:t>
        </w:r>
      </w:hyperlink>
      <w:r>
        <w:t xml:space="preserve">)</w:t>
      </w:r>
      <w:r>
        <w:t xml:space="preserve">. Esa observación es muy valiosa para estudiantes de Derecho: evita la ilusión de que la gobernanza consiste en llenar formularios. En realidad, consiste en elegir bien qué preguntas formular y qué evidencia pedirle al sistema antes de confiar en él. La gobernanza útil no es la que acumula casillas, sino la que logra conectar riesgo, confiabilidad y capacidad real de revisión institucional</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Applications/quarto/share/formats/docx/important.png" id="48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evaluar una herramienta, conviene elegir una tarea pequeña, verificable y de riesgo controlado. También ayuda definir de antemano qué contará como error, quién hará la revisión humana, qué fuentes se considerarán suficientes y qué daño produciría una respuesta equivocada</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End w:id="481"/>
    <w:bookmarkStart w:id="482" w:name="X5c9823c89289b26a6b10ffda8df293d0eebe40a"/>
    <w:p>
      <w:pPr>
        <w:pStyle w:val="Ttulo2"/>
      </w:pPr>
      <w:r>
        <w:t xml:space="preserve">Criterios mínimos para una evaluación jurídicamente útil</w:t>
      </w:r>
    </w:p>
    <w:p>
      <w:pPr>
        <w:pStyle w:val="FirstParagraph"/>
      </w:pPr>
      <w:r>
        <w:t xml:space="preserve">Una primera evaluación puede organizarse en torno a cinco preguntas. La primera es si la herramienta ayuda realmente a la tarea o solo produce una ilusión de ayuda. La segunda es si reduce tiempo sin trasladar el costo a una revisión humana tan intensa que anule la ventaja. La tercera es si permite explicar de manera razonable cómo se llegó al resultado o, al menos, con qué insumos trabajó. La cuarta es qué daño produciría una salida equivocada. La quinta es si ese daño sería tolerable en ese contexto concreto</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La OECD añade aquí un criterio decisivo: una IA confiable exige transparencia significativa, supervisión humana adecuada al contexto y trazabilidad sobre datos, procesos y decisiones</w:t>
      </w:r>
      <w:r>
        <w:t xml:space="preserve"> </w:t>
      </w:r>
      <w:r>
        <w:t xml:space="preserve">(</w:t>
      </w:r>
      <w:hyperlink w:anchor="ref-oecdaiprinciples2026">
        <w:r>
          <w:rPr>
            <w:rStyle w:val="Hipervnculo"/>
          </w:rPr>
          <w:t xml:space="preserve">OECD 2026</w:t>
        </w:r>
      </w:hyperlink>
      <w:r>
        <w:t xml:space="preserve">)</w:t>
      </w:r>
      <w:r>
        <w:t xml:space="preserve">. Esto obliga a mirar más allá del rendimiento técnico. Un sistema rápido y elegante sigue siendo problemático si nadie puede revisar de manera inteligible sus límites, si el corpus que usa es opaco o si la organización no sabe responder quién es responsable cuando la salida se incorpora a una actuación con consecuencias jurídicas. Esa combinación entre transparencia y supervisión no es un ideal abstracto: funciona como condición operativa mínima para que la organización pueda sostener el uso de la herramienta sin perder control.</w:t>
      </w:r>
    </w:p>
    <w:bookmarkEnd w:id="482"/>
    <w:bookmarkStart w:id="485" w:name="el-control-humano-no-es-mirar-por-encima"/>
    <w:p>
      <w:pPr>
        <w:pStyle w:val="Ttulo2"/>
      </w:pPr>
      <w:r>
        <w:t xml:space="preserve">El control humano no es mirar por encima</w:t>
      </w:r>
    </w:p>
    <w:p>
      <w:pPr>
        <w:pStyle w:val="FirstParagraph"/>
      </w:pPr>
      <w:r>
        <w:t xml:space="preserve">Una de las expresiones más repetidas en estos debates es “human in the loop”. Pero en el trabajo jurídico esa fórmula solo tiene sentido si se la concreta. No basta con que una persona revise superficialmente el resultado. Hace falta saber quién revisa, qué revisa exactamente, con qué criterio valida, qué facultades tiene para corregir, descartar o escalar el caso, y cómo queda documentada esa intervención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pPr>
        <w:pStyle w:val="Textoindependiente"/>
      </w:pPr>
      <w:r>
        <w:t xml:space="preserve">Este punto merece insistirse porque la automatización no elimina el problema del juicio; lo redistribuye. En entornos cada vez más asistidos por IA, la supervisión humana se vuelve más exigente justamente cuando la salida parece suficientemente buena como para desalentar la revisión cuidadosa. En IA generativa esa tensión es especialmente fuerte: revisar una salida plausible suele requerir más criterio que revisar una salida torpemente equivocada</w:t>
      </w:r>
      <w:r>
        <w:t xml:space="preserve"> </w:t>
      </w:r>
      <w:r>
        <w:t xml:space="preserve">(</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Applications/quarto/share/formats/docx/note.png" id="48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supervisión humana solo vale como garantía cuando tiene contenido: criterio, tiempo, acceso a la fuente, autoridad para corregir y trazabilidad suficiente para reconstruir la decisión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tc>
      </w:tr>
    </w:tbl>
    <w:bookmarkEnd w:id="485"/>
    <w:bookmarkStart w:id="486" w:name="Xb21f85899bded567d2eb7234b39639ea8ad2c6e"/>
    <w:p>
      <w:pPr>
        <w:pStyle w:val="Ttulo2"/>
      </w:pPr>
      <w:r>
        <w:t xml:space="preserve">No toda tarea merece la misma intensidad de control</w:t>
      </w:r>
    </w:p>
    <w:p>
      <w:pPr>
        <w:pStyle w:val="FirstParagraph"/>
      </w:pPr>
      <w:r>
        <w:t xml:space="preserve">El AI Act europeo ofrece una intuición regulatoria muy pedagógica: no toda IA merece el mismo tratamiento jurídico, porque los controles deben graduarse según el riesgo que el uso concreto plantea para salud, seguridad o derechos fundamentales</w:t>
      </w:r>
      <w:r>
        <w:t xml:space="preserve"> </w:t>
      </w:r>
      <w:r>
        <w:t xml:space="preserve">(</w:t>
      </w:r>
      <w:hyperlink w:anchor="ref-euaiact2026">
        <w:r>
          <w:rPr>
            <w:rStyle w:val="Hipervnculo"/>
          </w:rPr>
          <w:t xml:space="preserve">European Commission 2026</w:t>
        </w:r>
      </w:hyperlink>
      <w:r>
        <w:t xml:space="preserve">)</w:t>
      </w:r>
      <w:r>
        <w:t xml:space="preserve">. La Comisión explica cuatro niveles: riesgo inaceptable, alto riesgo, riesgo limitado y riesgo mínimo o nulo</w:t>
      </w:r>
      <w:r>
        <w:t xml:space="preserve"> </w:t>
      </w:r>
      <w:r>
        <w:t xml:space="preserve">(</w:t>
      </w:r>
      <w:hyperlink w:anchor="ref-euaiact2026">
        <w:r>
          <w:rPr>
            <w:rStyle w:val="Hipervnculo"/>
          </w:rPr>
          <w:t xml:space="preserve">European Commission 2026</w:t>
        </w:r>
      </w:hyperlink>
      <w:r>
        <w:t xml:space="preserve">)</w:t>
      </w:r>
      <w:r>
        <w:t xml:space="preserve">. Incluso si ese marco no se aplica directamente en todos los contextos latinoamericanos, su lógica ayuda mucho a pensar con orden.</w:t>
      </w:r>
    </w:p>
    <w:p>
      <w:pPr>
        <w:pStyle w:val="Textoindependiente"/>
      </w:pPr>
      <w:r>
        <w:t xml:space="preserve">Llevado al aula, esto permite distinguir entre usos relativamente bajos en riesgo, como un primer resumen de lectura o una ayuda para lenguaje llano, y usos mucho más delicados, como sistemas que orienten acceso a beneficios, clasificación de personas, predicción de conducta o apoyo a decisiones jurisdiccionales. La primera pregunta de gobernanza, entonces, no es si la herramienta “usa IA”, sino qué tipo de daño podría producir y cuánta confianza institucional sería razonable depositar en ella</w:t>
      </w:r>
      <w:r>
        <w:t xml:space="preserve"> </w:t>
      </w:r>
      <w:r>
        <w:t xml:space="preserve">(</w:t>
      </w:r>
      <w:hyperlink w:anchor="ref-euaiact2026">
        <w:r>
          <w:rPr>
            <w:rStyle w:val="Hipervnculo"/>
          </w:rPr>
          <w:t xml:space="preserve">European Commission 2026</w:t>
        </w:r>
      </w:hyperlink>
      <w:r>
        <w:t xml:space="preserve">;</w:t>
      </w:r>
      <w:r>
        <w:t xml:space="preserve"> </w:t>
      </w:r>
      <w:hyperlink w:anchor="ref-perezugena2024ia">
        <w:r>
          <w:rPr>
            <w:rStyle w:val="Hipervnculo"/>
          </w:rPr>
          <w:t xml:space="preserve">Pérez-Ugena 2024</w:t>
        </w:r>
      </w:hyperlink>
      <w:r>
        <w:t xml:space="preserve">)</w:t>
      </w:r>
      <w:r>
        <w:t xml:space="preserve">.</w:t>
      </w:r>
    </w:p>
    <w:bookmarkEnd w:id="486"/>
    <w:bookmarkStart w:id="487" w:name="Xa712938c5302ac2f73faa97fd06f38e7f4a6ff2"/>
    <w:p>
      <w:pPr>
        <w:pStyle w:val="Ttulo2"/>
      </w:pPr>
      <w:r>
        <w:t xml:space="preserve">Transparencia, derechos y criterio jurídico</w:t>
      </w:r>
    </w:p>
    <w:p>
      <w:pPr>
        <w:pStyle w:val="FirstParagraph"/>
      </w:pPr>
      <w:r>
        <w:t xml:space="preserve">Evaluar IA en un entorno jurídico exige además un criterio material: qué derechos, garantías o posiciones jurídicas podrían verse afectados si el sistema se equivoca o si su lógica permanece opaca. Pérez-Ugena recuerda que la discusión regulatoria sobre IA solo cobra sentido pleno cuando se la conecta con derechos fundamentales, entre ellos igualdad, privacidad, libertad de expresión y tutela judicial efectiva</w:t>
      </w:r>
      <w:r>
        <w:t xml:space="preserve"> </w:t>
      </w:r>
      <w:r>
        <w:t xml:space="preserve">(</w:t>
      </w:r>
      <w:hyperlink w:anchor="ref-perezugena2024ia">
        <w:r>
          <w:rPr>
            <w:rStyle w:val="Hipervnculo"/>
          </w:rPr>
          <w:t xml:space="preserve">Pérez-Ugena 2024</w:t>
        </w:r>
      </w:hyperlink>
      <w:r>
        <w:t xml:space="preserve">)</w:t>
      </w:r>
      <w:r>
        <w:t xml:space="preserve">. Esa observación impide reducir la gobernanza a un problema administrativo. También ayuda a recordar que el impacto sobre derechos sigue siendo la mejor brújula para decidir cuánta confianza, cuánta intervención humana y cuánta trazabilidad debería exigirse.</w:t>
      </w:r>
    </w:p>
    <w:p>
      <w:pPr>
        <w:pStyle w:val="Textoindependiente"/>
      </w:pPr>
      <w:r>
        <w:t xml:space="preserve">En otras palabras, la evaluación no debe limitarse a decir “funciona bien”. Debe poder responder también “funciona bien para qué”, “con qué límites”, “sobre quiénes impacta” y “qué salvaguardas preservan los derechos comprometidos”. Un sistema útil para un flujo documental interno puede resultar improcedente cuando la salida condiciona defensa, acceso a beneficios, calificación registral o decisión judicial</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bookmarkEnd w:id="487"/>
    <w:bookmarkStart w:id="488" w:name="Xf27f21aaa02c5d3ca62393228543165ca36e40a"/>
    <w:p>
      <w:pPr>
        <w:pStyle w:val="Ttulo2"/>
      </w:pPr>
      <w:r>
        <w:t xml:space="preserve">La gobernanza mejora cuando se observa en casos concretos</w:t>
      </w:r>
    </w:p>
    <w:p>
      <w:pPr>
        <w:pStyle w:val="FirstParagraph"/>
      </w:pPr>
      <w:r>
        <w:t xml:space="preserve">El</w:t>
      </w:r>
      <w:r>
        <w:t xml:space="preserve"> </w:t>
      </w:r>
      <w:r>
        <w:rPr>
          <w:i/>
          <w:iCs/>
        </w:rPr>
        <w:t xml:space="preserve">Mapeo LegalTech Perú 2025</w:t>
      </w:r>
      <w:r>
        <w:t xml:space="preserve"> </w:t>
      </w:r>
      <w:r>
        <w:t xml:space="preserve">ofrece ejemplos especialmente didácticos porque muestra integraciones donde la IA se presenta como apoyo operativo y no como sustitución integral del criterio jurídico</w:t>
      </w:r>
      <w:r>
        <w:t xml:space="preserve"> </w:t>
      </w:r>
      <w:r>
        <w:t xml:space="preserve">(</w:t>
      </w:r>
      <w:hyperlink w:anchor="ref-mapeolegaltechperu2025">
        <w:r>
          <w:rPr>
            <w:rStyle w:val="Hipervnculo"/>
          </w:rPr>
          <w:t xml:space="preserve">Iniciativa Tech &amp; Law 2025</w:t>
        </w:r>
      </w:hyperlink>
      <w:r>
        <w:t xml:space="preserve">)</w:t>
      </w:r>
      <w:r>
        <w:t xml:space="preserve">. Juztina, por ejemplo, reduce fricción en el acceso a información jurídica mediante RAG y fuentes oficiales curadas. La lección no es solo tecnológica. Es metodológica: cuando el problema es localizar, explicar y contextualizar mejor la información, la combinación entre búsqueda estructurada y lenguaje natural puede generar valor sin ocultar del todo la fuente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La experiencia de SUNARP refuerza una regla todavía más importante. Allí la IA se usa para acelerar lectura de partidas, búsqueda de información y apoyo a ciertos trámites, pero la calificación final permanece en manos humanas</w:t>
      </w:r>
      <w:r>
        <w:t xml:space="preserve"> </w:t>
      </w:r>
      <w:r>
        <w:t xml:space="preserve">(</w:t>
      </w:r>
      <w:hyperlink w:anchor="ref-mapeolegaltechperu2025">
        <w:r>
          <w:rPr>
            <w:rStyle w:val="Hipervnculo"/>
          </w:rPr>
          <w:t xml:space="preserve">Iniciativa Tech &amp; Law 2025</w:t>
        </w:r>
      </w:hyperlink>
      <w:r>
        <w:t xml:space="preserve">)</w:t>
      </w:r>
      <w:r>
        <w:t xml:space="preserve">. Desde el punto de vista del diseño institucional, esta es una decisión muy instructiva. Automatiza traslados, organización y accesibilidad, pero no delega la responsabilidad registral ni la fe pública.</w:t>
      </w:r>
    </w:p>
    <w:p>
      <w:pPr>
        <w:pStyle w:val="Textoindependiente"/>
      </w:pPr>
      <w:r>
        <w:t xml:space="preserve">YachAIbot ofrece otra variante. Su aporte principal no es decidir por la administración, sino bajar la barrera de entrada al marco normativo para funcionarios y ciudadanía</w:t>
      </w:r>
      <w:r>
        <w:t xml:space="preserve"> </w:t>
      </w:r>
      <w:r>
        <w:t xml:space="preserve">(</w:t>
      </w:r>
      <w:hyperlink w:anchor="ref-mapeolegaltechperu2025">
        <w:r>
          <w:rPr>
            <w:rStyle w:val="Hipervnculo"/>
          </w:rPr>
          <w:t xml:space="preserve">Iniciativa Tech &amp; Law 2025</w:t>
        </w:r>
      </w:hyperlink>
      <w:r>
        <w:t xml:space="preserve">)</w:t>
      </w:r>
      <w:r>
        <w:t xml:space="preserve">. Indecopi, en cambio, muestra un uso distinto: procesar millones de grabaciones para volver fiscalizable un volumen de evidencia que manualmente sería inabarcable</w:t>
      </w:r>
      <w:r>
        <w:t xml:space="preserve"> </w:t>
      </w:r>
      <w:r>
        <w:t xml:space="preserve">(</w:t>
      </w:r>
      <w:hyperlink w:anchor="ref-mapeolegaltechperu2025">
        <w:r>
          <w:rPr>
            <w:rStyle w:val="Hipervnculo"/>
          </w:rPr>
          <w:t xml:space="preserve">Iniciativa Tech &amp; Law 2025</w:t>
        </w:r>
      </w:hyperlink>
      <w:r>
        <w:t xml:space="preserve">)</w:t>
      </w:r>
      <w:r>
        <w:t xml:space="preserve">. En ambos casos, la pregunta de gobernanza no es si la herramienta “parece inteligente”, sino si expande capacidad institucional sin borrar trazabilidad, fuente ni control humano significativo.</w:t>
      </w:r>
    </w:p>
    <w:bookmarkEnd w:id="488"/>
    <w:bookmarkStart w:id="491" w:name="cuándo-conviene-decir-no"/>
    <w:p>
      <w:pPr>
        <w:pStyle w:val="Ttulo2"/>
      </w:pPr>
      <w:r>
        <w:t xml:space="preserve">Cuándo conviene decir no</w:t>
      </w:r>
    </w:p>
    <w:p>
      <w:pPr>
        <w:pStyle w:val="FirstParagraph"/>
      </w:pPr>
      <w:r>
        <w:t xml:space="preserve">Una de las señales de madurez tecnológica consiste en saber no integrar una herramienta cuando el costo institucional del error es demasiado alto o cuando la opacidad del sistema vuelve ilusoria la revisión humana. La literatura sobre juez-robot funciona aquí como recordatorio límite: no toda función jurídicamente sensible puede transferirse sin pérdida a una lógica automatizada, porque la decisión incorpora motivación, independencia, imparcialidad y responsabilidad que no se dejan reducir a cálculo</w:t>
      </w:r>
      <w:r>
        <w:t xml:space="preserve"> </w:t>
      </w:r>
      <w:r>
        <w:t xml:space="preserve">(</w:t>
      </w:r>
      <w:hyperlink w:anchor="ref-pinerospolo2024juezrobot">
        <w:r>
          <w:rPr>
            <w:rStyle w:val="Hipervnculo"/>
          </w:rPr>
          <w:t xml:space="preserve">Pineros Polo 2024</w:t>
        </w:r>
      </w:hyperlink>
      <w:r>
        <w:t xml:space="preserve">)</w:t>
      </w:r>
      <w:r>
        <w:t xml:space="preserve">.</w:t>
      </w:r>
    </w:p>
    <w:p>
      <w:pPr>
        <w:pStyle w:val="Textoindependiente"/>
      </w:pPr>
      <w:r>
        <w:t xml:space="preserve">Esto no significa que la IA deba quedar expulsada del campo jurídico. Significa algo más interesante: que conviene distinguir entre asistir y sustituir. Asistir puede ser razonable en búsquedas, organización de expedientes, lenguaje llano, priorización documental o apoyo a borradores. Sustituir se vuelve mucho más problemático cuando lo que está en juego es una decisión que exige deliberación, explicación y asunción institucional de responsabilidad</w:t>
      </w:r>
      <w:r>
        <w:t xml:space="preserve"> </w:t>
      </w:r>
      <w:r>
        <w:t xml:space="preserve">(</w:t>
      </w:r>
      <w:hyperlink w:anchor="ref-mapeolegaltechperu2025">
        <w:r>
          <w:rPr>
            <w:rStyle w:val="Hipervnculo"/>
          </w:rPr>
          <w:t xml:space="preserve">Iniciativa Tech &amp; Law 2025</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Applications/quarto/share/formats/docx/warning.png" id="490"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una mala integración no se define solo por bajo rendimiento técnico. También puede definirse por sobredependencia, pérdida de trazabilidad, falsa sensación de control o debilitamiento de garantías que el procedimiento no puede renunciar a proteger</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tc>
      </w:tr>
    </w:tbl>
    <w:bookmarkEnd w:id="491"/>
    <w:bookmarkStart w:id="492" w:name="bitácora-mínima-de-evaluación"/>
    <w:p>
      <w:pPr>
        <w:pStyle w:val="Ttulo2"/>
      </w:pPr>
      <w:r>
        <w:t xml:space="preserve">Bitácora mínima de evaluación</w:t>
      </w:r>
    </w:p>
    <w:p>
      <w:pPr>
        <w:pStyle w:val="FirstParagraph"/>
      </w:pPr>
      <w:r>
        <w:t xml:space="preserve">Una forma muy útil de empezar a gobernar pruebas consiste en construir una bitácora sencilla. Lo importante no es su complejidad, sino la disciplina que impone. Un formato inicial podría ser este: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Tarea</w:t>
            </w:r>
          </w:p>
        </w:tc>
        <w:tc>
          <w:tcPr/>
          <w:p>
            <w:pPr>
              <w:pStyle w:val="Compact"/>
            </w:pPr>
            <w:r>
              <w:t xml:space="preserve">Fuente o corpus</w:t>
            </w:r>
          </w:p>
        </w:tc>
        <w:tc>
          <w:tcPr/>
          <w:p>
            <w:pPr>
              <w:pStyle w:val="Compact"/>
            </w:pPr>
            <w:r>
              <w:t xml:space="preserve">Prompt o instrucción</w:t>
            </w:r>
          </w:p>
        </w:tc>
        <w:tc>
          <w:tcPr/>
          <w:p>
            <w:pPr>
              <w:pStyle w:val="Compact"/>
            </w:pPr>
            <w:r>
              <w:t xml:space="preserve">Resultado</w:t>
            </w:r>
          </w:p>
        </w:tc>
        <w:tc>
          <w:tcPr/>
          <w:p>
            <w:pPr>
              <w:pStyle w:val="Compact"/>
            </w:pPr>
            <w:r>
              <w:t xml:space="preserve">Error o riesgo detectado</w:t>
            </w:r>
          </w:p>
        </w:tc>
        <w:tc>
          <w:tcPr/>
          <w:p>
            <w:pPr>
              <w:pStyle w:val="Compact"/>
            </w:pPr>
            <w:r>
              <w:t xml:space="preserve">Revisión humana necesaria</w:t>
            </w:r>
          </w:p>
        </w:tc>
        <w:tc>
          <w:tcPr/>
          <w:p>
            <w:pPr>
              <w:pStyle w:val="Compact"/>
            </w:pPr>
            <w:r>
              <w:t xml:space="preserve">Decisión</w:t>
            </w:r>
          </w:p>
        </w:tc>
      </w:tr>
      <w:tr>
        <w:tc>
          <w:tcPr/>
          <w:p>
            <w:pPr>
              <w:pStyle w:val="Compact"/>
            </w:pPr>
            <w:r>
              <w:t xml:space="preserve">Resumir resolución</w:t>
            </w:r>
          </w:p>
        </w:tc>
        <w:tc>
          <w:tcPr/>
          <w:p>
            <w:pPr>
              <w:pStyle w:val="Compact"/>
            </w:pPr>
            <w:r>
              <w:t xml:space="preserve">resolución conocida</w:t>
            </w:r>
          </w:p>
        </w:tc>
        <w:tc>
          <w:tcPr/>
          <w:p>
            <w:pPr>
              <w:pStyle w:val="Compact"/>
            </w:pPr>
            <w:r>
              <w:t xml:space="preserve">“Resume en 5 puntos”</w:t>
            </w:r>
          </w:p>
        </w:tc>
        <w:tc>
          <w:tcPr/>
          <w:p>
            <w:pPr>
              <w:pStyle w:val="Compact"/>
            </w:pPr>
            <w:r>
              <w:t xml:space="preserve">resumen plausible</w:t>
            </w:r>
          </w:p>
        </w:tc>
        <w:tc>
          <w:tcPr/>
          <w:p>
            <w:pPr>
              <w:pStyle w:val="Compact"/>
            </w:pPr>
            <w:r>
              <w:t xml:space="preserve">omite base legal</w:t>
            </w:r>
          </w:p>
        </w:tc>
        <w:tc>
          <w:tcPr/>
          <w:p>
            <w:pPr>
              <w:pStyle w:val="Compact"/>
            </w:pPr>
            <w:r>
              <w:t xml:space="preserve">alta</w:t>
            </w:r>
          </w:p>
        </w:tc>
        <w:tc>
          <w:tcPr/>
          <w:p>
            <w:pPr>
              <w:pStyle w:val="Compact"/>
            </w:pPr>
            <w:r>
              <w:t xml:space="preserve">usar solo como borrador</w:t>
            </w:r>
          </w:p>
        </w:tc>
      </w:tr>
      <w:tr>
        <w:tc>
          <w:tcPr/>
          <w:p>
            <w:pPr>
              <w:pStyle w:val="Compact"/>
            </w:pPr>
            <w:r>
              <w:t xml:space="preserve">Buscar norma aplicable</w:t>
            </w:r>
          </w:p>
        </w:tc>
        <w:tc>
          <w:tcPr/>
          <w:p>
            <w:pPr>
              <w:pStyle w:val="Compact"/>
            </w:pPr>
            <w:r>
              <w:t xml:space="preserve">base normativa curada</w:t>
            </w:r>
          </w:p>
        </w:tc>
        <w:tc>
          <w:tcPr/>
          <w:p>
            <w:pPr>
              <w:pStyle w:val="Compact"/>
            </w:pPr>
            <w:r>
              <w:t xml:space="preserve">“Indica norma y artículo”</w:t>
            </w:r>
          </w:p>
        </w:tc>
        <w:tc>
          <w:tcPr/>
          <w:p>
            <w:pPr>
              <w:pStyle w:val="Compact"/>
            </w:pPr>
            <w:r>
              <w:t xml:space="preserve">cita parcial</w:t>
            </w:r>
          </w:p>
        </w:tc>
        <w:tc>
          <w:tcPr/>
          <w:p>
            <w:pPr>
              <w:pStyle w:val="Compact"/>
            </w:pPr>
            <w:r>
              <w:t xml:space="preserve">cita incompleta</w:t>
            </w:r>
          </w:p>
        </w:tc>
        <w:tc>
          <w:tcPr/>
          <w:p>
            <w:pPr>
              <w:pStyle w:val="Compact"/>
            </w:pPr>
            <w:r>
              <w:t xml:space="preserve">media</w:t>
            </w:r>
          </w:p>
        </w:tc>
        <w:tc>
          <w:tcPr/>
          <w:p>
            <w:pPr>
              <w:pStyle w:val="Compact"/>
            </w:pPr>
            <w:r>
              <w:t xml:space="preserve">corregir y documentar</w:t>
            </w:r>
          </w:p>
        </w:tc>
      </w:tr>
    </w:tbl>
    <w:p>
      <w:pPr>
        <w:pStyle w:val="Textoindependiente"/>
      </w:pPr>
      <w:r>
        <w:t xml:space="preserve">Una bitácora así obliga a pensar con precisión: qué se le pidió al sistema, sobre qué corpus trabajó, qué produjo, qué falló y qué nivel de intervención humana fue necesario. En un curso de Legal Tech, ese registro enseña más que una lista de impresiones generales porque transforma la experiencia de uso en evidencia revisable</w:t>
      </w:r>
      <w:r>
        <w:t xml:space="preserve"> </w:t>
      </w:r>
      <w:r>
        <w:t xml:space="preserve">(</w:t>
      </w:r>
      <w:hyperlink w:anchor="ref-nistplaybook2026">
        <w:r>
          <w:rPr>
            <w:rStyle w:val="Hipervnculo"/>
          </w:rPr>
          <w:t xml:space="preserve">NIST AI Resource Center 2026</w:t>
        </w:r>
      </w:hyperlink>
      <w:r>
        <w:t xml:space="preserve">;</w:t>
      </w:r>
      <w:r>
        <w:t xml:space="preserve"> </w:t>
      </w:r>
      <w:hyperlink w:anchor="ref-oecdaiprinciples2026">
        <w:r>
          <w:rPr>
            <w:rStyle w:val="Hipervnculo"/>
          </w:rPr>
          <w:t xml:space="preserve">OECD 2026</w:t>
        </w:r>
      </w:hyperlink>
      <w:r>
        <w:t xml:space="preserve">)</w:t>
      </w:r>
      <w:r>
        <w:t xml:space="preserve">.</w:t>
      </w:r>
    </w:p>
    <w:bookmarkEnd w:id="492"/>
    <w:bookmarkStart w:id="493" w:name="práctica-en-editor-5"/>
    <w:p>
      <w:pPr>
        <w:pStyle w:val="Ttulo2"/>
      </w:pPr>
      <w:r>
        <w:t xml:space="preserve">Práctica en editor</w:t>
      </w:r>
    </w:p>
    <w:p>
      <w:pPr>
        <w:pStyle w:val="FirstParagraph"/>
      </w:pPr>
      <w:r>
        <w:t xml:space="preserve">Construye una bitácora de evaluación con al menos tres pruebas sobre una misma herramienta de IA aplicada a tareas jurídicas de bajo riesgo. Incluye:</w:t>
      </w:r>
    </w:p>
    <w:p>
      <w:pPr>
        <w:pStyle w:val="Compact"/>
        <w:numPr>
          <w:ilvl w:val="0"/>
          <w:numId w:val="1089"/>
        </w:numPr>
      </w:pPr>
      <w:r>
        <w:t xml:space="preserve">tarea;</w:t>
      </w:r>
    </w:p>
    <w:p>
      <w:pPr>
        <w:pStyle w:val="Compact"/>
        <w:numPr>
          <w:ilvl w:val="0"/>
          <w:numId w:val="1089"/>
        </w:numPr>
      </w:pPr>
      <w:r>
        <w:t xml:space="preserve">fuente o corpus empleado;</w:t>
      </w:r>
    </w:p>
    <w:p>
      <w:pPr>
        <w:pStyle w:val="Compact"/>
        <w:numPr>
          <w:ilvl w:val="0"/>
          <w:numId w:val="1089"/>
        </w:numPr>
      </w:pPr>
      <w:r>
        <w:t xml:space="preserve">prompt o instrucción;</w:t>
      </w:r>
    </w:p>
    <w:p>
      <w:pPr>
        <w:pStyle w:val="Compact"/>
        <w:numPr>
          <w:ilvl w:val="0"/>
          <w:numId w:val="1089"/>
        </w:numPr>
      </w:pPr>
      <w:r>
        <w:t xml:space="preserve">resultado;</w:t>
      </w:r>
    </w:p>
    <w:p>
      <w:pPr>
        <w:pStyle w:val="Compact"/>
        <w:numPr>
          <w:ilvl w:val="0"/>
          <w:numId w:val="1089"/>
        </w:numPr>
      </w:pPr>
      <w:r>
        <w:t xml:space="preserve">error o riesgo detectado;</w:t>
      </w:r>
    </w:p>
    <w:p>
      <w:pPr>
        <w:pStyle w:val="Compact"/>
        <w:numPr>
          <w:ilvl w:val="0"/>
          <w:numId w:val="1089"/>
        </w:numPr>
      </w:pPr>
      <w:r>
        <w:t xml:space="preserve">nivel de revisión humana requerido;</w:t>
      </w:r>
    </w:p>
    <w:p>
      <w:pPr>
        <w:pStyle w:val="Compact"/>
        <w:numPr>
          <w:ilvl w:val="0"/>
          <w:numId w:val="1089"/>
        </w:numPr>
      </w:pPr>
      <w:r>
        <w:t xml:space="preserve">decisión final.</w:t>
      </w:r>
    </w:p>
    <w:p>
      <w:pPr>
        <w:pStyle w:val="FirstParagraph"/>
      </w:pPr>
      <w:r>
        <w:t xml:space="preserve">Si quieres profundizar, añade una columna sobre el tipo de riesgo involucrado: precisión, fuente, privacidad, sesgo, trazabilidad o sobreconfianza.</w:t>
      </w:r>
    </w:p>
    <w:bookmarkEnd w:id="493"/>
    <w:bookmarkStart w:id="498" w:name="conclusiones-del-capítulo-9"/>
    <w:p>
      <w:pPr>
        <w:pStyle w:val="Ttulo2"/>
      </w:pPr>
      <w:r>
        <w:t xml:space="preserve">Conclusiones del capítulo</w:t>
      </w:r>
    </w:p>
    <w:p>
      <w:pPr>
        <w:pStyle w:val="FirstParagraph"/>
      </w:pPr>
      <w:r>
        <w:t xml:space="preserve">Evaluar e integrar IA con criterio significa resistir dos tentaciones simétricas. La primera es creer que toda novedad útil merece entrar sin más en el flujo jurídico. La segunda es pensar que toda IA debe rechazarse por principio. Entre ambos extremos aparece el trabajo realmente importante: definir tareas, medir riesgos, graduar controles, preservar trazabilidad y decidir con cuidado dónde la herramienta amplía capacidad institucional y dónde empieza a comprometer garantías que no deberían relajarse</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w:t>
      </w:r>
    </w:p>
    <w:p>
      <w:pPr>
        <w:pStyle w:val="Textoindependiente"/>
      </w:pPr>
      <w:r>
        <w:t xml:space="preserve">La gobernanza de IA no es un añadido burocrático al final del proceso. Es la forma misma de decidir si una integración merece confianza. En contextos jurídicos, esa confianza no nace de la fluidez verbal del sistema, sino de una arquitectura de revisión, documentación, límites y responsabilidad. Por eso la pregunta decisiva no es si la herramienta parece inteligente, sino si la institución que la adopta sigue siendo capaz de explicar, controlar y asumir las consecuencias de su uso</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Applications/quarto/share/formats/docx/tip.png" id="49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0"/>
              </w:numPr>
            </w:pPr>
            <w:r>
              <w:t xml:space="preserve">gobernar IA empieza cuando se diseña la prueba, no cuando aparece el problema;</w:t>
            </w:r>
          </w:p>
          <w:p>
            <w:pPr>
              <w:pStyle w:val="Compact"/>
              <w:numPr>
                <w:ilvl w:val="0"/>
                <w:numId w:val="1090"/>
              </w:numPr>
            </w:pPr>
            <w:r>
              <w:t xml:space="preserve">el control humano solo protege si tiene criterio, tiempo, autoridad y trazabilidad;</w:t>
            </w:r>
          </w:p>
          <w:p>
            <w:pPr>
              <w:pStyle w:val="Compact"/>
              <w:numPr>
                <w:ilvl w:val="0"/>
                <w:numId w:val="1090"/>
              </w:numPr>
            </w:pPr>
            <w:r>
              <w:t xml:space="preserve">no toda tarea jurídica merece la misma intensidad de automatización o supervisión;</w:t>
            </w:r>
          </w:p>
          <w:p>
            <w:pPr>
              <w:pStyle w:val="Compact"/>
              <w:numPr>
                <w:ilvl w:val="0"/>
                <w:numId w:val="1090"/>
              </w:numPr>
            </w:pPr>
            <w:r>
              <w:t xml:space="preserve">el enfoque basado en riesgo ayuda a distinguir integraciones razonables de delegaciones imprudentes;</w:t>
            </w:r>
          </w:p>
          <w:p>
            <w:pPr>
              <w:pStyle w:val="Compact"/>
              <w:numPr>
                <w:ilvl w:val="0"/>
                <w:numId w:val="1090"/>
              </w:numPr>
            </w:pPr>
            <w:r>
              <w:t xml:space="preserve">los mejores ejemplos institucionales suelen ampliar capacidad sin desplazar la responsabilidad final.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Applications/quarto/share/formats/docx/caution.png" id="49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verdadera madurez tecnológica no se mide por cuántas herramientas se incorporan, sino por la capacidad de una organización para limitar su alcance cuando el riesgo supera lo que un procedimiento justo, explicable y responsable puede tolerar.</w:t>
            </w:r>
          </w:p>
          <w:p/>
        </w:tc>
      </w:tr>
    </w:tbl>
    <w:bookmarkEnd w:id="498"/>
    <w:bookmarkEnd w:id="499"/>
    <w:bookmarkStart w:id="522"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Applications/quarto/share/formats/docx/note.png" id="50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502"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502"/>
    <w:bookmarkStart w:id="503"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 Mirado así, el ecosistema vale menos como lista de productos llamativos que como mapa de problemas jurídicos convertidos en flujos, datos, interfaces y criterios de control.</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503"/>
    <w:bookmarkStart w:id="506"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Applications/quarto/share/formats/docx/important.png" id="50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506"/>
    <w:bookmarkStart w:id="509"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 Su interés pedagógico está precisamente ahí: mostrar que mejorar acceso a información puede ser tan transformador como automatizar una decisión compleja.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Applications/quarto/share/formats/docx/note.png" id="50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509"/>
    <w:bookmarkStart w:id="510"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 Esa participación del área legal en el diseño ayuda a entender que la innovación no consiste solo en comprar tecnología, sino en reorganizar criterios de trabajo.</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510"/>
    <w:bookmarkStart w:id="511"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511"/>
    <w:bookmarkStart w:id="512"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512"/>
    <w:bookmarkStart w:id="515"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091"/>
        </w:numPr>
      </w:pPr>
      <w:r>
        <w:t xml:space="preserve">casi todos los proyectos nacen de un cuello de botella institucional muy concreto;</w:t>
      </w:r>
    </w:p>
    <w:p>
      <w:pPr>
        <w:pStyle w:val="Compact"/>
        <w:numPr>
          <w:ilvl w:val="0"/>
          <w:numId w:val="1091"/>
        </w:numPr>
      </w:pPr>
      <w:r>
        <w:t xml:space="preserve">muchos combinan automatización con supervisión humana, en lugar de sustituirla;</w:t>
      </w:r>
    </w:p>
    <w:p>
      <w:pPr>
        <w:pStyle w:val="Compact"/>
        <w:numPr>
          <w:ilvl w:val="0"/>
          <w:numId w:val="1091"/>
        </w:numPr>
      </w:pPr>
      <w:r>
        <w:t xml:space="preserve">la IA aparece, pero no monopoliza el ecosistema;</w:t>
      </w:r>
    </w:p>
    <w:p>
      <w:pPr>
        <w:pStyle w:val="Compact"/>
        <w:numPr>
          <w:ilvl w:val="0"/>
          <w:numId w:val="1091"/>
        </w:numPr>
      </w:pPr>
      <w:r>
        <w:t xml:space="preserve">datos, interoperabilidad y trazabilidad pesan tanto como la interfaz visible;</w:t>
      </w:r>
    </w:p>
    <w:p>
      <w:pPr>
        <w:pStyle w:val="Compact"/>
        <w:numPr>
          <w:ilvl w:val="0"/>
          <w:numId w:val="1091"/>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Applications/quarto/share/formats/docx/warning.png" id="514"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515"/>
    <w:bookmarkStart w:id="516" w:name="práctica-en-editor-6"/>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092"/>
        </w:numPr>
      </w:pPr>
      <w:r>
        <w:t xml:space="preserve">problema original;</w:t>
      </w:r>
    </w:p>
    <w:p>
      <w:pPr>
        <w:pStyle w:val="Compact"/>
        <w:numPr>
          <w:ilvl w:val="0"/>
          <w:numId w:val="1092"/>
        </w:numPr>
      </w:pPr>
      <w:r>
        <w:t xml:space="preserve">usuario o institución principal;</w:t>
      </w:r>
    </w:p>
    <w:p>
      <w:pPr>
        <w:pStyle w:val="Compact"/>
        <w:numPr>
          <w:ilvl w:val="0"/>
          <w:numId w:val="1092"/>
        </w:numPr>
      </w:pPr>
      <w:r>
        <w:t xml:space="preserve">tecnología o arquitectura empleada;</w:t>
      </w:r>
    </w:p>
    <w:p>
      <w:pPr>
        <w:pStyle w:val="Compact"/>
        <w:numPr>
          <w:ilvl w:val="0"/>
          <w:numId w:val="1092"/>
        </w:numPr>
      </w:pPr>
      <w:r>
        <w:t xml:space="preserve">resultado verificable;</w:t>
      </w:r>
    </w:p>
    <w:p>
      <w:pPr>
        <w:pStyle w:val="Compact"/>
        <w:numPr>
          <w:ilvl w:val="0"/>
          <w:numId w:val="1092"/>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516"/>
    <w:bookmarkStart w:id="521"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Applications/quarto/share/formats/docx/tip.png" id="51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3"/>
              </w:numPr>
            </w:pPr>
            <w:r>
              <w:t xml:space="preserve">el ecosistema legaltech peruano ya combina iniciativas privadas, corporativas y publicas;</w:t>
            </w:r>
          </w:p>
          <w:p>
            <w:pPr>
              <w:pStyle w:val="Compact"/>
              <w:numPr>
                <w:ilvl w:val="0"/>
                <w:numId w:val="1093"/>
              </w:numPr>
            </w:pPr>
            <w:r>
              <w:t xml:space="preserve">acceso a informacion, cumplimiento, fiscalizacion e interoperabilidad son frentes tan importantes como la IA generativa;</w:t>
            </w:r>
          </w:p>
          <w:p>
            <w:pPr>
              <w:pStyle w:val="Compact"/>
              <w:numPr>
                <w:ilvl w:val="0"/>
                <w:numId w:val="1093"/>
              </w:numPr>
            </w:pPr>
            <w:r>
              <w:t xml:space="preserve">los proyectos mas solidos parten de un problema operativo concreto y muestran resultados verificables;</w:t>
            </w:r>
          </w:p>
          <w:p>
            <w:pPr>
              <w:pStyle w:val="Compact"/>
              <w:numPr>
                <w:ilvl w:val="0"/>
                <w:numId w:val="1093"/>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519" name="Picture"/>
                  <a:graphic>
                    <a:graphicData uri="http://schemas.openxmlformats.org/drawingml/2006/picture">
                      <pic:pic>
                        <pic:nvPicPr>
                          <pic:cNvPr descr="/Applications/quarto/share/formats/docx/caution.png" id="5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521"/>
    <w:bookmarkEnd w:id="522"/>
    <w:bookmarkStart w:id="528"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23" name="Picture"/>
                  <a:graphic>
                    <a:graphicData uri="http://schemas.openxmlformats.org/drawingml/2006/picture">
                      <pic:pic>
                        <pic:nvPicPr>
                          <pic:cNvPr descr="/Applications/quarto/share/formats/docx/note.png" id="52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525"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2026d</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094"/>
        </w:numPr>
      </w:pPr>
      <w:r>
        <w:t xml:space="preserve">instalación de Python;</w:t>
      </w:r>
    </w:p>
    <w:p>
      <w:pPr>
        <w:pStyle w:val="Compact"/>
        <w:numPr>
          <w:ilvl w:val="0"/>
          <w:numId w:val="1094"/>
        </w:numPr>
      </w:pPr>
      <w:r>
        <w:t xml:space="preserve">instalación y configuración básica de Visual Studio Code;</w:t>
      </w:r>
    </w:p>
    <w:p>
      <w:pPr>
        <w:pStyle w:val="Compact"/>
        <w:numPr>
          <w:ilvl w:val="0"/>
          <w:numId w:val="1094"/>
        </w:numPr>
      </w:pPr>
      <w:r>
        <w:t xml:space="preserve">Git y GitHub como infraestructura mínima de trabajo;</w:t>
      </w:r>
    </w:p>
    <w:p>
      <w:pPr>
        <w:pStyle w:val="Compact"/>
        <w:numPr>
          <w:ilvl w:val="0"/>
          <w:numId w:val="1094"/>
        </w:numPr>
      </w:pPr>
      <w:r>
        <w:t xml:space="preserve">licencias y reutilización responsable;</w:t>
      </w:r>
    </w:p>
    <w:p>
      <w:pPr>
        <w:pStyle w:val="Compact"/>
        <w:numPr>
          <w:ilvl w:val="0"/>
          <w:numId w:val="1094"/>
        </w:numPr>
      </w:pPr>
      <w:r>
        <w:t xml:space="preserve">publicación con GitHub Pages.</w:t>
      </w:r>
    </w:p>
    <w:bookmarkEnd w:id="525"/>
    <w:bookmarkStart w:id="526"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526"/>
    <w:bookmarkStart w:id="527"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095"/>
        </w:numPr>
      </w:pPr>
      <w:r>
        <w:t xml:space="preserve">instala Python para tener el entorno de ejecución listo;</w:t>
      </w:r>
    </w:p>
    <w:p>
      <w:pPr>
        <w:pStyle w:val="Compact"/>
        <w:numPr>
          <w:ilvl w:val="0"/>
          <w:numId w:val="1095"/>
        </w:numPr>
      </w:pPr>
      <w:r>
        <w:t xml:space="preserve">prepara Visual Studio Code para editar y ejecutar sin salir del mismo espacio;</w:t>
      </w:r>
    </w:p>
    <w:p>
      <w:pPr>
        <w:pStyle w:val="Compact"/>
        <w:numPr>
          <w:ilvl w:val="0"/>
          <w:numId w:val="1095"/>
        </w:numPr>
      </w:pPr>
      <w:r>
        <w:t xml:space="preserve">revisa Git y GitHub para no perder trazabilidad del trabajo;</w:t>
      </w:r>
    </w:p>
    <w:p>
      <w:pPr>
        <w:pStyle w:val="Compact"/>
        <w:numPr>
          <w:ilvl w:val="0"/>
          <w:numId w:val="1095"/>
        </w:numPr>
      </w:pPr>
      <w:r>
        <w:t xml:space="preserve">mira licencias y reutilización cuando empieces a usar materiales ajenos;</w:t>
      </w:r>
    </w:p>
    <w:p>
      <w:pPr>
        <w:pStyle w:val="Compact"/>
        <w:numPr>
          <w:ilvl w:val="0"/>
          <w:numId w:val="1095"/>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527"/>
    <w:bookmarkEnd w:id="528"/>
    <w:bookmarkStart w:id="543" w:name="tutorial-instalar-python"/>
    <w:p>
      <w:pPr>
        <w:pStyle w:val="Ttulo1"/>
      </w:pPr>
      <w:r>
        <w:t xml:space="preserve">Tutorial: Instalar Python</w:t>
      </w:r>
    </w:p>
    <w:bookmarkStart w:id="529" w:name="para-qué-sirve-este-tutorial"/>
    <w:p>
      <w:pPr>
        <w:pStyle w:val="Ttulo2"/>
      </w:pPr>
      <w:r>
        <w:t xml:space="preserve">¿Para qué sirve este tutorial?</w:t>
      </w:r>
    </w:p>
    <w:p>
      <w:pPr>
        <w:pStyle w:val="FirstParagraph"/>
      </w:pPr>
      <w:r>
        <w:t xml:space="preserve">Este tutorial no reemplaza el capítulo donde ya se explicó qué es Python, por qué importa en Legal Tech y cómo empezar a pensar con variables, texto 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Su función es más concreta: dejar preparado un entorno estable para que esos ejercicios no se queden en teoría. Aquí el centro no es la sintaxis, sino la instalación, la verificación del intérprete y las pequeñas decisiones prácticas que suelen bloquear a quien recién empieza.</w:t>
      </w:r>
    </w:p>
    <w:bookmarkEnd w:id="529"/>
    <w:bookmarkStart w:id="532" w:name="una-historia-breve-antes-de-instalar"/>
    <w:p>
      <w:pPr>
        <w:pStyle w:val="Ttulo2"/>
      </w:pPr>
      <w:r>
        <w:t xml:space="preserve">Una historia breve antes de instalar</w:t>
      </w:r>
    </w:p>
    <w:p>
      <w:pPr>
        <w:pStyle w:val="FirstParagraph"/>
      </w:pPr>
      <w:r>
        <w:t xml:space="preserve">Python tiene una historia suficientemente larga como para no ser una moda, pero también lo bastante viva como para no sentirse como un legado inmóvil. La documentación oficial recuerda que Guido van Rossum empezó a desarrollarlo a inicios de la década de 1990 como sucesor de ABC, con la idea de conservar legibilidad sin renunciar a la utilidad práctica</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Esa combinación ayuda a entender por qué el lenguaje se volvió tan atractivo para docencia, automatización y análisis de datos: obliga menos a pelear con la sintaxis y permite concentrarse antes en el problema.</w:t>
      </w:r>
    </w:p>
    <w:p>
      <w:pPr>
        <w:pStyle w:val="Textoindependiente"/>
      </w:pPr>
      <w:r>
        <w:t xml:space="preserve">La anécdota más conocida sigue siendo útil. El nombre “Python” no viene de la serpiente, sino de</w:t>
      </w:r>
      <w:r>
        <w:t xml:space="preserve"> </w:t>
      </w:r>
      <w:r>
        <w:rPr>
          <w:i/>
          <w:iCs/>
        </w:rPr>
        <w:t xml:space="preserve">Monty Python’s Flying Circus</w:t>
      </w:r>
      <w:r>
        <w:t xml:space="preserve">, porque van Rossum quería un nombre breve, distintivo y algo enigmático</w:t>
      </w:r>
      <w:r>
        <w:t xml:space="preserve"> </w:t>
      </w:r>
      <w:r>
        <w:t xml:space="preserve">(</w:t>
      </w:r>
      <w:hyperlink w:anchor="ref-pythonfaq2026">
        <w:r>
          <w:rPr>
            <w:rStyle w:val="Hipervnculo"/>
          </w:rPr>
          <w:t xml:space="preserve">Python Documentation 2026b</w:t>
        </w:r>
      </w:hyperlink>
      <w:r>
        <w:t xml:space="preserve">)</w:t>
      </w:r>
      <w:r>
        <w:t xml:space="preserve">. Es un detalle menor, pero recuerda algo importante para este manual: incluso las herramientas hoy centrales en análisis, automatización e inteligencia artificial empezaron como decisiones humanas bastante concretas, no como monumentos técnicos ya cerrados.</w:t>
      </w:r>
    </w:p>
    <w:p>
      <w:pPr>
        <w:pStyle w:val="Textoindependiente"/>
      </w:pPr>
      <w:r>
        <w:t xml:space="preserve">Por eso este tutorial conviene leerlo como una prolongación material del capítulo 2. Allí ya apareció Python como lenguaje de entrada; aquí aparece como infraestructura mínima de trabajo. Si la instalación falla, el problema no es intelectual sino operativo. Y sin resolver ese piso, el aprendizaje posterior se vuelve innecesariamente áspero.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Applications/quarto/share/formats/docx/important.png" id="53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comprobar qué comando invoca Python en tu sistema y ejecutar un archivo</w:t>
            </w:r>
            <w:r>
              <w:t xml:space="preserve"> </w:t>
            </w:r>
            <w:r>
              <w:rPr>
                <w:rStyle w:val="VerbatimChar"/>
              </w:rPr>
              <w:t xml:space="preserve">.py</w:t>
            </w:r>
            <w:r>
              <w:t xml:space="preserve"> </w:t>
            </w:r>
            <w:r>
              <w:t xml:space="preserve">propio sin ambigüedades sobre carpetas, nombres o versiones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tc>
      </w:tr>
    </w:tbl>
    <w:bookmarkEnd w:id="532"/>
    <w:bookmarkStart w:id="533" w:name="antes-de-descargar-nada"/>
    <w:p>
      <w:pPr>
        <w:pStyle w:val="Ttulo2"/>
      </w:pPr>
      <w:r>
        <w:t xml:space="preserve">Antes de descargar nada</w:t>
      </w:r>
    </w:p>
    <w:p>
      <w:pPr>
        <w:pStyle w:val="FirstParagraph"/>
      </w:pPr>
      <w:r>
        <w:t xml:space="preserve">Antes de instalar, conviene detenerse en tres preguntas muy simples. La primera es qué sistema operativo estás usando, porque Windows, macOS y Linux no siempre llaman al ejecutable de la misma manera. La segunda es si tu equipo ya tiene alguna versión previa de Python, porque a veces el problema no es la ausencia del lenguaje sino la coexistencia de dos instalaciones distintas. La tercera es dónde guardarás tus primeros archivos, porque una gran cantidad de errores iniciales surge no de Python, sino de haber ejecutado la terminal en una carpeta distinta de la que se creía.</w:t>
      </w:r>
    </w:p>
    <w:p>
      <w:pPr>
        <w:pStyle w:val="Textoindependiente"/>
      </w:pPr>
      <w:r>
        <w:t xml:space="preserve">Ese pequeño examen previo evita un malentendido frecuente: pensar que instalar equivale automáticamente a poder trabajar. En realidad, entre una descarga correcta y un entorno utilizable todavía hay que verificar rutas, nombres de comando y ubicación de archivos.</w:t>
      </w:r>
    </w:p>
    <w:bookmarkEnd w:id="533"/>
    <w:bookmarkStart w:id="534" w:name="X5627d81965e8d3fa03932317cf87fcb730c9966"/>
    <w:p>
      <w:pPr>
        <w:pStyle w:val="Ttulo2"/>
      </w:pPr>
      <w:r>
        <w:t xml:space="preserve">Paso 1. Descarga una versión estable desde el sitio oficial</w:t>
      </w:r>
    </w:p>
    <w:p>
      <w:pPr>
        <w:pStyle w:val="FirstParagraph"/>
      </w:pPr>
      <w:r>
        <w:t xml:space="preserve">La recomendación más sobria es usar una versión estable reciente descargada desde los canales oficiales de Python. La cronología pública del proyecto muestra que el lenguaje sigue evolucionando de manera sostenida y que las versiones nuevas incorporan mejoras de rendimiento, usabilidad e interfaz interactiva</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Para el curso no hace falta perseguir la novedad por sí misma, pero sí conviene evitar instaladores desactualizados encontrados al azar en blogs, foros o espejos desconocidos.</w:t>
      </w:r>
    </w:p>
    <w:p>
      <w:pPr>
        <w:pStyle w:val="Textoindependiente"/>
      </w:pPr>
      <w:r>
        <w:t xml:space="preserve">Durante la instalación, presta atención a dos cosas que suelen pasarse por alto. La primera es si el instalador deja Python accesible desde la terminal. La segunda es la carpeta donde queda instalado. No necesitas memorizar esa ruta, pero sí saber que existe, porque cuando la terminal no encuentra el ejecutable casi siempre el diagnóstico vuelve a ese punto.</w:t>
      </w:r>
    </w:p>
    <w:p>
      <w:pPr>
        <w:pStyle w:val="Textoindependiente"/>
      </w:pPr>
      <w:r>
        <w:t xml:space="preserve">No vale la pena instalar versiones beta, nightly o de prueba para una práctica introductoria. El curso necesita estabilidad y ejemplos previsibles, no experimentación con una rama todavía inestable del lenguaje.</w:t>
      </w:r>
    </w:p>
    <w:bookmarkEnd w:id="534"/>
    <w:bookmarkStart w:id="535" w:name="Xe060f30faf33bda371abd671494320f46d59a82"/>
    <w:p>
      <w:pPr>
        <w:pStyle w:val="Ttulo2"/>
      </w:pPr>
      <w:r>
        <w:t xml:space="preserve">Paso 2. Comprueba qué comando usa tu sistema</w:t>
      </w:r>
    </w:p>
    <w:p>
      <w:pPr>
        <w:pStyle w:val="FirstParagraph"/>
      </w:pPr>
      <w:r>
        <w:t xml:space="preserve">Una vez terminada la instalación, la primera verificación real ocurre en la terminal. En algunos equipos el comando correcto será</w:t>
      </w:r>
      <w:r>
        <w:t xml:space="preserve"> </w:t>
      </w:r>
      <w:r>
        <w:rPr>
          <w:rStyle w:val="VerbatimChar"/>
        </w:rPr>
        <w:t xml:space="preserve">python</w:t>
      </w:r>
      <w:r>
        <w:t xml:space="preserve">; en otros,</w:t>
      </w:r>
      <w:r>
        <w:t xml:space="preserve"> </w:t>
      </w:r>
      <w:r>
        <w:rPr>
          <w:rStyle w:val="VerbatimChar"/>
        </w:rPr>
        <w:t xml:space="preserve">python3</w:t>
      </w:r>
      <w:r>
        <w:t xml:space="preserve">. La diferencia no es trivial, porque un estudiante puede tener Python bien instalado y, aun así, creer que algo falló solo porque invocó el nombre equivocado del ejecutable</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Empieza por:</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eso no funciona,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importante aquí no es solo ver un número de versión, sino interpretar lo que significa. Si aparece una versión, el sistema ya sabe dónde encontrar el intérprete. Si aparece un mensaje como</w:t>
      </w:r>
      <w:r>
        <w:t xml:space="preserve"> </w:t>
      </w:r>
      <w:r>
        <w:rPr>
          <w:rStyle w:val="VerbatimChar"/>
        </w:rPr>
        <w:t xml:space="preserve">command not found</w:t>
      </w:r>
      <w:r>
        <w:t xml:space="preserve">, entonces todavía no tienes resuelto el punto mínimo de trabajo. En macOS y Linux conviene hacer además una comprobación más:</w:t>
      </w:r>
    </w:p>
    <w:p>
      <w:pPr>
        <w:pStyle w:val="SourceCode"/>
      </w:pPr>
      <w:r>
        <w:rPr>
          <w:rStyle w:val="FunctionTok"/>
        </w:rPr>
        <w:t xml:space="preserve">which</w:t>
      </w:r>
      <w:r>
        <w:rPr>
          <w:rStyle w:val="NormalTok"/>
        </w:rPr>
        <w:t xml:space="preserve"> python</w:t>
      </w:r>
    </w:p>
    <w:p>
      <w:pPr>
        <w:pStyle w:val="FirstParagraph"/>
      </w:pPr>
      <w:r>
        <w:t xml:space="preserve">o, si corresponde:</w:t>
      </w:r>
    </w:p>
    <w:p>
      <w:pPr>
        <w:pStyle w:val="SourceCode"/>
      </w:pPr>
      <w:r>
        <w:rPr>
          <w:rStyle w:val="FunctionTok"/>
        </w:rPr>
        <w:t xml:space="preserve">which</w:t>
      </w:r>
      <w:r>
        <w:rPr>
          <w:rStyle w:val="NormalTok"/>
        </w:rPr>
        <w:t xml:space="preserve"> python3</w:t>
      </w:r>
    </w:p>
    <w:p>
      <w:pPr>
        <w:pStyle w:val="FirstParagraph"/>
      </w:pPr>
      <w:r>
        <w:t xml:space="preserve">Ese paso sirve para identificar qué ejecutable concreto está respondiendo. Cuando existen varias instalaciones,</w:t>
      </w:r>
      <w:r>
        <w:t xml:space="preserve"> </w:t>
      </w:r>
      <w:r>
        <w:rPr>
          <w:rStyle w:val="VerbatimChar"/>
        </w:rPr>
        <w:t xml:space="preserve">which</w:t>
      </w:r>
      <w:r>
        <w:t xml:space="preserve"> </w:t>
      </w:r>
      <w:r>
        <w:t xml:space="preserve">ayuda a no trabajar a ciegas. En Windows el equivalente habitual es:</w:t>
      </w:r>
    </w:p>
    <w:p>
      <w:pPr>
        <w:pStyle w:val="SourceCode"/>
      </w:pPr>
      <w:r>
        <w:rPr>
          <w:rStyle w:val="FunctionTok"/>
        </w:rPr>
        <w:t xml:space="preserve">where</w:t>
      </w:r>
      <w:r>
        <w:rPr>
          <w:rStyle w:val="NormalTok"/>
        </w:rPr>
        <w:t xml:space="preserve"> python</w:t>
      </w:r>
    </w:p>
    <w:p>
      <w:pPr>
        <w:pStyle w:val="FirstParagraph"/>
      </w:pPr>
      <w:r>
        <w:t xml:space="preserve">No es un dato decorativo. Saber qué versión llama tu terminal evita confundir la instalación del curso con otra previa del sistema.</w:t>
      </w:r>
    </w:p>
    <w:bookmarkEnd w:id="535"/>
    <w:bookmarkStart w:id="536" w:name="X4463ef8e31d1de0e35c02ad0fd8d5e283de71cd"/>
    <w:p>
      <w:pPr>
        <w:pStyle w:val="Ttulo2"/>
      </w:pPr>
      <w:r>
        <w:t xml:space="preserve">Paso 3. Prepara una carpeta de trabajo visible</w:t>
      </w:r>
    </w:p>
    <w:p>
      <w:pPr>
        <w:pStyle w:val="FirstParagraph"/>
      </w:pPr>
      <w:r>
        <w:t xml:space="preserve">El siguiente paso parece menor, pero tiene bastante importancia pedagógica: crea una carpeta exclusiva para tus primeras pruebas del curso. La programación se aprende mejor cuando el entorno reduce fricción. Si tus archivos aparecen mezclados con descargas, documentos viejos o carpetas ambiguas, el problema técnico se vuelve también un problema de orientación.</w:t>
      </w:r>
    </w:p>
    <w:p>
      <w:pPr>
        <w:pStyle w:val="Textoindependiente"/>
      </w:pPr>
      <w:r>
        <w:t xml:space="preserve">Puedes crear una carpeta como</w:t>
      </w:r>
      <w:r>
        <w:t xml:space="preserve"> </w:t>
      </w:r>
      <w:r>
        <w:rPr>
          <w:rStyle w:val="VerbatimChar"/>
        </w:rPr>
        <w:t xml:space="preserve">python-legaltech</w:t>
      </w:r>
      <w:r>
        <w:t xml:space="preserve"> </w:t>
      </w:r>
      <w:r>
        <w:t xml:space="preserve">o</w:t>
      </w:r>
      <w:r>
        <w:t xml:space="preserve"> </w:t>
      </w:r>
      <w:r>
        <w:rPr>
          <w:rStyle w:val="VerbatimChar"/>
        </w:rPr>
        <w:t xml:space="preserve">pruebas-python</w:t>
      </w:r>
      <w:r>
        <w:t xml:space="preserve"> </w:t>
      </w:r>
      <w:r>
        <w:t xml:space="preserve">y abrirla desde Visual Studio Code. Lo importante no es el nombre, sino la estabilidad del lugar. Una carpeta reconocible ayuda a responder tres preguntas cada vez que algo falla: dónde está el archivo, desde dónde se está ejecutando y si el cambio realmente quedó guardado.</w:t>
      </w:r>
    </w:p>
    <w:bookmarkEnd w:id="536"/>
    <w:bookmarkStart w:id="537" w:name="X92aabda36cf82cc74da115735160167091a15fb"/>
    <w:p>
      <w:pPr>
        <w:pStyle w:val="Ttulo2"/>
      </w:pPr>
      <w:r>
        <w:t xml:space="preserve">Paso 4. Ejecuta un archivo mínimo y verifica el ciclo completo</w:t>
      </w:r>
    </w:p>
    <w:p>
      <w:pPr>
        <w:pStyle w:val="FirstParagraph"/>
      </w:pPr>
      <w:r>
        <w:t xml:space="preserve">Crea en esa carpeta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o, si tu sistema usa ese nombre:</w:t>
      </w:r>
    </w:p>
    <w:p>
      <w:pPr>
        <w:pStyle w:val="SourceCode"/>
      </w:pPr>
      <w:r>
        <w:rPr>
          <w:rStyle w:val="ExtensionTok"/>
        </w:rPr>
        <w:t xml:space="preserve">python3</w:t>
      </w:r>
      <w:r>
        <w:rPr>
          <w:rStyle w:val="NormalTok"/>
        </w:rPr>
        <w:t xml:space="preserve"> hola.py</w:t>
      </w:r>
    </w:p>
    <w:p>
      <w:pPr>
        <w:pStyle w:val="FirstParagraph"/>
      </w:pPr>
      <w:r>
        <w:t xml:space="preserve">Aquí conviene mirar con cuidado tres detalles. Primero, que el archivo se llame de verdad</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 Segundo, que la terminal esté ubicada en la misma carpeta donde guardaste el archivo. Tercero, que el resultado en pantalla coincida con el texto esperado. Si las tres condiciones se cumplen, ya no estás ante una instalación abstracta, sino ante un entorno que puede escribir, guardar, ejecutar y mostrar resultados.</w:t>
      </w:r>
    </w:p>
    <w:p>
      <w:pPr>
        <w:pStyle w:val="Textoindependiente"/>
      </w:pPr>
      <w:r>
        <w:t xml:space="preserve">Ese momento merece más atención de la que parece. Un archivo tan pequeño ya pone en juego cuatro piezas de infraestructura: editor, sistema de archivos, terminal e intérprete. Si una de ellas falla, el problema rara vez está en la lógica del programa; suele estar en la coordinación entre herramientas.</w:t>
      </w:r>
    </w:p>
    <w:bookmarkEnd w:id="537"/>
    <w:bookmarkStart w:id="538" w:name="X3955d4fca52d7d25d6de23a93c569b5ac21bc92"/>
    <w:p>
      <w:pPr>
        <w:pStyle w:val="Ttulo2"/>
      </w:pPr>
      <w:r>
        <w:t xml:space="preserve">Paso 5. Haz una segunda prueba para descartar que haya sido suerte</w:t>
      </w:r>
    </w:p>
    <w:p>
      <w:pPr>
        <w:pStyle w:val="FirstParagraph"/>
      </w:pPr>
      <w:r>
        <w:t xml:space="preserve">Conviene modificar el archivo y volver a ejecutarlo:</w:t>
      </w:r>
    </w:p>
    <w:p>
      <w:pPr>
        <w:pStyle w:val="SourceCode"/>
      </w:pPr>
      <w:r>
        <w:rPr>
          <w:rStyle w:val="NormalTok"/>
        </w:rPr>
        <w:t xml:space="preserve">nombre_curso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nombre_curso)</w:t>
      </w:r>
    </w:p>
    <w:p>
      <w:pPr>
        <w:pStyle w:val="FirstParagraph"/>
      </w:pPr>
      <w:r>
        <w:t xml:space="preserve">La finalidad no es repetir el contenido del capítulo 2, donde ya se trabaja con variables y tipos, sino comprobar algo más básico: que puedes editar, guardar y volver a correr el script sin perder la ruta del archivo ni el comando correcto. El aprendizaje técnico depende mucho de ese ciclo corto de cambio y verificación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Si el resultado no cambia pese a haber editado el archivo, sospecha primero de un problema de guardado o de ubicación. Muchas veces el código correcto está en pantalla, pero la terminal sigue ejecutando otro archivo o una versión anterior.</w:t>
      </w:r>
    </w:p>
    <w:bookmarkEnd w:id="538"/>
    <w:bookmarkStart w:id="541" w:name="Xd89523afb85fc6fd472420d8e331fc326a96b34"/>
    <w:p>
      <w:pPr>
        <w:pStyle w:val="Ttulo2"/>
      </w:pPr>
      <w:r>
        <w:t xml:space="preserve">Qué conviene revisar cuando algo no sale bien</w:t>
      </w:r>
    </w:p>
    <w:p>
      <w:pPr>
        <w:pStyle w:val="FirstParagraph"/>
      </w:pPr>
      <w:r>
        <w:t xml:space="preserve">Cuando la instalación parece fallar, los errores suelen concentrarse en pocas zonas. A veces Python sí está instalado, pero la terminal no lo encuentra. A veces el comando correcto era</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 A veces el archivo existe, pero estás parado en otra carpeta. Y a veces el editor lo guardó con una extensión distinta de la esperada.</w:t>
      </w:r>
    </w:p>
    <w:p>
      <w:pPr>
        <w:pStyle w:val="Textoindependiente"/>
      </w:pPr>
      <w:r>
        <w:t xml:space="preserve">La regla más útil en ese punto es no corregir cinco cosas al mismo tiempo. Si cambias el comando, el archivo, la carpeta y el editor de una sola vez, luego no sabrás cuál de esas decisiones resolvió el problema. Conviene mover una pieza, volver a probar y leer el resultado con calma. Esa disciplina de aislar el fallo es parte de la alfabetización técnica del curso, no una molestia ajena a ella.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Applications/quarto/share/formats/docx/warning.png" id="540"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Textoindependiente"/>
            </w:pPr>
            <w:pPr>
              <w:spacing w:before="16" w:after="16"/>
            </w:pPr>
            <w:r>
              <w:t xml:space="preserve">Revisa si la instalación quedó accesible desde la terminal, prueba con</w:t>
            </w:r>
            <w:r>
              <w:t xml:space="preserve"> </w:t>
            </w:r>
            <w:r>
              <w:rPr>
                <w:rStyle w:val="VerbatimChar"/>
              </w:rPr>
              <w:t xml:space="preserve">python3</w:t>
            </w:r>
            <w:r>
              <w:t xml:space="preserve"> </w:t>
            </w:r>
            <w:r>
              <w:t xml:space="preserve">si</w:t>
            </w:r>
            <w:r>
              <w:t xml:space="preserve"> </w:t>
            </w:r>
            <w:r>
              <w:rPr>
                <w:rStyle w:val="VerbatimChar"/>
              </w:rPr>
              <w:t xml:space="preserve">python</w:t>
            </w:r>
            <w:r>
              <w:t xml:space="preserve"> </w:t>
            </w:r>
            <w:r>
              <w:t xml:space="preserve">no responde, cierra y vuelve a abrir la terminal, y solo después considera reinstalar. En esta etapa, la mayoría de bloqueos son operativos y no conceptuales</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541"/>
    <w:bookmarkStart w:id="542" w:name="cierre"/>
    <w:p>
      <w:pPr>
        <w:pStyle w:val="Ttulo2"/>
      </w:pPr>
      <w:r>
        <w:t xml:space="preserve">Cierre</w:t>
      </w:r>
    </w:p>
    <w:p>
      <w:pPr>
        <w:pStyle w:val="FirstParagraph"/>
      </w:pPr>
      <w:r>
        <w:t xml:space="preserve">El propósito de este tutorial es modesto, pero decisivo. No pretende enseñar todavía a programar en sentido pleno; pretende impedir que los ejercicios del curso fracasen por una base mal instalada. El capítulo 2 ya mostró que Python sirve para pensar con más precisión una secuencia de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Este tutorial asegura que ese pensamiento pueda convertirse en práctica verificable.</w:t>
      </w:r>
    </w:p>
    <w:p>
      <w:pPr>
        <w:pStyle w:val="Textoindependiente"/>
      </w:pPr>
      <w:r>
        <w:t xml:space="preserve">Si quieres dejar el entorno todavía mejor preparado, conserva una carpeta fija para el curso, acostúmbrate a verificar la versión antes de sesiones importantes y mantén visible qué comando usa realmente tu sistema. Esa rutina pequeña reduce bastante la fricción de aprendizaje posterior.</w:t>
      </w:r>
    </w:p>
    <w:bookmarkEnd w:id="542"/>
    <w:bookmarkEnd w:id="543"/>
    <w:bookmarkStart w:id="557" w:name="tutorial-visual-studio-code"/>
    <w:p>
      <w:pPr>
        <w:pStyle w:val="Ttulo1"/>
      </w:pPr>
      <w:r>
        <w:t xml:space="preserve">Tutorial: Visual Studio Code</w:t>
      </w:r>
    </w:p>
    <w:bookmarkStart w:id="544"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544"/>
    <w:bookmarkStart w:id="545"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545"/>
    <w:bookmarkStart w:id="546"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546"/>
    <w:bookmarkStart w:id="549"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Applications/quarto/share/formats/docx/note.png" id="54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549"/>
    <w:bookmarkStart w:id="550"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096"/>
        </w:numPr>
      </w:pPr>
      <w:r>
        <w:t xml:space="preserve">explorador de archivos;</w:t>
      </w:r>
    </w:p>
    <w:p>
      <w:pPr>
        <w:pStyle w:val="Compact"/>
        <w:numPr>
          <w:ilvl w:val="0"/>
          <w:numId w:val="1096"/>
        </w:numPr>
      </w:pPr>
      <w:r>
        <w:t xml:space="preserve">editor principal;</w:t>
      </w:r>
    </w:p>
    <w:p>
      <w:pPr>
        <w:pStyle w:val="Compact"/>
        <w:numPr>
          <w:ilvl w:val="0"/>
          <w:numId w:val="1096"/>
        </w:numPr>
      </w:pPr>
      <w:r>
        <w:t xml:space="preserve">terminal integrada;</w:t>
      </w:r>
    </w:p>
    <w:p>
      <w:pPr>
        <w:pStyle w:val="Compact"/>
        <w:numPr>
          <w:ilvl w:val="0"/>
          <w:numId w:val="1096"/>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097"/>
        </w:numPr>
      </w:pPr>
      <w:r>
        <w:t xml:space="preserve">el explorador te dice qué archivos existen y dónde están;</w:t>
      </w:r>
    </w:p>
    <w:p>
      <w:pPr>
        <w:pStyle w:val="Compact"/>
        <w:numPr>
          <w:ilvl w:val="0"/>
          <w:numId w:val="1097"/>
        </w:numPr>
      </w:pPr>
      <w:r>
        <w:t xml:space="preserve">el editor te deja escribir y leer;</w:t>
      </w:r>
    </w:p>
    <w:p>
      <w:pPr>
        <w:pStyle w:val="Compact"/>
        <w:numPr>
          <w:ilvl w:val="0"/>
          <w:numId w:val="1097"/>
        </w:numPr>
      </w:pPr>
      <w:r>
        <w:t xml:space="preserve">la terminal te permite ejecutar comandos en el proyecto real;</w:t>
      </w:r>
    </w:p>
    <w:p>
      <w:pPr>
        <w:pStyle w:val="Compact"/>
        <w:numPr>
          <w:ilvl w:val="0"/>
          <w:numId w:val="1097"/>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550"/>
    <w:bookmarkStart w:id="551"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098"/>
        </w:numPr>
      </w:pPr>
      <w:r>
        <w:t xml:space="preserve">qué carpeta aparece como directorio actual;</w:t>
      </w:r>
    </w:p>
    <w:p>
      <w:pPr>
        <w:pStyle w:val="Compact"/>
        <w:numPr>
          <w:ilvl w:val="0"/>
          <w:numId w:val="1098"/>
        </w:numPr>
      </w:pPr>
      <w:r>
        <w:t xml:space="preserve">qué shell está usando el sistema;</w:t>
      </w:r>
    </w:p>
    <w:p>
      <w:pPr>
        <w:pStyle w:val="Compact"/>
        <w:numPr>
          <w:ilvl w:val="0"/>
          <w:numId w:val="1098"/>
        </w:numPr>
      </w:pPr>
      <w:r>
        <w:t xml:space="preserve">si el comando que ejecutas produce el resultado esperado o un error que puedas leer con calma.</w:t>
      </w:r>
    </w:p>
    <w:bookmarkEnd w:id="551"/>
    <w:bookmarkStart w:id="552"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099"/>
        </w:numPr>
      </w:pPr>
      <w:r>
        <w:t xml:space="preserve">abrir el archivo;</w:t>
      </w:r>
    </w:p>
    <w:p>
      <w:pPr>
        <w:pStyle w:val="Compact"/>
        <w:numPr>
          <w:ilvl w:val="0"/>
          <w:numId w:val="1099"/>
        </w:numPr>
      </w:pPr>
      <w:r>
        <w:t xml:space="preserve">editar una parte pequeña;</w:t>
      </w:r>
    </w:p>
    <w:p>
      <w:pPr>
        <w:pStyle w:val="Compact"/>
        <w:numPr>
          <w:ilvl w:val="0"/>
          <w:numId w:val="1099"/>
        </w:numPr>
      </w:pPr>
      <w:r>
        <w:t xml:space="preserve">guardar;</w:t>
      </w:r>
    </w:p>
    <w:p>
      <w:pPr>
        <w:pStyle w:val="Compact"/>
        <w:numPr>
          <w:ilvl w:val="0"/>
          <w:numId w:val="1099"/>
        </w:numPr>
      </w:pPr>
      <w:r>
        <w:t xml:space="preserve">ejecutar;</w:t>
      </w:r>
    </w:p>
    <w:p>
      <w:pPr>
        <w:pStyle w:val="Compact"/>
        <w:numPr>
          <w:ilvl w:val="0"/>
          <w:numId w:val="1099"/>
        </w:numPr>
      </w:pPr>
      <w:r>
        <w:t xml:space="preserve">revisar el resultado;</w:t>
      </w:r>
    </w:p>
    <w:p>
      <w:pPr>
        <w:pStyle w:val="Compact"/>
        <w:numPr>
          <w:ilvl w:val="0"/>
          <w:numId w:val="1099"/>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552"/>
    <w:bookmarkStart w:id="553"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553"/>
    <w:bookmarkStart w:id="556"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100"/>
        </w:numPr>
      </w:pPr>
      <w:r>
        <w:t xml:space="preserve">si estás editando el archivo correcto y no una copia en otra carpeta;</w:t>
      </w:r>
    </w:p>
    <w:p>
      <w:pPr>
        <w:pStyle w:val="Compact"/>
        <w:numPr>
          <w:ilvl w:val="0"/>
          <w:numId w:val="1100"/>
        </w:numPr>
      </w:pPr>
      <w:r>
        <w:t xml:space="preserve">si el punto blanco en la pestaña indica que todavía no guardaste;</w:t>
      </w:r>
    </w:p>
    <w:p>
      <w:pPr>
        <w:pStyle w:val="Compact"/>
        <w:numPr>
          <w:ilvl w:val="0"/>
          <w:numId w:val="1100"/>
        </w:numPr>
      </w:pPr>
      <w:r>
        <w:t xml:space="preserve">si la terminal está ubicada en la carpeta esperada;</w:t>
      </w:r>
    </w:p>
    <w:p>
      <w:pPr>
        <w:pStyle w:val="Compact"/>
        <w:numPr>
          <w:ilvl w:val="0"/>
          <w:numId w:val="1100"/>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54" name="Picture"/>
                  <a:graphic>
                    <a:graphicData uri="http://schemas.openxmlformats.org/drawingml/2006/picture">
                      <pic:pic>
                        <pic:nvPicPr>
                          <pic:cNvPr descr="/Applications/quarto/share/formats/docx/tip.png" id="55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556"/>
    <w:bookmarkEnd w:id="557"/>
    <w:bookmarkStart w:id="572" w:name="tutorial-git-y-github"/>
    <w:p>
      <w:pPr>
        <w:pStyle w:val="Ttulo1"/>
      </w:pPr>
      <w:r>
        <w:t xml:space="preserve">Tutorial: Git y GitHub</w:t>
      </w:r>
    </w:p>
    <w:bookmarkStart w:id="558" w:name="para-qué-sirve-este-tutorial-2"/>
    <w:p>
      <w:pPr>
        <w:pStyle w:val="Ttulo2"/>
      </w:pPr>
      <w:r>
        <w:t xml:space="preserve">¿Para qué sirve este tutorial?</w:t>
      </w:r>
    </w:p>
    <w:p>
      <w:pPr>
        <w:pStyle w:val="FirstParagraph"/>
      </w:pPr>
      <w:r>
        <w:t xml:space="preserve">Git y GitHub son parte de la infraestructura del curso porque permiten que el trabajo no quede reducido a un archivo final, sino que se convierta en una secuencia visible de decisiones, correcciones y versiones. En un entorno académico y profesional, esa trazabilidad importa tanto como el resultado, porque vuelve verificable el proceso de producción</w:t>
      </w:r>
      <w:r>
        <w:t xml:space="preserve"> </w:t>
      </w:r>
      <w:r>
        <w:t xml:space="preserve">(</w:t>
      </w:r>
      <w:hyperlink w:anchor="ref-chaconstraub2014progit">
        <w:r>
          <w:rPr>
            <w:rStyle w:val="Hipervnculo"/>
          </w:rPr>
          <w:t xml:space="preserve">Chacon and Straub 2014</w:t>
        </w:r>
      </w:hyperlink>
      <w:r>
        <w:t xml:space="preserve">)</w:t>
      </w:r>
      <w:r>
        <w:t xml:space="preserve">.</w:t>
      </w:r>
    </w:p>
    <w:bookmarkEnd w:id="558"/>
    <w:bookmarkStart w:id="559" w:name="Xfc8bed043b5021b10dbad8c9686d96b05a8c868"/>
    <w:p>
      <w:pPr>
        <w:pStyle w:val="Ttulo2"/>
      </w:pPr>
      <w:r>
        <w:t xml:space="preserve">Una historia breve antes del primer commit</w:t>
      </w:r>
    </w:p>
    <w:p>
      <w:pPr>
        <w:pStyle w:val="FirstParagraph"/>
      </w:pPr>
      <w:r>
        <w:t xml:space="preserve">Git está ligado desde el origen a una de las historias más influyentes del software contemporáneo: la del kernel de Linux. La documentación de Git recuerda que la herramienta fue iniciada por Linus Torvalds, fundador de Linux, y que ese origen no fue anecdótico, porque el proyecto necesitaba una forma de versionar cambios a gran escala sin sacrificar velocidad ni control distribuido</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w:t>
      </w:r>
      <w:r>
        <w:t xml:space="preserve"> </w:t>
      </w:r>
      <w:r>
        <w:rPr>
          <w:i/>
          <w:iCs/>
        </w:rPr>
        <w:t xml:space="preserve">Pro Git</w:t>
      </w:r>
      <w:r>
        <w:t xml:space="preserve"> </w:t>
      </w:r>
      <w:r>
        <w:t xml:space="preserve">añade el episodio decisivo: en 2005, tras la ruptura entre la comunidad del kernel y BitKeeper, se volvió urgente disponer de una alternativa propia. Git nació, en buena medida, como respuesta a esa urgencia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huella de ese nacimiento sigue visible en la herramienta. La página oficial de Git insiste en que el rendimiento fue un objetivo de diseño desde el comienzo y ofrece un dato que vale casi como alegoría técnica: en 2025, Git podía almacenar la historia completa del proyecto Linux, con 1.4 millones de commits, en apenas 5.5 GB</w:t>
      </w:r>
      <w:r>
        <w:t xml:space="preserve"> </w:t>
      </w:r>
      <w:r>
        <w:t xml:space="preserve">(</w:t>
      </w:r>
      <w:hyperlink w:anchor="ref-gitabout2025">
        <w:r>
          <w:rPr>
            <w:rStyle w:val="Hipervnculo"/>
          </w:rPr>
          <w:t xml:space="preserve">Git 2025</w:t>
        </w:r>
      </w:hyperlink>
      <w:r>
        <w:t xml:space="preserve">)</w:t>
      </w:r>
      <w:r>
        <w:t xml:space="preserve">. Dicho de otra manera, Git no fue pensado para ejercicios domésticos, aunque luego se haya vuelto extraordinariamente útil también para ellos.</w:t>
      </w:r>
    </w:p>
    <w:p>
      <w:pPr>
        <w:pStyle w:val="Textoindependiente"/>
      </w:pPr>
      <w:r>
        <w:t xml:space="preserve">GitHub pertenece a una historia distinta, aunque complementaria. Su propia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Después, en junio de 2018, Microsoft anunció oficialmente su adquisición por 7.5 mil millones de dólares, subrayando que GitHub seguiría operando como plataforma abierta para desarrolladores</w:t>
      </w:r>
      <w:r>
        <w:t xml:space="preserve"> </w:t>
      </w:r>
      <w:r>
        <w:t xml:space="preserve">(</w:t>
      </w:r>
      <w:hyperlink w:anchor="ref-microsoftgithub2018">
        <w:r>
          <w:rPr>
            <w:rStyle w:val="Hipervnculo"/>
          </w:rPr>
          <w:t xml:space="preserve">Microsoft 2018</w:t>
        </w:r>
      </w:hyperlink>
      <w:r>
        <w:t xml:space="preserve">)</w:t>
      </w:r>
      <w:r>
        <w:t xml:space="preserve">. Esa continuidad institucional importa porque aclara una confusión muy común entre principiantes: Git no es GitHub, y GitHub no es el creador de Git. Git es la herramienta de control de versiones. GitHub es una plataforma posterior, hoy integrada al ecosistema de Microsoft, que facilita alojar repositorios, colaborar y publicar trabajo.</w:t>
      </w:r>
    </w:p>
    <w:bookmarkEnd w:id="559"/>
    <w:bookmarkStart w:id="562" w:name="qué-conviene-entender-desde-el-principio"/>
    <w:p>
      <w:pPr>
        <w:pStyle w:val="Ttulo2"/>
      </w:pPr>
      <w:r>
        <w:t xml:space="preserve">Qué conviene entender desde el principio</w:t>
      </w:r>
    </w:p>
    <w:p>
      <w:pPr>
        <w:pStyle w:val="FirstParagraph"/>
      </w:pPr>
      <w:r>
        <w:t xml:space="preserve">Git organiza cambios en un historial distribuido, trazable y reversible</w:t>
      </w:r>
      <w:r>
        <w:t xml:space="preserve"> </w:t>
      </w:r>
      <w:r>
        <w:t xml:space="preserve">(</w:t>
      </w:r>
      <w:hyperlink w:anchor="ref-chaconstraub2014progit">
        <w:r>
          <w:rPr>
            <w:rStyle w:val="Hipervnculo"/>
          </w:rPr>
          <w:t xml:space="preserve">Chacon and Straub 2014</w:t>
        </w:r>
      </w:hyperlink>
      <w:r>
        <w:t xml:space="preserve">)</w:t>
      </w:r>
      <w:r>
        <w:t xml:space="preserve">. GitHub agrega encima una capa de alojamiento, sincronización, visibilidad y colaboración</w:t>
      </w:r>
      <w:r>
        <w:t xml:space="preserve"> </w:t>
      </w:r>
      <w:r>
        <w:t xml:space="preserve">(</w:t>
      </w:r>
      <w:hyperlink w:anchor="ref-githubprojects2026">
        <w:r>
          <w:rPr>
            <w:rStyle w:val="Hipervnculo"/>
          </w:rPr>
          <w:t xml:space="preserve">GitHub Docs 2026a</w:t>
        </w:r>
      </w:hyperlink>
      <w:r>
        <w:t xml:space="preserve">)</w:t>
      </w:r>
      <w:r>
        <w:t xml:space="preserve">. La relación es parecida a la que existe entre escribir un documento y guardarlo en una plataforma compartida: el acto intelectual y la infraestructura social no son idénticos, aunque en la práctica trabajen juntos.</w:t>
      </w:r>
    </w:p>
    <w:p>
      <w:pPr>
        <w:pStyle w:val="Textoindependiente"/>
      </w:pPr>
      <w:r>
        <w:t xml:space="preserve">Para el curso, esa diferencia tiene un efecto muy concreto. Puedes hacer varios pasos con Git sin conectarte a internet, porque el historial vive también en tu equipo. Pero si no sincronizas con GitHub, el trabajo queda sin respaldo remoto y sin evidencia compartida. Ambas piezas importan.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Applications/quarto/share/formats/docx/important.png" id="5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historial local y sincronización remota. Si falta una de esas capas, la trazabilidad del proyecto queda incompleta</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62"/>
    <w:bookmarkStart w:id="563" w:name="paso-1.-clonar-no-es-solo-descargar"/>
    <w:p>
      <w:pPr>
        <w:pStyle w:val="Ttulo2"/>
      </w:pPr>
      <w:r>
        <w:t xml:space="preserve">Paso 1. Clonar no es solo descargar</w:t>
      </w:r>
    </w:p>
    <w:p>
      <w:pPr>
        <w:pStyle w:val="FirstParagraph"/>
      </w:pPr>
      <w:r>
        <w:t xml:space="preserve">Cuando ejecutas:</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no estás trayendo únicamente una carpeta con archivos. Estás trayendo también la historia del proyecto. Esa diferencia es central. Un repositorio Git no se reduce al estado actual de los documentos; conserva la secuencia que llevó hasta ellos. Por eso el comando</w:t>
      </w:r>
      <w:r>
        <w:t xml:space="preserve"> </w:t>
      </w:r>
      <w:r>
        <w:rPr>
          <w:rStyle w:val="VerbatimChar"/>
        </w:rPr>
        <w:t xml:space="preserve">cd</w:t>
      </w:r>
      <w:r>
        <w:t xml:space="preserve"> </w:t>
      </w:r>
      <w:r>
        <w:t xml:space="preserve">importa tanto como</w:t>
      </w:r>
      <w:r>
        <w:t xml:space="preserve"> </w:t>
      </w:r>
      <w:r>
        <w:rPr>
          <w:rStyle w:val="VerbatimChar"/>
        </w:rPr>
        <w:t xml:space="preserve">git clone</w:t>
      </w:r>
      <w:r>
        <w:t xml:space="preserve">: después de clonar, necesitas entrar realmente en el directorio del repositorio para que los siguientes comandos actúen sobre el proyecto correcto.</w:t>
      </w:r>
    </w:p>
    <w:p>
      <w:pPr>
        <w:pStyle w:val="Textoindependiente"/>
      </w:pPr>
      <w:r>
        <w:t xml:space="preserve">Si alguna vez dudas de dónde estás parado, usa</w:t>
      </w:r>
      <w:r>
        <w:t xml:space="preserve"> </w:t>
      </w:r>
      <w:r>
        <w:rPr>
          <w:rStyle w:val="VerbatimChar"/>
        </w:rPr>
        <w:t xml:space="preserve">pwd</w:t>
      </w:r>
      <w:r>
        <w:t xml:space="preserve"> </w:t>
      </w:r>
      <w:r>
        <w:t xml:space="preserve">en macOS o Linux, o</w:t>
      </w:r>
      <w:r>
        <w:t xml:space="preserve"> </w:t>
      </w:r>
      <w:r>
        <w:rPr>
          <w:rStyle w:val="VerbatimChar"/>
        </w:rPr>
        <w:t xml:space="preserve">Get-Location</w:t>
      </w:r>
      <w:r>
        <w:t xml:space="preserve"> </w:t>
      </w:r>
      <w:r>
        <w:t xml:space="preserve">en PowerShell. Orientarse en el sistema de archivos no es una tarea lateral; es una condición para que Git registre cambios donde debe registrarlos.</w:t>
      </w:r>
    </w:p>
    <w:bookmarkEnd w:id="563"/>
    <w:bookmarkStart w:id="564" w:name="X4515860bf39188fa50e1bbb4299d2f5319069ab"/>
    <w:p>
      <w:pPr>
        <w:pStyle w:val="Ttulo2"/>
      </w:pPr>
      <w:r>
        <w:t xml:space="preserve">Paso 2.</w:t>
      </w:r>
      <w:r>
        <w:t xml:space="preserve"> </w:t>
      </w:r>
      <w:r>
        <w:rPr>
          <w:rStyle w:val="VerbatimChar"/>
        </w:rPr>
        <w:t xml:space="preserve">git status</w:t>
      </w:r>
      <w:r>
        <w:t xml:space="preserve"> </w:t>
      </w:r>
      <w:r>
        <w:t xml:space="preserve">como forma de orientación</w:t>
      </w:r>
    </w:p>
    <w:p>
      <w:pPr>
        <w:pStyle w:val="FirstParagraph"/>
      </w:pPr>
      <w:r>
        <w:t xml:space="preserve">El comando:</w:t>
      </w:r>
    </w:p>
    <w:p>
      <w:pPr>
        <w:pStyle w:val="SourceCode"/>
      </w:pPr>
      <w:r>
        <w:rPr>
          <w:rStyle w:val="FunctionTok"/>
        </w:rPr>
        <w:t xml:space="preserve">git</w:t>
      </w:r>
      <w:r>
        <w:rPr>
          <w:rStyle w:val="NormalTok"/>
        </w:rPr>
        <w:t xml:space="preserve"> status</w:t>
      </w:r>
    </w:p>
    <w:p>
      <w:pPr>
        <w:pStyle w:val="FirstParagraph"/>
      </w:pPr>
      <w:r>
        <w:t xml:space="preserve">responde una pregunta más importante de lo que parece: cuál es el estado real del repositorio en este momento</w:t>
      </w:r>
      <w:r>
        <w:t xml:space="preserve"> </w:t>
      </w:r>
      <w:r>
        <w:t xml:space="preserve">(</w:t>
      </w:r>
      <w:hyperlink w:anchor="ref-chaconstraub2014progit">
        <w:r>
          <w:rPr>
            <w:rStyle w:val="Hipervnculo"/>
          </w:rPr>
          <w:t xml:space="preserve">Chacon and Straub 2014</w:t>
        </w:r>
      </w:hyperlink>
      <w:r>
        <w:t xml:space="preserve">)</w:t>
      </w:r>
      <w:r>
        <w:t xml:space="preserve">. Indica qué archivos cambiaron, cuáles todavía no están preparados para commit y cuáles ya forman parte de la siguiente decisión que quedará en el historial.</w:t>
      </w:r>
    </w:p>
    <w:p>
      <w:pPr>
        <w:pStyle w:val="Textoindependiente"/>
      </w:pPr>
      <w:r>
        <w:t xml:space="preserve">Conviene usar</w:t>
      </w:r>
      <w:r>
        <w:t xml:space="preserve"> </w:t>
      </w:r>
      <w:r>
        <w:rPr>
          <w:rStyle w:val="VerbatimChar"/>
        </w:rPr>
        <w:t xml:space="preserve">git status</w:t>
      </w:r>
      <w:r>
        <w:t xml:space="preserve"> </w:t>
      </w:r>
      <w:r>
        <w:t xml:space="preserve">no como gesto excepcional, sino como instrumento de orientación. Antes de editar, después de editar y antes de cerrar una sesión, el comando ayuda a evitar una ilusión bastante común: creer que un cambio “ya quedó” cuando en realidad todavía no fue registrado.</w:t>
      </w:r>
    </w:p>
    <w:bookmarkEnd w:id="564"/>
    <w:bookmarkStart w:id="565" w:name="X423c09b70fe58a83f27dc275b9cba5687e1c3f3"/>
    <w:p>
      <w:pPr>
        <w:pStyle w:val="Ttulo2"/>
      </w:pPr>
      <w:r>
        <w:t xml:space="preserve">Paso 3.</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w:t>
      </w:r>
      <w:r>
        <w:t xml:space="preserve">no hacen lo mismo</w:t>
      </w:r>
    </w:p>
    <w:p>
      <w:pPr>
        <w:pStyle w:val="FirstParagraph"/>
      </w:pPr>
      <w:r>
        <w:t xml:space="preserve">Una de las distinciones que más conviene fijar desde temprano es la diferencia entre preparar un cambio y convertirlo en parte del historial. Cuando ejecutas:</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el primer comando selecciona cambios para el próximo commit, mientras que el segundo crea efectivamente una nueva entrada en la historia del proyecto</w:t>
      </w:r>
      <w:r>
        <w:t xml:space="preserve"> </w:t>
      </w:r>
      <w:r>
        <w:t xml:space="preserve">(</w:t>
      </w:r>
      <w:hyperlink w:anchor="ref-chaconstraub2014progit">
        <w:r>
          <w:rPr>
            <w:rStyle w:val="Hipervnculo"/>
          </w:rPr>
          <w:t xml:space="preserve">Chacon and Straub 2014</w:t>
        </w:r>
      </w:hyperlink>
      <w:r>
        <w:t xml:space="preserve">)</w:t>
      </w:r>
      <w:r>
        <w:t xml:space="preserve">. Parece un matiz técnico menor, pero no lo es. Si se confunden ambos pasos, el historial empieza a llenarse de commits poco pensados o demasiado grandes.</w:t>
      </w:r>
    </w:p>
    <w:p>
      <w:pPr>
        <w:pStyle w:val="Textoindependiente"/>
      </w:pPr>
      <w:r>
        <w:t xml:space="preserve">En una fase inicial,</w:t>
      </w:r>
      <w:r>
        <w:t xml:space="preserve"> </w:t>
      </w:r>
      <w:r>
        <w:rPr>
          <w:rStyle w:val="VerbatimChar"/>
        </w:rPr>
        <w:t xml:space="preserve">git add .</w:t>
      </w:r>
      <w:r>
        <w:t xml:space="preserve"> </w:t>
      </w:r>
      <w:r>
        <w:t xml:space="preserve">puede ser suficiente. Pero conviene saber desde ya que Git permite mucha más precisión y que, cuando el proyecto crece, no siempre es deseable incluir todo en un mismo registro. Esa es justamente una de las razones por las que Git tiene fama de herramienta poderosa: permite granularidad, no solo almacenamiento.</w:t>
      </w:r>
    </w:p>
    <w:bookmarkEnd w:id="565"/>
    <w:bookmarkStart w:id="566" w:name="X349239d7765d2b2652405eda6781813c2a9727a"/>
    <w:p>
      <w:pPr>
        <w:pStyle w:val="Ttulo2"/>
      </w:pPr>
      <w:r>
        <w:t xml:space="preserve">Paso 4.</w:t>
      </w:r>
      <w:r>
        <w:t xml:space="preserve"> </w:t>
      </w:r>
      <w:r>
        <w:rPr>
          <w:rStyle w:val="VerbatimChar"/>
        </w:rPr>
        <w:t xml:space="preserve">git push</w:t>
      </w:r>
      <w:r>
        <w:t xml:space="preserve"> </w:t>
      </w:r>
      <w:r>
        <w:t xml:space="preserve">convierte trabajo local en trabajo compartido</w:t>
      </w:r>
    </w:p>
    <w:p>
      <w:pPr>
        <w:pStyle w:val="FirstParagraph"/>
      </w:pPr>
      <w:r>
        <w:t xml:space="preserve">El comando:</w:t>
      </w:r>
    </w:p>
    <w:p>
      <w:pPr>
        <w:pStyle w:val="SourceCode"/>
      </w:pPr>
      <w:r>
        <w:rPr>
          <w:rStyle w:val="FunctionTok"/>
        </w:rPr>
        <w:t xml:space="preserve">git</w:t>
      </w:r>
      <w:r>
        <w:rPr>
          <w:rStyle w:val="NormalTok"/>
        </w:rPr>
        <w:t xml:space="preserve"> push</w:t>
      </w:r>
    </w:p>
    <w:p>
      <w:pPr>
        <w:pStyle w:val="FirstParagraph"/>
      </w:pPr>
      <w:r>
        <w:t xml:space="preserve">envía al remoto lo que hasta entonces solo existía en tu equipo. En el curso, ese paso no es decorativo. Un trabajo que vive exclusivamente en local puede ser técnicamente real, pero sigue siendo frágil como entrega y opaco como evidencia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Cuando el</w:t>
      </w:r>
      <w:r>
        <w:t xml:space="preserve"> </w:t>
      </w:r>
      <w:r>
        <w:rPr>
          <w:rStyle w:val="VerbatimChar"/>
        </w:rPr>
        <w:t xml:space="preserve">push</w:t>
      </w:r>
      <w:r>
        <w:t xml:space="preserve"> </w:t>
      </w:r>
      <w:r>
        <w:t xml:space="preserve">falla, no conviene cerrar la terminal con prisa. Los mensajes suelen indicar con bastante claridad si el problema está en credenciales, permisos, desactualización de la rama o conflictos con cambios remotos. Aprender a leer esa salida también forma parte del trabajo con Git.</w:t>
      </w:r>
    </w:p>
    <w:bookmarkEnd w:id="566"/>
    <w:bookmarkStart w:id="567" w:name="Xdd303d6f095d526f65a8b12f9954492fb6c6cd7"/>
    <w:p>
      <w:pPr>
        <w:pStyle w:val="Ttulo2"/>
      </w:pPr>
      <w:r>
        <w:t xml:space="preserve">Paso 5. Mirar el historial evita trabajar a ciegas</w:t>
      </w:r>
    </w:p>
    <w:p>
      <w:pPr>
        <w:pStyle w:val="FirstParagraph"/>
      </w:pPr>
      <w:r>
        <w:t xml:space="preserve">Después de registrar y subir un cambio, vale la pena comprobar qué quedó escrito en la historia: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Ese vistazo rápido sirve para confirmar que el commit existe, que el mensaje es el correcto y que la secuencia reciente tiene sentido. Un buen historial no solo almacena el pasado; permite reconstruir decisiones con relativa facilidad.</w:t>
      </w:r>
    </w:p>
    <w:bookmarkEnd w:id="567"/>
    <w:bookmarkStart w:id="568" w:name="lo-que-este-manual-no-cubre-de-git"/>
    <w:p>
      <w:pPr>
        <w:pStyle w:val="Ttulo2"/>
      </w:pPr>
      <w:r>
        <w:t xml:space="preserve">Lo que este manual no cubre de Git</w:t>
      </w:r>
    </w:p>
    <w:p>
      <w:pPr>
        <w:pStyle w:val="FirstParagraph"/>
      </w:pPr>
      <w:r>
        <w:t xml:space="preserve">Conviene decirlo con claridad: Git tiene muchos trucos y muchas capas que este manual no aborda. Herramientas como</w:t>
      </w:r>
      <w:r>
        <w:t xml:space="preserve"> </w:t>
      </w:r>
      <w:r>
        <w:rPr>
          <w:rStyle w:val="VerbatimChar"/>
        </w:rPr>
        <w:t xml:space="preserve">rebase</w:t>
      </w:r>
      <w:r>
        <w:t xml:space="preserve">,</w:t>
      </w:r>
      <w:r>
        <w:t xml:space="preserve"> </w:t>
      </w:r>
      <w:r>
        <w:rPr>
          <w:rStyle w:val="VerbatimChar"/>
        </w:rPr>
        <w:t xml:space="preserve">stash</w:t>
      </w:r>
      <w:r>
        <w:t xml:space="preserve">,</w:t>
      </w:r>
      <w:r>
        <w:t xml:space="preserve"> </w:t>
      </w:r>
      <w:r>
        <w:rPr>
          <w:rStyle w:val="VerbatimChar"/>
        </w:rPr>
        <w:t xml:space="preserve">cherry-pick</w:t>
      </w:r>
      <w:r>
        <w:t xml:space="preserve">,</w:t>
      </w:r>
      <w:r>
        <w:t xml:space="preserve"> </w:t>
      </w:r>
      <w:r>
        <w:rPr>
          <w:rStyle w:val="VerbatimChar"/>
        </w:rPr>
        <w:t xml:space="preserve">bisect</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 los hooks o los flujos de ramas más complejos pertenecen a una etapa posterior de aprendizaje. El objetivo del curso no es convertir a cada estudiante en especialista en administración de repositorios, sino darle una base suficiente para trabajar con trazabilidad sin perderse en la herramienta.</w:t>
      </w:r>
    </w:p>
    <w:p>
      <w:pPr>
        <w:pStyle w:val="Textoindependiente"/>
      </w:pPr>
      <w:r>
        <w:t xml:space="preserve">Cuando necesites ir más allá, lo razonable es consultar el manual oficial de Git y la documentación del proyecto, que están pensados justamente para escalar desde un uso elemental hacia uno más sofisticado</w:t>
      </w:r>
      <w:r>
        <w:t xml:space="preserve"> </w:t>
      </w:r>
      <w:r>
        <w:t xml:space="preserve">(</w:t>
      </w:r>
      <w:hyperlink w:anchor="ref-gitusermanual2026">
        <w:r>
          <w:rPr>
            <w:rStyle w:val="Hipervnculo"/>
          </w:rPr>
          <w:t xml:space="preserve">Git Documentation 2026</w:t>
        </w:r>
      </w:hyperlink>
      <w:r>
        <w:t xml:space="preserve">;</w:t>
      </w:r>
      <w:r>
        <w:t xml:space="preserve"> </w:t>
      </w:r>
      <w:hyperlink w:anchor="ref-gitabout2025">
        <w:r>
          <w:rPr>
            <w:rStyle w:val="Hipervnculo"/>
          </w:rPr>
          <w:t xml:space="preserve">Git 2025</w:t>
        </w:r>
      </w:hyperlink>
      <w:r>
        <w:t xml:space="preserve">)</w:t>
      </w:r>
      <w:r>
        <w:t xml:space="preserve">. Ese manual merece ser mencionado aquí porque evita otro error frecuente: creer que Git se agota en</w:t>
      </w:r>
      <w:r>
        <w:t xml:space="preserve"> </w:t>
      </w:r>
      <w:r>
        <w:rPr>
          <w:rStyle w:val="VerbatimChar"/>
        </w:rPr>
        <w:t xml:space="preserve">clone</w:t>
      </w:r>
      <w:r>
        <w:t xml:space="preserve">,</w:t>
      </w:r>
      <w:r>
        <w:t xml:space="preserve"> </w:t>
      </w:r>
      <w:r>
        <w:rPr>
          <w:rStyle w:val="VerbatimChar"/>
        </w:rPr>
        <w:t xml:space="preserve">status</w:t>
      </w:r>
      <w:r>
        <w:t xml:space="preserve">,</w:t>
      </w:r>
      <w:r>
        <w:t xml:space="preserve"> </w:t>
      </w:r>
      <w:r>
        <w:rPr>
          <w:rStyle w:val="VerbatimChar"/>
        </w:rPr>
        <w:t xml:space="preserve">add</w:t>
      </w:r>
      <w:r>
        <w:t xml:space="preserve">,</w:t>
      </w:r>
      <w:r>
        <w:t xml:space="preserve"> </w:t>
      </w:r>
      <w:r>
        <w:rPr>
          <w:rStyle w:val="VerbatimChar"/>
        </w:rPr>
        <w:t xml:space="preserve">commit</w:t>
      </w:r>
      <w:r>
        <w:t xml:space="preserve"> </w:t>
      </w:r>
      <w:r>
        <w:t xml:space="preserve">y</w:t>
      </w:r>
      <w:r>
        <w:t xml:space="preserve"> </w:t>
      </w:r>
      <w:r>
        <w:rPr>
          <w:rStyle w:val="VerbatimChar"/>
        </w:rPr>
        <w:t xml:space="preserve">push</w:t>
      </w:r>
      <w:r>
        <w:t xml:space="preserve">. No se agota allí; simplemente este curso empieza allí.</w:t>
      </w:r>
    </w:p>
    <w:bookmarkEnd w:id="568"/>
    <w:bookmarkStart w:id="569" w:name="github-como-entorno-de-curso"/>
    <w:p>
      <w:pPr>
        <w:pStyle w:val="Ttulo2"/>
      </w:pPr>
      <w:r>
        <w:t xml:space="preserve">GitHub como entorno de curso</w:t>
      </w:r>
    </w:p>
    <w:p>
      <w:pPr>
        <w:pStyle w:val="FirstParagraph"/>
      </w:pPr>
      <w:r>
        <w:t xml:space="preserve">En este manual, GitHub no es solo un depósito de archivos. Es también el espacio donde el proyecto se vuelve visible, compartible y evaluable. Ahí se alojan los repositorios, ahí se observa si el</w:t>
      </w:r>
      <w:r>
        <w:t xml:space="preserve"> </w:t>
      </w:r>
      <w:r>
        <w:rPr>
          <w:rStyle w:val="VerbatimChar"/>
        </w:rPr>
        <w:t xml:space="preserve">push</w:t>
      </w:r>
      <w:r>
        <w:t xml:space="preserve"> </w:t>
      </w:r>
      <w:r>
        <w:t xml:space="preserve">realmente llegó y, cuando hace falta, ahí pueden organizarse tareas, entregas y publicación web mediante GitHub Pages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2026d</w:t>
        </w:r>
      </w:hyperlink>
      <w:r>
        <w:t xml:space="preserve">)</w:t>
      </w:r>
      <w:r>
        <w:t xml:space="preserve">.</w:t>
      </w:r>
    </w:p>
    <w:p>
      <w:pPr>
        <w:pStyle w:val="Textoindependiente"/>
      </w:pPr>
      <w:r>
        <w:t xml:space="preserve">Por eso conviene mirar GitHub no solo como “la nube de Git”, sino como un entorno institucional donde el trabajo adquiere presencia pública o semipública. Esa capa social y organizativa es parte de lo que explica su expansión y también parte de lo que justificó el interés estratégico de Microsoft por adquirir la plataforma en 2018</w:t>
      </w:r>
      <w:r>
        <w:t xml:space="preserve"> </w:t>
      </w:r>
      <w:r>
        <w:t xml:space="preserve">(</w:t>
      </w:r>
      <w:hyperlink w:anchor="ref-microsoftgithub2018">
        <w:r>
          <w:rPr>
            <w:rStyle w:val="Hipervnculo"/>
          </w:rPr>
          <w:t xml:space="preserve">Microsoft 2018</w:t>
        </w:r>
      </w:hyperlink>
      <w:r>
        <w:t xml:space="preserve">)</w:t>
      </w:r>
      <w:r>
        <w:t xml:space="preserve">.</w:t>
      </w:r>
    </w:p>
    <w:bookmarkEnd w:id="569"/>
    <w:bookmarkStart w:id="570" w:name="seguridad-mínima-de-la-cuenta"/>
    <w:p>
      <w:pPr>
        <w:pStyle w:val="Ttulo2"/>
      </w:pPr>
      <w:r>
        <w:t xml:space="preserve">Seguridad mínima de la cuenta</w:t>
      </w:r>
    </w:p>
    <w:p>
      <w:pPr>
        <w:pStyle w:val="FirstParagraph"/>
      </w:pPr>
      <w:r>
        <w:t xml:space="preserve">Si GitHub guarda trabajo del curso, entonces la cuenta deja de ser un detalle administrativo y pasa a ser parte de la infraestructura personal de estudio. GitHub recomienda activar autenticación de dos factores y preparar métodos de recuperación para no perder acceso en momentos críticos</w:t>
      </w:r>
      <w:r>
        <w:t xml:space="preserve"> </w:t>
      </w:r>
      <w:r>
        <w:t xml:space="preserve">(</w:t>
      </w:r>
      <w:hyperlink w:anchor="ref-github2fa2026">
        <w:r>
          <w:rPr>
            <w:rStyle w:val="Hipervnculo"/>
          </w:rPr>
          <w:t xml:space="preserve">GitHub Docs 2026b</w:t>
        </w:r>
      </w:hyperlink>
      <w:r>
        <w:t xml:space="preserve">)</w:t>
      </w:r>
      <w:r>
        <w:t xml:space="preserve">. Ese consejo merece tomarse en serio: una cuenta insegura o una cuenta mal configurada pueden volverse un problema tan práctico como un repositorio mal versionado.</w:t>
      </w:r>
    </w:p>
    <w:bookmarkEnd w:id="570"/>
    <w:bookmarkStart w:id="571" w:name="cierre-1"/>
    <w:p>
      <w:pPr>
        <w:pStyle w:val="Ttulo2"/>
      </w:pPr>
      <w:r>
        <w:t xml:space="preserve">Cierre</w:t>
      </w:r>
    </w:p>
    <w:p>
      <w:pPr>
        <w:pStyle w:val="FirstParagraph"/>
      </w:pPr>
      <w:r>
        <w:t xml:space="preserve">La disciplina que exigen Git y GitHub se parece, en más de un sentido, a la disciplina del trabajo jurídico: registrar, distinguir etapas, conservar evidencia y reconstruir decisiones. Por eso ambas herramientas encajan bien en un curso de Legal Tech. No porque todo jurista deba convertirse en desarrollador experto, sino porque entender cómo se organiza un historial verificable de cambios mejora también la forma de pensar procesos, documentos y responsabilidades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Si una idea merece quedar de este tutorial, es esta: Git nació en diálogo directo con el problema de coordinar el desarrollo de Linux bajo Linus Torvalds, y GitHub creció después hasta convertirse en la gran plataforma social del versionado, hoy dentro del ecosistema de Microsoft</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 </w:t>
      </w:r>
      <w:hyperlink w:anchor="ref-microsoftgithub2018">
        <w:r>
          <w:rPr>
            <w:rStyle w:val="Hipervnculo"/>
          </w:rPr>
          <w:t xml:space="preserve">Microsoft 2018</w:t>
        </w:r>
      </w:hyperlink>
      <w:r>
        <w:t xml:space="preserve">)</w:t>
      </w:r>
      <w:r>
        <w:t xml:space="preserve">. Aprender a distinguir esos planos ayuda a trabajar con más precisión desde el comienzo.</w:t>
      </w:r>
    </w:p>
    <w:bookmarkEnd w:id="571"/>
    <w:bookmarkEnd w:id="572"/>
    <w:bookmarkStart w:id="583" w:name="Xcd0e63ecc2dbd69a42e1a118ea258cdee2233c4"/>
    <w:p>
      <w:pPr>
        <w:pStyle w:val="Ttulo1"/>
      </w:pPr>
      <w:r>
        <w:t xml:space="preserve">Tutorial: Licencias y reutilización responsable</w:t>
      </w:r>
    </w:p>
    <w:bookmarkStart w:id="573" w:name="para-qué-sirve-este-tutorial-3"/>
    <w:p>
      <w:pPr>
        <w:pStyle w:val="Ttulo2"/>
      </w:pPr>
      <w:r>
        <w:t xml:space="preserve">¿Para qué sirve este tutorial?</w:t>
      </w:r>
    </w:p>
    <w:p>
      <w:pPr>
        <w:pStyle w:val="FirstParagraph"/>
      </w:pPr>
      <w:r>
        <w:t xml:space="preserve">En un curso que trabaja con repositorios, código, plantillas y recursos digitales, la reutilización no puede tratarse como si fuera una simple operación técnica. También es una operación jurídica. Que un archivo sea visible, descargable o clonable no responde por sí mismo a la pregunta decisiva: bajo qué condiciones puede usarse, modificarse o redistribuirse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githublicensing2026">
        <w:r>
          <w:rPr>
            <w:rStyle w:val="Hipervnculo"/>
          </w:rPr>
          <w:t xml:space="preserve">GitHub Docs 2026c</w:t>
        </w:r>
      </w:hyperlink>
      <w:r>
        <w:t xml:space="preserve">)</w:t>
      </w:r>
      <w:r>
        <w:t xml:space="preserve">.</w:t>
      </w:r>
    </w:p>
    <w:bookmarkEnd w:id="573"/>
    <w:bookmarkStart w:id="574"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discusión sobre licencias de software no empezó como un problema de formulario, sino como una disputa sobre la forma en que el derecho de autor podía usarse para restringir o, por el contrario,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corrige una confusión muy extendida: el software libre no vive fuera del derecho, sino que se apoya precisamente en instrumentos jurídicos para producir un régimen de circulación distinto.</w:t>
      </w:r>
    </w:p>
    <w:p>
      <w:pPr>
        <w:pStyle w:val="Textoindependiente"/>
      </w:pPr>
      <w:r>
        <w:t xml:space="preserve">Jacovkis añade una idea que conviene conservar en un manual como este: el software libre también expresa una forma de producción colectiva de conocimiento, donde la mejora de herramientas depende de comunidades que comparten, corrigen y expanden trabajo ajeno</w:t>
      </w:r>
      <w:r>
        <w:t xml:space="preserve"> </w:t>
      </w:r>
      <w:r>
        <w:t xml:space="preserve">(</w:t>
      </w:r>
      <w:hyperlink w:anchor="ref-jacovkis2009softwarelibre">
        <w:r>
          <w:rPr>
            <w:rStyle w:val="Hipervnculo"/>
          </w:rPr>
          <w:t xml:space="preserve">Jacovkis 2009</w:t>
        </w:r>
      </w:hyperlink>
      <w:r>
        <w:t xml:space="preserve">)</w:t>
      </w:r>
      <w:r>
        <w:t xml:space="preserve">. Visto así, el archivo</w:t>
      </w:r>
      <w:r>
        <w:t xml:space="preserve"> </w:t>
      </w:r>
      <w:r>
        <w:rPr>
          <w:rStyle w:val="VerbatimChar"/>
        </w:rPr>
        <w:t xml:space="preserve">LICENSE</w:t>
      </w:r>
      <w:r>
        <w:t xml:space="preserve"> </w:t>
      </w:r>
      <w:r>
        <w:t xml:space="preserve">no es un adorno burocrático del repositorio, sino una pieza central de su arquitectura normativa.</w:t>
      </w:r>
    </w:p>
    <w:bookmarkEnd w:id="574"/>
    <w:bookmarkStart w:id="577" w:name="copyright-copyleft-y-copyleft-reforzado"/>
    <w:p>
      <w:pPr>
        <w:pStyle w:val="Ttulo2"/>
      </w:pPr>
      <w:r>
        <w:t xml:space="preserve">Copyright, copyleft y copyleft reforzado</w:t>
      </w:r>
    </w:p>
    <w:p>
      <w:pPr>
        <w:pStyle w:val="FirstParagraph"/>
      </w:pPr>
      <w:r>
        <w:t xml:space="preserve">En su forma más simple, el copyright funciona como un régimen de exclusividad. Si el autor no concede permiso, el tercero no puede copiar, modificar ni redistribuir legítimamente la obra más allá de los límites que reconozca el ordenamiento</w:t>
      </w:r>
      <w:r>
        <w:t xml:space="preserve"> </w:t>
      </w:r>
      <w:r>
        <w:t xml:space="preserve">(</w:t>
      </w:r>
      <w:hyperlink w:anchor="ref-bain2007softwarelibre2">
        <w:r>
          <w:rPr>
            <w:rStyle w:val="Hipervnculo"/>
          </w:rPr>
          <w:t xml:space="preserve">Bain et al. 2007b</w:t>
        </w:r>
      </w:hyperlink>
      <w:r>
        <w:t xml:space="preserve">)</w:t>
      </w:r>
      <w:r>
        <w:t xml:space="preserve">. GitHub lo explica con claridad: si publicas código sin licencia, el derecho de autor sigue operando por defecto y los demás no reciben automáticamente permiso para reproducir, distribuir o crear obras derivadas</w:t>
      </w:r>
      <w:r>
        <w:t xml:space="preserve"> </w:t>
      </w:r>
      <w:r>
        <w:t xml:space="preserve">(</w:t>
      </w:r>
      <w:hyperlink w:anchor="ref-githublicensing2026">
        <w:r>
          <w:rPr>
            <w:rStyle w:val="Hipervnculo"/>
          </w:rPr>
          <w:t xml:space="preserve">GitHub Docs 2026c</w:t>
        </w:r>
      </w:hyperlink>
      <w:r>
        <w:t xml:space="preserve">)</w:t>
      </w:r>
      <w:r>
        <w:t xml:space="preserve">.</w:t>
      </w:r>
    </w:p>
    <w:p>
      <w:pPr>
        <w:pStyle w:val="Textoindependiente"/>
      </w:pPr>
      <w:r>
        <w:t xml:space="preserve">El copyleft trabaja con la misma base jurídica, pero le da una orientación distinta. En lugar de usar el copyright solo para cerrar el acceso, lo usa para obligar a que determinadas libertades se mantengan también en las versiones derivadas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Por eso se dice a veces que el copyleft no niega el derecho de autor: lo invierte estratégicamente. La variante reforzada de esa lógica aparece en licencias como la AGPL, que extienden la exigencia de compartir código incluso cuando la modificación se ofrece como servicio a través de una red</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 diferencia conceptual puede formularse así. El copyright cerrado parte de la reserva. El copyleft parte de la apertura condicionada. Ambos usan derecho de autor; lo que cambia es la manera de distribuir permisos y obligaciones.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Applications/quarto/share/formats/docx/note.png" id="5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público en GitHub no significa que pueda reutilizarse libremente. La publicidad facilita acceso y lectura; la licencia define el alcance jurídico de ese acceso</w:t>
            </w:r>
            <w:r>
              <w:t xml:space="preserve"> </w:t>
            </w:r>
            <w:r>
              <w:t xml:space="preserve">(</w:t>
            </w:r>
            <w:hyperlink w:anchor="ref-githublicensing2026">
              <w:r>
                <w:rPr>
                  <w:rStyle w:val="Hipervnculo"/>
                </w:rPr>
                <w:t xml:space="preserve">GitHub Docs 2026c</w:t>
              </w:r>
            </w:hyperlink>
            <w:r>
              <w:t xml:space="preserve">)</w:t>
            </w:r>
            <w:r>
              <w:t xml:space="preserve">.</w:t>
            </w:r>
          </w:p>
          <w:p/>
        </w:tc>
      </w:tr>
    </w:tbl>
    <w:bookmarkEnd w:id="577"/>
    <w:bookmarkStart w:id="578" w:name="X54d177bdc96e934cf21296adcf666b7a6a937e8"/>
    <w:p>
      <w:pPr>
        <w:pStyle w:val="Ttulo2"/>
      </w:pPr>
      <w:r>
        <w:t xml:space="preserve">Las licencias que GitHub pone normalmente al alcance</w:t>
      </w:r>
    </w:p>
    <w:p>
      <w:pPr>
        <w:pStyle w:val="FirstParagraph"/>
      </w:pPr>
      <w:r>
        <w:t xml:space="preserve">Cuando creas un repositorio nuevo, GitHub ofrece un selector de licencias y remite al proyecto</w:t>
      </w:r>
      <w:r>
        <w:t xml:space="preserve"> </w:t>
      </w:r>
      <w:r>
        <w:rPr>
          <w:b/>
          <w:bCs/>
        </w:rPr>
        <w:t xml:space="preserve">Choose a License</w:t>
      </w:r>
      <w:r>
        <w:t xml:space="preserve"> </w:t>
      </w:r>
      <w:r>
        <w:t xml:space="preserve">como punto de partida para escoger entre licencias abiertas comunes</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 Ese repertorio no agota todo el universo posible, pero sí reúne las familias con las que un estudiante se encontrará más a menudo. Conviene leerlas no como nombres sueltos, sino como respuestas distintas a una misma pregunta: cuánto permito, qué exijo conservar y hasta dónde obligo a compartir las mejoras.</w:t>
      </w:r>
    </w:p>
    <w:p>
      <w:pPr>
        <w:pStyle w:val="Textoindependiente"/>
      </w:pPr>
      <w:r>
        <w:t xml:space="preserve">La licencia</w:t>
      </w:r>
      <w:r>
        <w:t xml:space="preserve"> </w:t>
      </w:r>
      <w:r>
        <w:rPr>
          <w:b/>
          <w:bCs/>
        </w:rPr>
        <w:t xml:space="preserve">MIT</w:t>
      </w:r>
      <w:r>
        <w:t xml:space="preserve"> </w:t>
      </w:r>
      <w:r>
        <w:t xml:space="preserve">es el caso clásico de licencia permisiva. Permite usar, copiar, modificar y redistribuir con muy pocas condiciones, básicamente conservar el aviso de copyright y la licencia</w:t>
      </w:r>
      <w:r>
        <w:t xml:space="preserve"> </w:t>
      </w:r>
      <w:r>
        <w:t xml:space="preserve">(</w:t>
      </w:r>
      <w:hyperlink w:anchor="ref-choosealicenselicenses2026">
        <w:r>
          <w:rPr>
            <w:rStyle w:val="Hipervnculo"/>
          </w:rPr>
          <w:t xml:space="preserve">Choose a License 2026b</w:t>
        </w:r>
      </w:hyperlink>
      <w:r>
        <w:t xml:space="preserve">)</w:t>
      </w:r>
      <w:r>
        <w:t xml:space="preserve">. Por eso suele verse en proyectos que priorizan circulación amplia y baja fricción.</w:t>
      </w:r>
    </w:p>
    <w:p>
      <w:pPr>
        <w:pStyle w:val="Textoindependiente"/>
      </w:pPr>
      <w:r>
        <w:t xml:space="preserve">La</w:t>
      </w:r>
      <w:r>
        <w:t xml:space="preserve"> </w:t>
      </w:r>
      <w:r>
        <w:rPr>
          <w:b/>
          <w:bCs/>
        </w:rPr>
        <w:t xml:space="preserve">Apache License 2.0</w:t>
      </w:r>
      <w:r>
        <w:t xml:space="preserve"> </w:t>
      </w:r>
      <w:r>
        <w:t xml:space="preserve">también es permisiva, pero añade una estructura más explícita respecto de avisos, cambios y concesión de patentes</w:t>
      </w:r>
      <w:r>
        <w:t xml:space="preserve"> </w:t>
      </w:r>
      <w:r>
        <w:t xml:space="preserve">(</w:t>
      </w:r>
      <w:hyperlink w:anchor="ref-choosealicenselicenses2026">
        <w:r>
          <w:rPr>
            <w:rStyle w:val="Hipervnculo"/>
          </w:rPr>
          <w:t xml:space="preserve">Choose a License 2026b</w:t>
        </w:r>
      </w:hyperlink>
      <w:r>
        <w:t xml:space="preserve">)</w:t>
      </w:r>
      <w:r>
        <w:t xml:space="preserve">. Suele elegirse cuando se quiere apertura con un marco algo más detallado que MIT.</w:t>
      </w:r>
    </w:p>
    <w:p>
      <w:pPr>
        <w:pStyle w:val="Textoindependiente"/>
      </w:pPr>
      <w:r>
        <w:t xml:space="preserve">Las licencias</w:t>
      </w:r>
      <w:r>
        <w:t xml:space="preserve"> </w:t>
      </w:r>
      <w:r>
        <w:rPr>
          <w:b/>
          <w:bCs/>
        </w:rPr>
        <w:t xml:space="preserve">BSD de 2 y 3 cláusulas</w:t>
      </w:r>
      <w:r>
        <w:t xml:space="preserve"> </w:t>
      </w:r>
      <w:r>
        <w:t xml:space="preserve">pertenecen igualmente al campo permisivo. Conservan la lógica de permitir reutilización amplia, aunque la versión de 3 cláusulas agrega una protección adicional frente al uso del nombre de los autores o contribuyentes para promocionar derivados sin autorización</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GPLv3</w:t>
      </w:r>
      <w:r>
        <w:t xml:space="preserve"> </w:t>
      </w:r>
      <w:r>
        <w:t xml:space="preserve">representa el copyleft fuerte. Permite usar, modificar y redistribuir, pero exige que las obras derivadas distribuidas mantengan la misma licencia y hagan disponible el código fuente correspondiente</w:t>
      </w:r>
      <w:r>
        <w:t xml:space="preserve"> </w:t>
      </w:r>
      <w:r>
        <w:t xml:space="preserve">(</w:t>
      </w:r>
      <w:hyperlink w:anchor="ref-choosealicenselicenses2026">
        <w:r>
          <w:rPr>
            <w:rStyle w:val="Hipervnculo"/>
          </w:rPr>
          <w:t xml:space="preserve">Choose a License 2026b</w:t>
        </w:r>
      </w:hyperlink>
      <w:r>
        <w:t xml:space="preserve">)</w:t>
      </w:r>
      <w:r>
        <w:t xml:space="preserve">. Su lógica no es “cerrar”, sino impedir que una mejora privativa se apropie de un trabajo que ingresó bajo términos de libertad recíproca.</w:t>
      </w:r>
    </w:p>
    <w:p>
      <w:pPr>
        <w:pStyle w:val="Textoindependiente"/>
      </w:pPr>
      <w:r>
        <w:t xml:space="preserve">La</w:t>
      </w:r>
      <w:r>
        <w:t xml:space="preserve"> </w:t>
      </w:r>
      <w:r>
        <w:rPr>
          <w:b/>
          <w:bCs/>
        </w:rPr>
        <w:t xml:space="preserve">LGPLv3</w:t>
      </w:r>
      <w:r>
        <w:t xml:space="preserve"> </w:t>
      </w:r>
      <w:r>
        <w:t xml:space="preserve">mantiene una lógica de copyleft más acotada, usualmente pensada para bibliotecas. Permite que un programa más amplio interactúe con la biblioteca sin imponer necesariamente la misma licencia a todo el conjunto, aunque sí conserva obligaciones sobre la parte específicamente licenciada bajo LGPL</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AGPLv3</w:t>
      </w:r>
      <w:r>
        <w:t xml:space="preserve"> </w:t>
      </w:r>
      <w:r>
        <w:t xml:space="preserve">lleva el copyleft a un punto más intenso al considerar también el uso por red. Si una versión modificada se ofrece como servicio, debe ponerse a disposición el código fuente de esa versión</w:t>
      </w:r>
      <w:r>
        <w:t xml:space="preserve"> </w:t>
      </w:r>
      <w:r>
        <w:t xml:space="preserve">(</w:t>
      </w:r>
      <w:hyperlink w:anchor="ref-choosealicenselicenses2026">
        <w:r>
          <w:rPr>
            <w:rStyle w:val="Hipervnculo"/>
          </w:rPr>
          <w:t xml:space="preserve">Choose a License 2026b</w:t>
        </w:r>
      </w:hyperlink>
      <w:r>
        <w:t xml:space="preserve">)</w:t>
      </w:r>
      <w:r>
        <w:t xml:space="preserve">. Para un curso de Legal Tech, esta diferencia importa porque muchas herramientas actuales ya no se distribuyen solo como software instalado, sino como servicios accesibles en línea.</w:t>
      </w:r>
    </w:p>
    <w:p>
      <w:pPr>
        <w:pStyle w:val="Textoindependiente"/>
      </w:pPr>
      <w:r>
        <w:t xml:space="preserve">La</w:t>
      </w:r>
      <w:r>
        <w:t xml:space="preserve"> </w:t>
      </w:r>
      <w:r>
        <w:rPr>
          <w:b/>
          <w:bCs/>
        </w:rPr>
        <w:t xml:space="preserve">MPL 2.0</w:t>
      </w:r>
      <w:r>
        <w:t xml:space="preserve"> </w:t>
      </w:r>
      <w:r>
        <w:t xml:space="preserve">suele describirse como copyleft débil o a nivel de archivo. Exige compartir bajo la misma licencia los archivos modificados que ya estaban cubiertos por MPL, pero no necesariamente arrastra toda la obra mayor a la misma licencia</w:t>
      </w:r>
      <w:r>
        <w:t xml:space="preserve"> </w:t>
      </w:r>
      <w:r>
        <w:t xml:space="preserve">(</w:t>
      </w:r>
      <w:hyperlink w:anchor="ref-choosealicenselicenses2026">
        <w:r>
          <w:rPr>
            <w:rStyle w:val="Hipervnculo"/>
          </w:rPr>
          <w:t xml:space="preserve">Choose a License 2026b</w:t>
        </w:r>
      </w:hyperlink>
      <w:r>
        <w:t xml:space="preserve">)</w:t>
      </w:r>
      <w:r>
        <w:t xml:space="preserve">. En la práctica, funciona como una fórmula intermedia entre permisividad amplia y reciprocidad fuerte.</w:t>
      </w:r>
    </w:p>
    <w:p>
      <w:pPr>
        <w:pStyle w:val="Textoindependiente"/>
      </w:pPr>
      <w:r>
        <w:t xml:space="preserve">Finalmente,</w:t>
      </w:r>
      <w:r>
        <w:t xml:space="preserve"> </w:t>
      </w:r>
      <w:r>
        <w:rPr>
          <w:b/>
          <w:bCs/>
        </w:rPr>
        <w:t xml:space="preserve">The Unlicense</w:t>
      </w:r>
      <w:r>
        <w:t xml:space="preserve"> </w:t>
      </w:r>
      <w:r>
        <w:t xml:space="preserve">intenta aproximarse a una dedicación al dominio público y elimina al máximo las condiciones de reutilización, aunque conserva la habitual exclusión de garantías</w:t>
      </w:r>
      <w:r>
        <w:t xml:space="preserve"> </w:t>
      </w:r>
      <w:r>
        <w:t xml:space="preserve">(</w:t>
      </w:r>
      <w:hyperlink w:anchor="ref-choosealicenselicenses2026">
        <w:r>
          <w:rPr>
            <w:rStyle w:val="Hipervnculo"/>
          </w:rPr>
          <w:t xml:space="preserve">Choose a License 2026b</w:t>
        </w:r>
      </w:hyperlink>
      <w:r>
        <w:t xml:space="preserve">)</w:t>
      </w:r>
      <w:r>
        <w:t xml:space="preserve">. Es una opción extrema en la dirección de la permisividad.</w:t>
      </w:r>
    </w:p>
    <w:bookmarkEnd w:id="578"/>
    <w:bookmarkStart w:id="579" w:name="X5b25542a662f1f256bb476754b7f3208f239a1d"/>
    <w:p>
      <w:pPr>
        <w:pStyle w:val="Ttulo2"/>
      </w:pPr>
      <w:r>
        <w:t xml:space="preserve">Qué conviene mirar en un repositorio concreto</w:t>
      </w:r>
    </w:p>
    <w:p>
      <w:pPr>
        <w:pStyle w:val="FirstParagraph"/>
      </w:pPr>
      <w:r>
        <w:t xml:space="preserve">En la práctica, la lectura jurídica mínima de un repositorio puede apoyarse en unas pocas preguntas: si tiene archivo</w:t>
      </w:r>
      <w:r>
        <w:t xml:space="preserve"> </w:t>
      </w:r>
      <w:r>
        <w:rPr>
          <w:rStyle w:val="VerbatimChar"/>
        </w:rPr>
        <w:t xml:space="preserve">LICENSE</w:t>
      </w:r>
      <w:r>
        <w:t xml:space="preserve">, qué tipo de licencia usa, si exige conservar avisos de autoría, si obliga a compartir cambios bajo la misma licencia y si introduce exigencias especiales respecto de patentes, red, bibliotecas o promoción comercial</w:t>
      </w:r>
      <w:r>
        <w:t xml:space="preserve"> </w:t>
      </w:r>
      <w:r>
        <w:t xml:space="preserve">(</w:t>
      </w:r>
      <w:hyperlink w:anchor="ref-bain2007softwarelibre2">
        <w:r>
          <w:rPr>
            <w:rStyle w:val="Hipervnculo"/>
          </w:rPr>
          <w:t xml:space="preserve">Bain et al. 2007b</w:t>
        </w:r>
      </w:hyperlink>
      <w:r>
        <w:t xml:space="preserve">;</w:t>
      </w:r>
      <w:r>
        <w:t xml:space="preserve"> </w:t>
      </w:r>
      <w:hyperlink w:anchor="ref-githublicensing2026">
        <w:r>
          <w:rPr>
            <w:rStyle w:val="Hipervnculo"/>
          </w:rPr>
          <w:t xml:space="preserve">GitHub Docs 2026c</w:t>
        </w:r>
      </w:hyperlink>
      <w:r>
        <w:t xml:space="preserve">)</w:t>
      </w:r>
      <w:r>
        <w:t xml:space="preserve">.</w:t>
      </w:r>
    </w:p>
    <w:p>
      <w:pPr>
        <w:pStyle w:val="Textoindependiente"/>
      </w:pPr>
      <w:r>
        <w:t xml:space="preserve">No hace falta convertir cada consulta en un seminario de propiedad intelectual. Pero sí hace falta resistir la tentación de asumir que “está en GitHub” equivale a “está disponible para cualquier uso”. GitHub mismo advierte que la ausencia de licencia no crea permisos de reutilización, aunque el código sea visible y el repositorio pueda incluso ser forkeado dentro de la plataforma</w:t>
      </w:r>
      <w:r>
        <w:t xml:space="preserve"> </w:t>
      </w:r>
      <w:r>
        <w:t xml:space="preserve">(</w:t>
      </w:r>
      <w:hyperlink w:anchor="ref-githublicensing2026">
        <w:r>
          <w:rPr>
            <w:rStyle w:val="Hipervnculo"/>
          </w:rPr>
          <w:t xml:space="preserve">GitHub Docs 2026c</w:t>
        </w:r>
      </w:hyperlink>
      <w:r>
        <w:t xml:space="preserve">)</w:t>
      </w:r>
      <w:r>
        <w:t xml:space="preserve">.</w:t>
      </w:r>
    </w:p>
    <w:bookmarkEnd w:id="579"/>
    <w:bookmarkStart w:id="580" w:name="Xba8e3ef85d43f53a8f5126dbba3df12d6a4e251"/>
    <w:p>
      <w:pPr>
        <w:pStyle w:val="Ttulo2"/>
      </w:pPr>
      <w:r>
        <w:t xml:space="preserve">Por qué esto importa especialmente a un jurista</w:t>
      </w:r>
    </w:p>
    <w:p>
      <w:pPr>
        <w:pStyle w:val="FirstParagraph"/>
      </w:pPr>
      <w:r>
        <w:t xml:space="preserve">Para un estudiante de Derecho, este tutorial tiene un interés que va más allá del software. Obliga a distinguir entre acceso material y habilitación normativa, entre posibilidad técnica y permiso jurídico, entre disponibilidad de un recurso y condiciones de circulación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distinción aparece también en muchos otros ámbitos del trabajo jurídico contemporáneo: datos públicos, documentos administrativos, contenidos digitales, bases de datos y materiales colaborativos.</w:t>
      </w:r>
    </w:p>
    <w:p>
      <w:pPr>
        <w:pStyle w:val="Textoindependiente"/>
      </w:pPr>
      <w:r>
        <w:t xml:space="preserve">Además, la cuestión de las licencias enseña a leer infraestructura. Un jurista no solo interpreta normas estatales o contratos privados en sentido tradicional. También necesita entender cómo un entorno técnico incorpora reglas de uso, redistribución, trazabilidad y responsabilidad en sus propios artefactos</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580"/>
    <w:bookmarkStart w:id="581" w:name="aplicación-práctica-para-el-curso"/>
    <w:p>
      <w:pPr>
        <w:pStyle w:val="Ttulo2"/>
      </w:pPr>
      <w:r>
        <w:t xml:space="preserve">Aplicación práctica para el curso</w:t>
      </w:r>
    </w:p>
    <w:p>
      <w:pPr>
        <w:pStyle w:val="FirstParagraph"/>
      </w:pPr>
      <w:r>
        <w:t xml:space="preserve">Cuando reutilices código, una plantilla, una imagen, una hoja de estilos o una pequeña función encontrada en otro repositorio, conviene seguir una secuencia sobria: identificar la fuente, leer la licencia, anotar qué tomaste y registrar bajo qué condiciones lo incorporaste</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disciplina protege tanto la integridad académica como el cumplimiento básico de reglas de reutilización.</w:t>
      </w:r>
    </w:p>
    <w:p>
      <w:pPr>
        <w:pStyle w:val="Textoindependiente"/>
      </w:pPr>
      <w:r>
        <w:t xml:space="preserve">Si la licencia es permisiva, la obligación quizá sea solo conservar avisos y atribución. Si es copyleft, el problema puede desplazarse hacia la obligación de mantener la misma licencia en determinadas redistribuciones. Si no hay licencia, lo prudente es no asumir permiso donde el titular no lo ha concedido expresamente</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w:t>
      </w:r>
    </w:p>
    <w:bookmarkEnd w:id="581"/>
    <w:bookmarkStart w:id="582" w:name="cierre-2"/>
    <w:p>
      <w:pPr>
        <w:pStyle w:val="Ttulo2"/>
      </w:pPr>
      <w:r>
        <w:t xml:space="preserve">Cierre</w:t>
      </w:r>
    </w:p>
    <w:p>
      <w:pPr>
        <w:pStyle w:val="FirstParagraph"/>
      </w:pPr>
      <w:r>
        <w:t xml:space="preserve">La lección principal de este tutorial es sencilla, aunque no trivial. En GitHub no basta con saber clonar, copiar o pegar. También importa saber bajo qué régimen jurídico circula lo que estás usando. El copyright no desaparece porque el archivo sea público; el copyleft no elimina el derecho de autor, sino que lo usa para imponer reciprocidad; y las licencias permisivas no significan ausencia de reglas, sino reglas más livianas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choosealicenselicenses2026">
        <w:r>
          <w:rPr>
            <w:rStyle w:val="Hipervnculo"/>
          </w:rPr>
          <w:t xml:space="preserve">Choose a License 2026b</w:t>
        </w:r>
      </w:hyperlink>
      <w:r>
        <w:t xml:space="preserve">)</w:t>
      </w:r>
      <w:r>
        <w:t xml:space="preserve">.</w:t>
      </w:r>
    </w:p>
    <w:p>
      <w:pPr>
        <w:pStyle w:val="Textoindependiente"/>
      </w:pPr>
      <w:r>
        <w:t xml:space="preserve">Si el curso busca formar una cultura mínima de trabajo responsable, entonces revisar un archivo</w:t>
      </w:r>
      <w:r>
        <w:t xml:space="preserve"> </w:t>
      </w:r>
      <w:r>
        <w:rPr>
          <w:rStyle w:val="VerbatimChar"/>
        </w:rPr>
        <w:t xml:space="preserve">LICENSE</w:t>
      </w:r>
      <w:r>
        <w:t xml:space="preserve"> </w:t>
      </w:r>
      <w:r>
        <w:t xml:space="preserve">debería sentirse tan normal como revisar la fuente de una cita o la fecha de una norma. En ambos casos, lo que está en juego es la misma virtud: no trabajar sobre supuestos vagos cuando el propio material ofrece la información necesaria para decidir mejor.</w:t>
      </w:r>
    </w:p>
    <w:bookmarkEnd w:id="582"/>
    <w:bookmarkEnd w:id="583"/>
    <w:bookmarkStart w:id="596" w:name="tutorial-github-pages"/>
    <w:p>
      <w:pPr>
        <w:pStyle w:val="Ttulo1"/>
      </w:pPr>
      <w:r>
        <w:t xml:space="preserve">Tutorial: GitHub Pages</w:t>
      </w:r>
    </w:p>
    <w:bookmarkStart w:id="584"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2026d</w:t>
        </w:r>
      </w:hyperlink>
      <w:r>
        <w:t xml:space="preserve">)</w:t>
      </w:r>
      <w:r>
        <w:t xml:space="preserve">.</w:t>
      </w:r>
    </w:p>
    <w:bookmarkEnd w:id="584"/>
    <w:bookmarkStart w:id="585"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2026d</w:t>
        </w:r>
      </w:hyperlink>
      <w:r>
        <w:t xml:space="preserve">)</w:t>
      </w:r>
      <w:r>
        <w:t xml:space="preserve">. Pero la intuición fundacional sigue siendo la misma: publicar desde el repositorio sin romper la trazabilidad del trabajo.</w:t>
      </w:r>
    </w:p>
    <w:bookmarkEnd w:id="585"/>
    <w:bookmarkStart w:id="586" w:name="qué-necesitas-antes"/>
    <w:p>
      <w:pPr>
        <w:pStyle w:val="Ttulo2"/>
      </w:pPr>
      <w:r>
        <w:t xml:space="preserve">Qué necesitas antes</w:t>
      </w:r>
    </w:p>
    <w:p>
      <w:pPr>
        <w:pStyle w:val="Compact"/>
        <w:numPr>
          <w:ilvl w:val="0"/>
          <w:numId w:val="1101"/>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2026d</w:t>
        </w:r>
      </w:hyperlink>
      <w:r>
        <w:t xml:space="preserve">)</w:t>
      </w:r>
      <w:r>
        <w:t xml:space="preserve">;</w:t>
      </w:r>
    </w:p>
    <w:p>
      <w:pPr>
        <w:pStyle w:val="Compact"/>
        <w:numPr>
          <w:ilvl w:val="0"/>
          <w:numId w:val="1101"/>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01"/>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586"/>
    <w:bookmarkStart w:id="587"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02"/>
        </w:numPr>
      </w:pPr>
      <w:r>
        <w:t xml:space="preserve">crea o identifica tu repositorio;</w:t>
      </w:r>
    </w:p>
    <w:p>
      <w:pPr>
        <w:pStyle w:val="Compact"/>
        <w:numPr>
          <w:ilvl w:val="0"/>
          <w:numId w:val="1102"/>
        </w:numPr>
      </w:pPr>
      <w:r>
        <w:t xml:space="preserve">sube los archivos del sitio;</w:t>
      </w:r>
    </w:p>
    <w:p>
      <w:pPr>
        <w:pStyle w:val="Compact"/>
        <w:numPr>
          <w:ilvl w:val="0"/>
          <w:numId w:val="1102"/>
        </w:numPr>
      </w:pPr>
      <w:r>
        <w:t xml:space="preserve">activa GitHub Pages desde la configuración del repositorio;</w:t>
      </w:r>
    </w:p>
    <w:p>
      <w:pPr>
        <w:pStyle w:val="Compact"/>
        <w:numPr>
          <w:ilvl w:val="0"/>
          <w:numId w:val="1102"/>
        </w:numPr>
      </w:pPr>
      <w:r>
        <w:t xml:space="preserve">verifica la URL pública;</w:t>
      </w:r>
    </w:p>
    <w:p>
      <w:pPr>
        <w:pStyle w:val="Compact"/>
        <w:numPr>
          <w:ilvl w:val="0"/>
          <w:numId w:val="1102"/>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587"/>
    <w:bookmarkStart w:id="588"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103"/>
        </w:numPr>
      </w:pPr>
      <w:r>
        <w:t xml:space="preserve">que el archivo principal sea</w:t>
      </w:r>
      <w:r>
        <w:t xml:space="preserve"> </w:t>
      </w:r>
      <w:r>
        <w:rPr>
          <w:rStyle w:val="VerbatimChar"/>
        </w:rPr>
        <w:t xml:space="preserve">index.html</w:t>
      </w:r>
      <w:r>
        <w:t xml:space="preserve">;</w:t>
      </w:r>
    </w:p>
    <w:p>
      <w:pPr>
        <w:pStyle w:val="Compact"/>
        <w:numPr>
          <w:ilvl w:val="0"/>
          <w:numId w:val="1103"/>
        </w:numPr>
      </w:pPr>
      <w:r>
        <w:t xml:space="preserve">que los archivos CSS estén enlazados con rutas correctas;</w:t>
      </w:r>
    </w:p>
    <w:p>
      <w:pPr>
        <w:pStyle w:val="Compact"/>
        <w:numPr>
          <w:ilvl w:val="0"/>
          <w:numId w:val="1103"/>
        </w:numPr>
      </w:pPr>
      <w:r>
        <w:t xml:space="preserve">que las imágenes estén dentro del repositorio y no solo en tu máquina;</w:t>
      </w:r>
    </w:p>
    <w:p>
      <w:pPr>
        <w:pStyle w:val="Compact"/>
        <w:numPr>
          <w:ilvl w:val="0"/>
          <w:numId w:val="1103"/>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588"/>
    <w:bookmarkStart w:id="589"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89"/>
    <w:bookmarkStart w:id="590"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2026d</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90"/>
    <w:bookmarkStart w:id="593"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04"/>
        </w:numPr>
      </w:pPr>
      <w:r>
        <w:t xml:space="preserve">abrir la página principal;</w:t>
      </w:r>
    </w:p>
    <w:p>
      <w:pPr>
        <w:pStyle w:val="Compact"/>
        <w:numPr>
          <w:ilvl w:val="0"/>
          <w:numId w:val="1104"/>
        </w:numPr>
      </w:pPr>
      <w:r>
        <w:t xml:space="preserve">hacer clic en uno o dos enlaces internos;</w:t>
      </w:r>
    </w:p>
    <w:p>
      <w:pPr>
        <w:pStyle w:val="Compact"/>
        <w:numPr>
          <w:ilvl w:val="0"/>
          <w:numId w:val="1104"/>
        </w:numPr>
      </w:pPr>
      <w:r>
        <w:t xml:space="preserve">confirmar que los estilos se aplicaron;</w:t>
      </w:r>
    </w:p>
    <w:p>
      <w:pPr>
        <w:pStyle w:val="Compact"/>
        <w:numPr>
          <w:ilvl w:val="0"/>
          <w:numId w:val="1104"/>
        </w:numPr>
      </w:pPr>
      <w:r>
        <w:t xml:space="preserve">verificar que las imágenes aparecen;</w:t>
      </w:r>
    </w:p>
    <w:p>
      <w:pPr>
        <w:pStyle w:val="Compact"/>
        <w:numPr>
          <w:ilvl w:val="0"/>
          <w:numId w:val="1104"/>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Applications/quarto/share/formats/docx/important.png" id="5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2026d</w:t>
              </w:r>
            </w:hyperlink>
            <w:r>
              <w:t xml:space="preserve">)</w:t>
            </w:r>
            <w:r>
              <w:t xml:space="preserve">.</w:t>
            </w:r>
          </w:p>
          <w:p/>
        </w:tc>
      </w:tr>
    </w:tbl>
    <w:bookmarkEnd w:id="593"/>
    <w:bookmarkStart w:id="594" w:name="qué-revisar-si-no-publica-bien"/>
    <w:p>
      <w:pPr>
        <w:pStyle w:val="Ttulo2"/>
      </w:pPr>
      <w:r>
        <w:t xml:space="preserve">Qué revisar si no publica bien</w:t>
      </w:r>
    </w:p>
    <w:p>
      <w:pPr>
        <w:pStyle w:val="Compact"/>
        <w:numPr>
          <w:ilvl w:val="0"/>
          <w:numId w:val="1105"/>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05"/>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2026d</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05"/>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05"/>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2026d</w:t>
        </w:r>
      </w:hyperlink>
      <w:r>
        <w:t xml:space="preserve">)</w:t>
      </w:r>
      <w:r>
        <w:t xml:space="preserve">.</w:t>
      </w:r>
    </w:p>
    <w:p>
      <w:pPr>
        <w:pStyle w:val="FirstParagraph"/>
      </w:pPr>
      <w:r>
        <w:t xml:space="preserve">Si algo falla, intenta aislar el problema en este orden:</w:t>
      </w:r>
    </w:p>
    <w:p>
      <w:pPr>
        <w:pStyle w:val="Compact"/>
        <w:numPr>
          <w:ilvl w:val="0"/>
          <w:numId w:val="1106"/>
        </w:numPr>
      </w:pPr>
      <w:r>
        <w:t xml:space="preserve">¿existe</w:t>
      </w:r>
      <w:r>
        <w:t xml:space="preserve"> </w:t>
      </w:r>
      <w:r>
        <w:rPr>
          <w:rStyle w:val="VerbatimChar"/>
        </w:rPr>
        <w:t xml:space="preserve">index.html</w:t>
      </w:r>
      <w:r>
        <w:t xml:space="preserve">?</w:t>
      </w:r>
    </w:p>
    <w:p>
      <w:pPr>
        <w:pStyle w:val="Compact"/>
        <w:numPr>
          <w:ilvl w:val="0"/>
          <w:numId w:val="1106"/>
        </w:numPr>
      </w:pPr>
      <w:r>
        <w:t xml:space="preserve">¿la URL está activa?</w:t>
      </w:r>
    </w:p>
    <w:p>
      <w:pPr>
        <w:pStyle w:val="Compact"/>
        <w:numPr>
          <w:ilvl w:val="0"/>
          <w:numId w:val="1106"/>
        </w:numPr>
      </w:pPr>
      <w:r>
        <w:t xml:space="preserve">¿carga HTML pero no CSS?</w:t>
      </w:r>
    </w:p>
    <w:p>
      <w:pPr>
        <w:pStyle w:val="Compact"/>
        <w:numPr>
          <w:ilvl w:val="0"/>
          <w:numId w:val="1106"/>
        </w:numPr>
      </w:pPr>
      <w:r>
        <w:t xml:space="preserve">¿faltan imágenes o enlaces?</w:t>
      </w:r>
    </w:p>
    <w:p>
      <w:pPr>
        <w:pStyle w:val="Compact"/>
        <w:numPr>
          <w:ilvl w:val="0"/>
          <w:numId w:val="1106"/>
        </w:numPr>
      </w:pPr>
      <w:r>
        <w:t xml:space="preserve">¿el cambio correcto llegó al remoto?</w:t>
      </w:r>
    </w:p>
    <w:p>
      <w:pPr>
        <w:pStyle w:val="FirstParagraph"/>
      </w:pPr>
      <w:r>
        <w:t xml:space="preserve">Resolver problemas en ese orden suele ser más eficaz que cambiar varias cosas al azar.</w:t>
      </w:r>
    </w:p>
    <w:bookmarkEnd w:id="594"/>
    <w:bookmarkStart w:id="595" w:name="recomendación-final"/>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95"/>
    <w:bookmarkEnd w:id="596"/>
    <w:bookmarkStart w:id="710" w:name="referencias"/>
    <w:p>
      <w:pPr>
        <w:pStyle w:val="Ttulo1"/>
      </w:pPr>
      <w:r>
        <w:t xml:space="preserve">Referencias</w:t>
      </w:r>
    </w:p>
    <w:bookmarkStart w:id="709" w:name="refs"/>
    <w:bookmarkStart w:id="598"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97">
        <w:r>
          <w:rPr>
            <w:rStyle w:val="Hipervnculo"/>
          </w:rPr>
          <w:t xml:space="preserve">https://doi.org/10.26826/law-in-context.v37i1.125</w:t>
        </w:r>
      </w:hyperlink>
      <w:r>
        <w:t xml:space="preserve">.</w:t>
      </w:r>
    </w:p>
    <w:bookmarkEnd w:id="598"/>
    <w:bookmarkStart w:id="600" w:name="ref-nistgaiprofile2024"/>
    <w:p>
      <w:pPr>
        <w:pStyle w:val="Bibliografa"/>
      </w:pPr>
      <w:r>
        <w:t xml:space="preserve">Autio, Chloe, Reva Schwartz, Jesse Dunietz, et al. 2024.</w:t>
      </w:r>
      <w:r>
        <w:t xml:space="preserve"> </w:t>
      </w:r>
      <w:r>
        <w:rPr>
          <w:i/>
          <w:iCs/>
        </w:rPr>
        <w:t xml:space="preserve">Artificial Intelligence Risk Management Framework: Generative Artificial Intelligence Profile</w:t>
      </w:r>
      <w:r>
        <w:t xml:space="preserve">. NIST AI 600-1. National Institute of Standards; Technology.</w:t>
      </w:r>
      <w:r>
        <w:t xml:space="preserve"> </w:t>
      </w:r>
      <w:hyperlink r:id="rId599">
        <w:r>
          <w:rPr>
            <w:rStyle w:val="Hipervnculo"/>
          </w:rPr>
          <w:t xml:space="preserve">https://doi.org/10.6028/NIST.AI.600-1</w:t>
        </w:r>
      </w:hyperlink>
      <w:r>
        <w:t xml:space="preserve">.</w:t>
      </w:r>
    </w:p>
    <w:bookmarkEnd w:id="600"/>
    <w:bookmarkStart w:id="601"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601"/>
    <w:bookmarkStart w:id="602"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602"/>
    <w:bookmarkStart w:id="604"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603">
        <w:r>
          <w:rPr>
            <w:rStyle w:val="Hipervnculo"/>
          </w:rPr>
          <w:t xml:space="preserve">https://doi.org/10.3145/epi.2017.nov.02</w:t>
        </w:r>
      </w:hyperlink>
      <w:r>
        <w:t xml:space="preserve">.</w:t>
      </w:r>
    </w:p>
    <w:bookmarkEnd w:id="604"/>
    <w:bookmarkStart w:id="606"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605">
        <w:r>
          <w:rPr>
            <w:rStyle w:val="Hipervnculo"/>
          </w:rPr>
          <w:t xml:space="preserve">https://git-scm.com/book/en/v2</w:t>
        </w:r>
      </w:hyperlink>
      <w:r>
        <w:t xml:space="preserve">.</w:t>
      </w:r>
    </w:p>
    <w:bookmarkEnd w:id="606"/>
    <w:bookmarkStart w:id="608" w:name="ref-choosealicense2026"/>
    <w:p>
      <w:pPr>
        <w:pStyle w:val="Bibliografa"/>
      </w:pPr>
      <w:r>
        <w:t xml:space="preserve">Choose a License. 2026a.</w:t>
      </w:r>
      <w:r>
        <w:t xml:space="preserve"> </w:t>
      </w:r>
      <w:r>
        <w:t xml:space="preserve">“Choose an Open Source License.”</w:t>
      </w:r>
      <w:r>
        <w:t xml:space="preserve"> </w:t>
      </w:r>
      <w:hyperlink r:id="rId607">
        <w:r>
          <w:rPr>
            <w:rStyle w:val="Hipervnculo"/>
          </w:rPr>
          <w:t xml:space="preserve">https://choosealicense.com/</w:t>
        </w:r>
      </w:hyperlink>
      <w:r>
        <w:t xml:space="preserve">.</w:t>
      </w:r>
    </w:p>
    <w:bookmarkEnd w:id="608"/>
    <w:bookmarkStart w:id="610" w:name="ref-choosealicenselicenses2026"/>
    <w:p>
      <w:pPr>
        <w:pStyle w:val="Bibliografa"/>
      </w:pPr>
      <w:r>
        <w:t xml:space="preserve">Choose a License. 2026b.</w:t>
      </w:r>
      <w:r>
        <w:t xml:space="preserve"> </w:t>
      </w:r>
      <w:r>
        <w:t xml:space="preserve">“Licenses.”</w:t>
      </w:r>
      <w:r>
        <w:t xml:space="preserve"> </w:t>
      </w:r>
      <w:hyperlink r:id="rId609">
        <w:r>
          <w:rPr>
            <w:rStyle w:val="Hipervnculo"/>
          </w:rPr>
          <w:t xml:space="preserve">https://choosealicense.com/licenses/</w:t>
        </w:r>
      </w:hyperlink>
      <w:r>
        <w:t xml:space="preserve">.</w:t>
      </w:r>
    </w:p>
    <w:bookmarkEnd w:id="610"/>
    <w:bookmarkStart w:id="612"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611">
        <w:r>
          <w:rPr>
            <w:rStyle w:val="Hipervnculo"/>
          </w:rPr>
          <w:t xml:space="preserve">https://doi.org/10.24926/15529541.3828</w:t>
        </w:r>
      </w:hyperlink>
      <w:r>
        <w:t xml:space="preserve">.</w:t>
      </w:r>
    </w:p>
    <w:bookmarkEnd w:id="612"/>
    <w:bookmarkStart w:id="614" w:name="ref-euaiact2026"/>
    <w:p>
      <w:pPr>
        <w:pStyle w:val="Bibliografa"/>
      </w:pPr>
      <w:r>
        <w:t xml:space="preserve">European Commission. 2026.</w:t>
      </w:r>
      <w:r>
        <w:t xml:space="preserve"> </w:t>
      </w:r>
      <w:r>
        <w:t xml:space="preserve">“AI Act.”</w:t>
      </w:r>
      <w:r>
        <w:t xml:space="preserve"> </w:t>
      </w:r>
      <w:hyperlink r:id="rId613">
        <w:r>
          <w:rPr>
            <w:rStyle w:val="Hipervnculo"/>
          </w:rPr>
          <w:t xml:space="preserve">https://digital-strategy.ec.europa.eu/en/policies/regulatory-framework-ai</w:t>
        </w:r>
      </w:hyperlink>
      <w:r>
        <w:t xml:space="preserve">.</w:t>
      </w:r>
    </w:p>
    <w:bookmarkEnd w:id="614"/>
    <w:bookmarkStart w:id="615"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615"/>
    <w:bookmarkStart w:id="617" w:name="ref-gitabout2025"/>
    <w:p>
      <w:pPr>
        <w:pStyle w:val="Bibliografa"/>
      </w:pPr>
      <w:r>
        <w:t xml:space="preserve">Git. 2025.</w:t>
      </w:r>
      <w:r>
        <w:t xml:space="preserve"> </w:t>
      </w:r>
      <w:r>
        <w:t xml:space="preserve">“About Git.”</w:t>
      </w:r>
      <w:r>
        <w:t xml:space="preserve"> </w:t>
      </w:r>
      <w:hyperlink r:id="rId616">
        <w:r>
          <w:rPr>
            <w:rStyle w:val="Hipervnculo"/>
          </w:rPr>
          <w:t xml:space="preserve">https://git-scm.com/about.html</w:t>
        </w:r>
      </w:hyperlink>
      <w:r>
        <w:t xml:space="preserve">.</w:t>
      </w:r>
    </w:p>
    <w:bookmarkEnd w:id="617"/>
    <w:bookmarkStart w:id="619" w:name="ref-gitusermanual2026"/>
    <w:p>
      <w:pPr>
        <w:pStyle w:val="Bibliografa"/>
      </w:pPr>
      <w:r>
        <w:t xml:space="preserve">Git Documentation. 2026.</w:t>
      </w:r>
      <w:r>
        <w:t xml:space="preserve"> </w:t>
      </w:r>
      <w:r>
        <w:t xml:space="preserve">“Git User Manual.”</w:t>
      </w:r>
      <w:r>
        <w:t xml:space="preserve"> </w:t>
      </w:r>
      <w:hyperlink r:id="rId618">
        <w:r>
          <w:rPr>
            <w:rStyle w:val="Hipervnculo"/>
          </w:rPr>
          <w:t xml:space="preserve">https://git-scm.com/docs/user-manual</w:t>
        </w:r>
      </w:hyperlink>
      <w:r>
        <w:t xml:space="preserve">.</w:t>
      </w:r>
    </w:p>
    <w:bookmarkEnd w:id="619"/>
    <w:bookmarkStart w:id="621" w:name="ref-githubpress2026"/>
    <w:p>
      <w:pPr>
        <w:pStyle w:val="Bibliografa"/>
      </w:pPr>
      <w:r>
        <w:t xml:space="preserve">GitHub. 2026.</w:t>
      </w:r>
      <w:r>
        <w:t xml:space="preserve"> </w:t>
      </w:r>
      <w:r>
        <w:t xml:space="preserve">“Press.”</w:t>
      </w:r>
      <w:r>
        <w:t xml:space="preserve"> </w:t>
      </w:r>
      <w:hyperlink r:id="rId620">
        <w:r>
          <w:rPr>
            <w:rStyle w:val="Hipervnculo"/>
          </w:rPr>
          <w:t xml:space="preserve">https://github.com/about/press</w:t>
        </w:r>
      </w:hyperlink>
      <w:r>
        <w:t xml:space="preserve">.</w:t>
      </w:r>
    </w:p>
    <w:bookmarkEnd w:id="621"/>
    <w:bookmarkStart w:id="623" w:name="ref-githubpageslaunch2008"/>
    <w:p>
      <w:pPr>
        <w:pStyle w:val="Bibliografa"/>
      </w:pPr>
      <w:r>
        <w:t xml:space="preserve">GitHub Blog. 2008.</w:t>
      </w:r>
      <w:r>
        <w:t xml:space="preserve"> </w:t>
      </w:r>
      <w:r>
        <w:t xml:space="preserve">“GitHub Pages.”</w:t>
      </w:r>
      <w:r>
        <w:t xml:space="preserve"> </w:t>
      </w:r>
      <w:hyperlink r:id="rId622">
        <w:r>
          <w:rPr>
            <w:rStyle w:val="Hipervnculo"/>
          </w:rPr>
          <w:t xml:space="preserve">https://github.blog/news-insights/github-pages/</w:t>
        </w:r>
      </w:hyperlink>
      <w:r>
        <w:t xml:space="preserve">.</w:t>
      </w:r>
    </w:p>
    <w:bookmarkEnd w:id="623"/>
    <w:bookmarkStart w:id="625" w:name="ref-githubprojects2026"/>
    <w:p>
      <w:pPr>
        <w:pStyle w:val="Bibliografa"/>
      </w:pPr>
      <w:r>
        <w:t xml:space="preserve">GitHub Docs. 2026a.</w:t>
      </w:r>
      <w:r>
        <w:t xml:space="preserve"> </w:t>
      </w:r>
      <w:r>
        <w:t xml:space="preserve">“About Projects.”</w:t>
      </w:r>
      <w:r>
        <w:t xml:space="preserve"> </w:t>
      </w:r>
      <w:hyperlink r:id="rId624">
        <w:r>
          <w:rPr>
            <w:rStyle w:val="Hipervnculo"/>
          </w:rPr>
          <w:t xml:space="preserve">https://docs.github.com/en/enterprise-cloud@latest/issues/planning-and-tracking-with-projects/learning-about-projects/about-projects</w:t>
        </w:r>
      </w:hyperlink>
      <w:r>
        <w:t xml:space="preserve">.</w:t>
      </w:r>
    </w:p>
    <w:bookmarkEnd w:id="625"/>
    <w:bookmarkStart w:id="627" w:name="ref-github2fa2026"/>
    <w:p>
      <w:pPr>
        <w:pStyle w:val="Bibliografa"/>
      </w:pPr>
      <w:r>
        <w:t xml:space="preserve">GitHub Docs. 2026b.</w:t>
      </w:r>
      <w:r>
        <w:t xml:space="preserve"> </w:t>
      </w:r>
      <w:r>
        <w:t xml:space="preserve">“About Two-Factor Authentication.”</w:t>
      </w:r>
      <w:r>
        <w:t xml:space="preserve"> </w:t>
      </w:r>
      <w:hyperlink r:id="rId626">
        <w:r>
          <w:rPr>
            <w:rStyle w:val="Hipervnculo"/>
          </w:rPr>
          <w:t xml:space="preserve">https://docs.github.com/en/authentication/securing-your-account-with-two-factor-authentication-2fa/about-two-factor-authentication</w:t>
        </w:r>
      </w:hyperlink>
      <w:r>
        <w:t xml:space="preserve">.</w:t>
      </w:r>
    </w:p>
    <w:bookmarkEnd w:id="627"/>
    <w:bookmarkStart w:id="629" w:name="ref-githublicensing2026"/>
    <w:p>
      <w:pPr>
        <w:pStyle w:val="Bibliografa"/>
      </w:pPr>
      <w:r>
        <w:t xml:space="preserve">GitHub Docs. 2026c.</w:t>
      </w:r>
      <w:r>
        <w:t xml:space="preserve"> </w:t>
      </w:r>
      <w:r>
        <w:t xml:space="preserve">“Licensing a Repository.”</w:t>
      </w:r>
      <w:r>
        <w:t xml:space="preserve"> </w:t>
      </w:r>
      <w:hyperlink r:id="rId628">
        <w:r>
          <w:rPr>
            <w:rStyle w:val="Hipervnculo"/>
          </w:rPr>
          <w:t xml:space="preserve">https://docs.github.com/repositories/managing-your-repositorys-settings-and-features/customizing-your-repository/licensing-a-repository/</w:t>
        </w:r>
      </w:hyperlink>
      <w:r>
        <w:t xml:space="preserve">.</w:t>
      </w:r>
    </w:p>
    <w:bookmarkEnd w:id="629"/>
    <w:bookmarkStart w:id="631" w:name="ref-githubpages2026"/>
    <w:p>
      <w:pPr>
        <w:pStyle w:val="Bibliografa"/>
      </w:pPr>
      <w:r>
        <w:t xml:space="preserve">GitHub Docs. 2026d.</w:t>
      </w:r>
      <w:r>
        <w:t xml:space="preserve"> </w:t>
      </w:r>
      <w:r>
        <w:t xml:space="preserve">“What Is GitHub Pages?”</w:t>
      </w:r>
      <w:r>
        <w:t xml:space="preserve"> </w:t>
      </w:r>
      <w:hyperlink r:id="rId630">
        <w:r>
          <w:rPr>
            <w:rStyle w:val="Hipervnculo"/>
          </w:rPr>
          <w:t xml:space="preserve">https://docs.github.com/en/pages/getting-started-with-github-pages/what-is-github-pages</w:t>
        </w:r>
      </w:hyperlink>
      <w:r>
        <w:t xml:space="preserve">.</w:t>
      </w:r>
    </w:p>
    <w:bookmarkEnd w:id="631"/>
    <w:bookmarkStart w:id="633"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632">
        <w:r>
          <w:rPr>
            <w:rStyle w:val="Hipervnculo"/>
          </w:rPr>
          <w:t xml:space="preserve">https://doi.org/10.3389/fninf.2011.00013</w:t>
        </w:r>
      </w:hyperlink>
      <w:r>
        <w:t xml:space="preserve">.</w:t>
      </w:r>
    </w:p>
    <w:bookmarkEnd w:id="633"/>
    <w:bookmarkStart w:id="635" w:name="ref-pep7032023"/>
    <w:p>
      <w:pPr>
        <w:pStyle w:val="Bibliografa"/>
      </w:pPr>
      <w:r>
        <w:t xml:space="preserve">Gross, Sam. 2023.</w:t>
      </w:r>
      <w:r>
        <w:t xml:space="preserve"> </w:t>
      </w:r>
      <w:r>
        <w:t xml:space="preserve">“PEP 703: Making the Global Interpreter Lock Optional in CPython.”</w:t>
      </w:r>
      <w:r>
        <w:t xml:space="preserve"> </w:t>
      </w:r>
      <w:hyperlink r:id="rId634">
        <w:r>
          <w:rPr>
            <w:rStyle w:val="Hipervnculo"/>
          </w:rPr>
          <w:t xml:space="preserve">https://peps.python.org/pep-0703/</w:t>
        </w:r>
      </w:hyperlink>
      <w:r>
        <w:t xml:space="preserve">.</w:t>
      </w:r>
    </w:p>
    <w:bookmarkEnd w:id="635"/>
    <w:bookmarkStart w:id="636"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636"/>
    <w:bookmarkStart w:id="638"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637">
        <w:r>
          <w:rPr>
            <w:rStyle w:val="Hipervnculo"/>
          </w:rPr>
          <w:t xml:space="preserve">https://idp.uoc.edu/articles/10.7238/idp.v0i8.5398/</w:t>
        </w:r>
      </w:hyperlink>
      <w:r>
        <w:t xml:space="preserve">.</w:t>
      </w:r>
    </w:p>
    <w:bookmarkEnd w:id="638"/>
    <w:bookmarkStart w:id="640" w:name="ref-mdnhtml2026"/>
    <w:p>
      <w:pPr>
        <w:pStyle w:val="Bibliografa"/>
      </w:pPr>
      <w:r>
        <w:t xml:space="preserve">MDN Web Docs. 2026a.</w:t>
      </w:r>
      <w:r>
        <w:t xml:space="preserve"> </w:t>
      </w:r>
      <w:r>
        <w:t xml:space="preserve">“Basic HTML Syntax.”</w:t>
      </w:r>
      <w:r>
        <w:t xml:space="preserve"> </w:t>
      </w:r>
      <w:hyperlink r:id="rId639">
        <w:r>
          <w:rPr>
            <w:rStyle w:val="Hipervnculo"/>
          </w:rPr>
          <w:t xml:space="preserve">https://developer.mozilla.org/en-US/docs/Learn_web_development/Core/Structuring_content/Basic_HTML_syntax</w:t>
        </w:r>
      </w:hyperlink>
      <w:r>
        <w:t xml:space="preserve">.</w:t>
      </w:r>
    </w:p>
    <w:bookmarkEnd w:id="640"/>
    <w:bookmarkStart w:id="642" w:name="ref-mdncss2026"/>
    <w:p>
      <w:pPr>
        <w:pStyle w:val="Bibliografa"/>
      </w:pPr>
      <w:r>
        <w:t xml:space="preserve">MDN Web Docs. 2026b.</w:t>
      </w:r>
      <w:r>
        <w:t xml:space="preserve"> </w:t>
      </w:r>
      <w:r>
        <w:t xml:space="preserve">“Getting Started with CSS.”</w:t>
      </w:r>
      <w:r>
        <w:t xml:space="preserve"> </w:t>
      </w:r>
      <w:hyperlink r:id="rId641">
        <w:r>
          <w:rPr>
            <w:rStyle w:val="Hipervnculo"/>
          </w:rPr>
          <w:t xml:space="preserve">https://developer.mozilla.org/en-US/docs/Learn_web_development/Core/Styling_basics/Getting_started</w:t>
        </w:r>
      </w:hyperlink>
      <w:r>
        <w:t xml:space="preserve">.</w:t>
      </w:r>
    </w:p>
    <w:bookmarkEnd w:id="642"/>
    <w:bookmarkStart w:id="644" w:name="ref-mdnunicode2026"/>
    <w:p>
      <w:pPr>
        <w:pStyle w:val="Bibliografa"/>
      </w:pPr>
      <w:r>
        <w:t xml:space="preserve">MDN Web Docs. 2026c.</w:t>
      </w:r>
      <w:r>
        <w:t xml:space="preserve"> </w:t>
      </w:r>
      <w:r>
        <w:t xml:space="preserve">“Unicode.”</w:t>
      </w:r>
      <w:r>
        <w:t xml:space="preserve"> </w:t>
      </w:r>
      <w:hyperlink r:id="rId643">
        <w:r>
          <w:rPr>
            <w:rStyle w:val="Hipervnculo"/>
          </w:rPr>
          <w:t xml:space="preserve">https://developer.mozilla.org/en-US/docs/Glossary/Unicode</w:t>
        </w:r>
      </w:hyperlink>
      <w:r>
        <w:t xml:space="preserve">.</w:t>
      </w:r>
    </w:p>
    <w:bookmarkEnd w:id="644"/>
    <w:bookmarkStart w:id="645"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645"/>
    <w:bookmarkStart w:id="647" w:name="ref-mermaid2026flowcharts"/>
    <w:p>
      <w:pPr>
        <w:pStyle w:val="Bibliografa"/>
      </w:pPr>
      <w:r>
        <w:t xml:space="preserve">Mermaid Documentation. 2026.</w:t>
      </w:r>
      <w:r>
        <w:t xml:space="preserve"> </w:t>
      </w:r>
      <w:r>
        <w:t xml:space="preserve">“Flowcharts: Basic Syntax.”</w:t>
      </w:r>
      <w:r>
        <w:t xml:space="preserve"> </w:t>
      </w:r>
      <w:hyperlink r:id="rId646">
        <w:r>
          <w:rPr>
            <w:rStyle w:val="Hipervnculo"/>
          </w:rPr>
          <w:t xml:space="preserve">https://mermaid.js.org/syntax/flowchart.html</w:t>
        </w:r>
      </w:hyperlink>
      <w:r>
        <w:t xml:space="preserve">.</w:t>
      </w:r>
    </w:p>
    <w:bookmarkEnd w:id="647"/>
    <w:bookmarkStart w:id="649" w:name="ref-microsoftgithub2018"/>
    <w:p>
      <w:pPr>
        <w:pStyle w:val="Bibliografa"/>
      </w:pPr>
      <w:r>
        <w:t xml:space="preserve">Microsoft. 2018.</w:t>
      </w:r>
      <w:r>
        <w:t xml:space="preserve"> </w:t>
      </w:r>
      <w:r>
        <w:t xml:space="preserve">“Microsoft to Acquire GitHub for $7.5 Billion.”</w:t>
      </w:r>
      <w:r>
        <w:t xml:space="preserve"> </w:t>
      </w:r>
      <w:hyperlink r:id="rId648">
        <w:r>
          <w:rPr>
            <w:rStyle w:val="Hipervnculo"/>
          </w:rPr>
          <w:t xml:space="preserve">https://news.microsoft.com/2018/06/04/microsoft-to-acquire-github-for-7-5-billion/</w:t>
        </w:r>
      </w:hyperlink>
      <w:r>
        <w:t xml:space="preserve">.</w:t>
      </w:r>
    </w:p>
    <w:bookmarkEnd w:id="649"/>
    <w:bookmarkStart w:id="650" w:name="ref-jus2019tuo27444"/>
    <w:p>
      <w:pPr>
        <w:pStyle w:val="Bibliografa"/>
      </w:pPr>
      <w:r>
        <w:t xml:space="preserve">Ministerio de Justicia y Derechos Humanos. 2019.</w:t>
      </w:r>
      <w:r>
        <w:t xml:space="preserve"> </w:t>
      </w:r>
      <w:r>
        <w:rPr>
          <w:i/>
          <w:iCs/>
        </w:rPr>
        <w:t xml:space="preserve">Decreto Supremo n</w:t>
      </w:r>
      <w:r>
        <w:rPr>
          <w:i/>
          <w:iCs/>
        </w:rPr>
        <w:t xml:space="preserve">ó</w:t>
      </w:r>
      <w:r>
        <w:rPr>
          <w:i/>
          <w:iCs/>
        </w:rPr>
        <w:t xml:space="preserve"> </w:t>
      </w:r>
      <w:r>
        <w:rPr>
          <w:i/>
          <w:iCs/>
        </w:rPr>
        <w:t xml:space="preserve">004-2019-JUS, Texto</w:t>
      </w:r>
      <w:r>
        <w:rPr>
          <w:i/>
          <w:iCs/>
        </w:rPr>
        <w:t xml:space="preserve"> </w:t>
      </w:r>
      <w:r>
        <w:rPr>
          <w:i/>
          <w:iCs/>
        </w:rPr>
        <w:t xml:space="preserve">Ú</w:t>
      </w:r>
      <w:r>
        <w:rPr>
          <w:i/>
          <w:iCs/>
        </w:rPr>
        <w:t xml:space="preserve">nico Ordenado de La Ley n</w:t>
      </w:r>
      <w:r>
        <w:rPr>
          <w:i/>
          <w:iCs/>
        </w:rPr>
        <w:t xml:space="preserve">ó</w:t>
      </w:r>
      <w:r>
        <w:rPr>
          <w:i/>
          <w:iCs/>
        </w:rPr>
        <w:t xml:space="preserve"> </w:t>
      </w:r>
      <w:r>
        <w:rPr>
          <w:i/>
          <w:iCs/>
        </w:rPr>
        <w:t xml:space="preserve">27444, Ley Del Procedimiento Administrativo General</w:t>
      </w:r>
      <w:r>
        <w:t xml:space="preserve">.</w:t>
      </w:r>
    </w:p>
    <w:bookmarkEnd w:id="650"/>
    <w:bookmarkStart w:id="651"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651"/>
    <w:bookmarkStart w:id="653" w:name="ref-nistairmf2026"/>
    <w:p>
      <w:pPr>
        <w:pStyle w:val="Bibliografa"/>
      </w:pPr>
      <w:r>
        <w:t xml:space="preserve">NIST. 2026.</w:t>
      </w:r>
      <w:r>
        <w:t xml:space="preserve"> </w:t>
      </w:r>
      <w:r>
        <w:t xml:space="preserve">“AI Risk Management Framework.”</w:t>
      </w:r>
      <w:r>
        <w:t xml:space="preserve"> </w:t>
      </w:r>
      <w:hyperlink r:id="rId652">
        <w:r>
          <w:rPr>
            <w:rStyle w:val="Hipervnculo"/>
          </w:rPr>
          <w:t xml:space="preserve">https://www.nist.gov/itl/ai-risk-management-framework</w:t>
        </w:r>
      </w:hyperlink>
      <w:r>
        <w:t xml:space="preserve">.</w:t>
      </w:r>
    </w:p>
    <w:bookmarkEnd w:id="653"/>
    <w:bookmarkStart w:id="655" w:name="ref-nistplaybook2026"/>
    <w:p>
      <w:pPr>
        <w:pStyle w:val="Bibliografa"/>
      </w:pPr>
      <w:r>
        <w:t xml:space="preserve">NIST AI Resource Center. 2026.</w:t>
      </w:r>
      <w:r>
        <w:t xml:space="preserve"> </w:t>
      </w:r>
      <w:r>
        <w:t xml:space="preserve">“NIST AI RMF Playbook.”</w:t>
      </w:r>
      <w:r>
        <w:t xml:space="preserve"> </w:t>
      </w:r>
      <w:hyperlink r:id="rId654">
        <w:r>
          <w:rPr>
            <w:rStyle w:val="Hipervnculo"/>
          </w:rPr>
          <w:t xml:space="preserve">https://airc.nist.gov/airmf-resources/playbook/</w:t>
        </w:r>
      </w:hyperlink>
      <w:r>
        <w:t xml:space="preserve">.</w:t>
      </w:r>
    </w:p>
    <w:bookmarkEnd w:id="655"/>
    <w:bookmarkStart w:id="657" w:name="ref-oecdaiprinciples2026"/>
    <w:p>
      <w:pPr>
        <w:pStyle w:val="Bibliografa"/>
      </w:pPr>
      <w:r>
        <w:t xml:space="preserve">OECD. 2026.</w:t>
      </w:r>
      <w:r>
        <w:t xml:space="preserve"> </w:t>
      </w:r>
      <w:r>
        <w:t xml:space="preserve">“AI Principles.”</w:t>
      </w:r>
      <w:r>
        <w:t xml:space="preserve"> </w:t>
      </w:r>
      <w:hyperlink r:id="rId656">
        <w:r>
          <w:rPr>
            <w:rStyle w:val="Hipervnculo"/>
          </w:rPr>
          <w:t xml:space="preserve">https://www.oecd.org/en/topics/ai-principles.html</w:t>
        </w:r>
      </w:hyperlink>
      <w:r>
        <w:t xml:space="preserve">.</w:t>
      </w:r>
    </w:p>
    <w:bookmarkEnd w:id="657"/>
    <w:bookmarkStart w:id="658"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658"/>
    <w:bookmarkStart w:id="660" w:name="ref-paez2025humancentered"/>
    <w:p>
      <w:pPr>
        <w:pStyle w:val="Bibliografa"/>
      </w:pPr>
      <w:r>
        <w:t xml:space="preserve">Páez, Andrés, Juan David Gutiérrez, and Diana Acosta-Navas. 2025.</w:t>
      </w:r>
      <w:r>
        <w:t xml:space="preserve"> </w:t>
      </w:r>
      <w:r>
        <w:t xml:space="preserve">“Hacia Una Inteligencia Artificial Centrada En Los Seres Humanos: Contribuciones de Las Ciencias Sociales.”</w:t>
      </w:r>
      <w:r>
        <w:t xml:space="preserve"> </w:t>
      </w:r>
      <w:r>
        <w:rPr>
          <w:i/>
          <w:iCs/>
        </w:rPr>
        <w:t xml:space="preserve">Revista de Estudios Sociales</w:t>
      </w:r>
      <w:r>
        <w:t xml:space="preserve">, no. 93: 3–18.</w:t>
      </w:r>
      <w:r>
        <w:t xml:space="preserve"> </w:t>
      </w:r>
      <w:hyperlink r:id="rId659">
        <w:r>
          <w:rPr>
            <w:rStyle w:val="Hipervnculo"/>
          </w:rPr>
          <w:t xml:space="preserve">https://doi.org/10.7440/res93.2025.01</w:t>
        </w:r>
      </w:hyperlink>
      <w:r>
        <w:t xml:space="preserve">.</w:t>
      </w:r>
    </w:p>
    <w:bookmarkEnd w:id="660"/>
    <w:bookmarkStart w:id="662"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661">
        <w:r>
          <w:rPr>
            <w:rStyle w:val="Hipervnculo"/>
          </w:rPr>
          <w:t xml:space="preserve">https://jmlr.org/papers/v12/pedregosa11a.html</w:t>
        </w:r>
      </w:hyperlink>
      <w:r>
        <w:t xml:space="preserve">.</w:t>
      </w:r>
    </w:p>
    <w:bookmarkEnd w:id="662"/>
    <w:bookmarkStart w:id="664" w:name="ref-perezugena2024ia"/>
    <w:p>
      <w:pPr>
        <w:pStyle w:val="Bibliografa"/>
      </w:pPr>
      <w:r>
        <w:t xml:space="preserve">Pérez-Ugena, María. 2024.</w:t>
      </w:r>
      <w:r>
        <w:t xml:space="preserve"> </w:t>
      </w:r>
      <w:r>
        <w:t xml:space="preserve">“La Inteligencia Artificial: Definici</w:t>
      </w:r>
      <w:r>
        <w:t xml:space="preserve">ó</w:t>
      </w:r>
      <w:r>
        <w:t xml:space="preserve">n, Regulaci</w:t>
      </w:r>
      <w:r>
        <w:t xml:space="preserve">ó</w:t>
      </w:r>
      <w:r>
        <w:t xml:space="preserve">n y Riesgos Para Los Derechos Fundamentales.”</w:t>
      </w:r>
      <w:r>
        <w:t xml:space="preserve"> </w:t>
      </w:r>
      <w:r>
        <w:rPr>
          <w:i/>
          <w:iCs/>
        </w:rPr>
        <w:t xml:space="preserve">Estudios de Deusto</w:t>
      </w:r>
      <w:r>
        <w:t xml:space="preserve"> </w:t>
      </w:r>
      <w:r>
        <w:t xml:space="preserve">72 (1): 307–37.</w:t>
      </w:r>
      <w:r>
        <w:t xml:space="preserve"> </w:t>
      </w:r>
      <w:hyperlink r:id="rId663">
        <w:r>
          <w:rPr>
            <w:rStyle w:val="Hipervnculo"/>
          </w:rPr>
          <w:t xml:space="preserve">https://doi.org/10.18543/ed.3108</w:t>
        </w:r>
      </w:hyperlink>
      <w:r>
        <w:t xml:space="preserve">.</w:t>
      </w:r>
    </w:p>
    <w:bookmarkEnd w:id="664"/>
    <w:bookmarkStart w:id="665"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665"/>
    <w:bookmarkStart w:id="666" w:name="ref-peru2018gobiernodigital"/>
    <w:p>
      <w:pPr>
        <w:pStyle w:val="Bibliografa"/>
      </w:pPr>
      <w:r>
        <w:t xml:space="preserve">Perú. 2018.</w:t>
      </w:r>
      <w:r>
        <w:t xml:space="preserve"> </w:t>
      </w:r>
      <w:r>
        <w:rPr>
          <w:i/>
          <w:iCs/>
        </w:rPr>
        <w:t xml:space="preserve">Decreto Legislativo n</w:t>
      </w:r>
      <w:r>
        <w:rPr>
          <w:i/>
          <w:iCs/>
        </w:rPr>
        <w:t xml:space="preserve">ó</w:t>
      </w:r>
      <w:r>
        <w:rPr>
          <w:i/>
          <w:iCs/>
        </w:rPr>
        <w:t xml:space="preserve"> </w:t>
      </w:r>
      <w:r>
        <w:rPr>
          <w:i/>
          <w:iCs/>
        </w:rPr>
        <w:t xml:space="preserve">1412, Ley de Gobierno Digital</w:t>
      </w:r>
      <w:r>
        <w:t xml:space="preserve">.</w:t>
      </w:r>
    </w:p>
    <w:bookmarkEnd w:id="666"/>
    <w:bookmarkStart w:id="667" w:name="ref-peru2020transformaciondigital"/>
    <w:p>
      <w:pPr>
        <w:pStyle w:val="Bibliografa"/>
      </w:pPr>
      <w:r>
        <w:t xml:space="preserve">Perú. 2020.</w:t>
      </w:r>
      <w:r>
        <w:t xml:space="preserve"> </w:t>
      </w:r>
      <w:r>
        <w:rPr>
          <w:i/>
          <w:iCs/>
        </w:rPr>
        <w:t xml:space="preserve">Decreto de Urgencia n</w:t>
      </w:r>
      <w:r>
        <w:rPr>
          <w:i/>
          <w:iCs/>
        </w:rPr>
        <w:t xml:space="preserve">ó</w:t>
      </w:r>
      <w:r>
        <w:rPr>
          <w:i/>
          <w:iCs/>
        </w:rPr>
        <w:t xml:space="preserve"> </w:t>
      </w:r>
      <w:r>
        <w:rPr>
          <w:i/>
          <w:iCs/>
        </w:rPr>
        <w:t xml:space="preserve">006-2020, Que Crea El Sistema Nacional de Transformaci</w:t>
      </w:r>
      <w:r>
        <w:rPr>
          <w:i/>
          <w:iCs/>
        </w:rPr>
        <w:t xml:space="preserve">ó</w:t>
      </w:r>
      <w:r>
        <w:rPr>
          <w:i/>
          <w:iCs/>
        </w:rPr>
        <w:t xml:space="preserve">n Digital</w:t>
      </w:r>
      <w:r>
        <w:t xml:space="preserve">.</w:t>
      </w:r>
    </w:p>
    <w:bookmarkEnd w:id="667"/>
    <w:bookmarkStart w:id="668"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668"/>
    <w:bookmarkStart w:id="669" w:name="ref-peru2023ia"/>
    <w:p>
      <w:pPr>
        <w:pStyle w:val="Bibliografa"/>
      </w:pPr>
      <w:r>
        <w:t xml:space="preserve">Perú. 2023.</w:t>
      </w:r>
      <w:r>
        <w:t xml:space="preserve"> </w:t>
      </w:r>
      <w:r>
        <w:rPr>
          <w:i/>
          <w:iCs/>
        </w:rPr>
        <w:t xml:space="preserve">Ley n</w:t>
      </w:r>
      <w:r>
        <w:rPr>
          <w:i/>
          <w:iCs/>
        </w:rPr>
        <w:t xml:space="preserve">ó</w:t>
      </w:r>
      <w:r>
        <w:rPr>
          <w:i/>
          <w:iCs/>
        </w:rPr>
        <w:t xml:space="preserve"> </w:t>
      </w:r>
      <w:r>
        <w:rPr>
          <w:i/>
          <w:iCs/>
        </w:rPr>
        <w:t xml:space="preserve">31814, Ley Que Promueve El Uso de La Inteligencia Artificial En Favor Del Desarrollo Econ</w:t>
      </w:r>
      <w:r>
        <w:rPr>
          <w:i/>
          <w:iCs/>
        </w:rPr>
        <w:t xml:space="preserve">ó</w:t>
      </w:r>
      <w:r>
        <w:rPr>
          <w:i/>
          <w:iCs/>
        </w:rPr>
        <w:t xml:space="preserve">mico y Social Del Pa</w:t>
      </w:r>
      <w:r>
        <w:rPr>
          <w:i/>
          <w:iCs/>
        </w:rPr>
        <w:t xml:space="preserve">í</w:t>
      </w:r>
      <w:r>
        <w:rPr>
          <w:i/>
          <w:iCs/>
        </w:rPr>
        <w:t xml:space="preserve">s</w:t>
      </w:r>
      <w:r>
        <w:t xml:space="preserve">.</w:t>
      </w:r>
    </w:p>
    <w:bookmarkEnd w:id="669"/>
    <w:bookmarkStart w:id="671" w:name="ref-pinerospolo2024juezrobot"/>
    <w:p>
      <w:pPr>
        <w:pStyle w:val="Bibliografa"/>
      </w:pPr>
      <w:r>
        <w:t xml:space="preserve">Pineros Polo, Elena. 2024.</w:t>
      </w:r>
      <w:r>
        <w:t xml:space="preserve"> </w:t>
      </w:r>
      <w:r>
        <w:t xml:space="preserve">“El Juez-Robot y Su Encaje En La Constituci</w:t>
      </w:r>
      <w:r>
        <w:t xml:space="preserve">ó</w:t>
      </w:r>
      <w:r>
        <w:t xml:space="preserve">n Espa</w:t>
      </w:r>
      <w:r>
        <w:t xml:space="preserve">ñ</w:t>
      </w:r>
      <w:r>
        <w:t xml:space="preserve">ola. La Inteligencia Artificial Utilizada En El</w:t>
      </w:r>
      <w:r>
        <w:t xml:space="preserve"> </w:t>
      </w:r>
      <w:r>
        <w:t xml:space="preserve">á</w:t>
      </w:r>
      <w:r>
        <w:t xml:space="preserve">mbito de La Toma de Decisiones Por Los Tribunales.”</w:t>
      </w:r>
      <w:r>
        <w:t xml:space="preserve"> </w:t>
      </w:r>
      <w:r>
        <w:rPr>
          <w:i/>
          <w:iCs/>
        </w:rPr>
        <w:t xml:space="preserve">Estudios de Deusto</w:t>
      </w:r>
      <w:r>
        <w:t xml:space="preserve"> </w:t>
      </w:r>
      <w:r>
        <w:t xml:space="preserve">72 (1): 53–78.</w:t>
      </w:r>
      <w:r>
        <w:t xml:space="preserve"> </w:t>
      </w:r>
      <w:hyperlink r:id="rId670">
        <w:r>
          <w:rPr>
            <w:rStyle w:val="Hipervnculo"/>
          </w:rPr>
          <w:t xml:space="preserve">https://doi.org/10.18543/ed.3100</w:t>
        </w:r>
      </w:hyperlink>
      <w:r>
        <w:t xml:space="preserve">.</w:t>
      </w:r>
    </w:p>
    <w:bookmarkEnd w:id="671"/>
    <w:bookmarkStart w:id="672"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672"/>
    <w:bookmarkStart w:id="673" w:name="ref-pcm2018perudigital"/>
    <w:p>
      <w:pPr>
        <w:pStyle w:val="Bibliografa"/>
      </w:pPr>
      <w:r>
        <w:t xml:space="preserve">Presidencia del Consejo de Ministros. 2018.</w:t>
      </w:r>
      <w:r>
        <w:t xml:space="preserve"> </w:t>
      </w:r>
      <w:r>
        <w:rPr>
          <w:i/>
          <w:iCs/>
        </w:rPr>
        <w:t xml:space="preserve">Decreto Supremo n</w:t>
      </w:r>
      <w:r>
        <w:rPr>
          <w:i/>
          <w:iCs/>
        </w:rPr>
        <w:t xml:space="preserve">ó</w:t>
      </w:r>
      <w:r>
        <w:rPr>
          <w:i/>
          <w:iCs/>
        </w:rPr>
        <w:t xml:space="preserve"> </w:t>
      </w:r>
      <w:r>
        <w:rPr>
          <w:i/>
          <w:iCs/>
        </w:rPr>
        <w:t xml:space="preserve">118-2018-PCM, Que Declara de Inter</w:t>
      </w:r>
      <w:r>
        <w:rPr>
          <w:i/>
          <w:iCs/>
        </w:rPr>
        <w:t xml:space="preserve">é</w:t>
      </w:r>
      <w:r>
        <w:rPr>
          <w:i/>
          <w:iCs/>
        </w:rPr>
        <w:t xml:space="preserve">s Nacional El Desarrollo Del Gobierno Digital, La Innovaci</w:t>
      </w:r>
      <w:r>
        <w:rPr>
          <w:i/>
          <w:iCs/>
        </w:rPr>
        <w:t xml:space="preserve">ó</w:t>
      </w:r>
      <w:r>
        <w:rPr>
          <w:i/>
          <w:iCs/>
        </w:rPr>
        <w:t xml:space="preserve">n y La Econom</w:t>
      </w:r>
      <w:r>
        <w:rPr>
          <w:i/>
          <w:iCs/>
        </w:rPr>
        <w:t xml:space="preserve">í</w:t>
      </w:r>
      <w:r>
        <w:rPr>
          <w:i/>
          <w:iCs/>
        </w:rPr>
        <w:t xml:space="preserve">a Digital Con Enfoque Territorial</w:t>
      </w:r>
      <w:r>
        <w:t xml:space="preserve">.</w:t>
      </w:r>
    </w:p>
    <w:bookmarkEnd w:id="673"/>
    <w:bookmarkStart w:id="674" w:name="ref-pcm2021gobdigitalreglamento"/>
    <w:p>
      <w:pPr>
        <w:pStyle w:val="Bibliografa"/>
      </w:pPr>
      <w:r>
        <w:t xml:space="preserve">Presidencia del Consejo de Ministros. 2021.</w:t>
      </w:r>
      <w:r>
        <w:t xml:space="preserve"> </w:t>
      </w:r>
      <w:r>
        <w:rPr>
          <w:i/>
          <w:iCs/>
        </w:rPr>
        <w:t xml:space="preserve">Decreto Supremo n</w:t>
      </w:r>
      <w:r>
        <w:rPr>
          <w:i/>
          <w:iCs/>
        </w:rPr>
        <w:t xml:space="preserve">ó</w:t>
      </w:r>
      <w:r>
        <w:rPr>
          <w:i/>
          <w:iCs/>
        </w:rPr>
        <w:t xml:space="preserve"> </w:t>
      </w:r>
      <w:r>
        <w:rPr>
          <w:i/>
          <w:iCs/>
        </w:rPr>
        <w:t xml:space="preserve">029-2021-PCM, Reglamento Del Decreto Legislativo n</w:t>
      </w:r>
      <w:r>
        <w:rPr>
          <w:i/>
          <w:iCs/>
        </w:rPr>
        <w:t xml:space="preserve">ó</w:t>
      </w:r>
      <w:r>
        <w:rPr>
          <w:i/>
          <w:iCs/>
        </w:rPr>
        <w:t xml:space="preserve"> </w:t>
      </w:r>
      <w:r>
        <w:rPr>
          <w:i/>
          <w:iCs/>
        </w:rPr>
        <w:t xml:space="preserve">1412, Ley de Gobierno Digital</w:t>
      </w:r>
      <w:r>
        <w:t xml:space="preserve">.</w:t>
      </w:r>
    </w:p>
    <w:bookmarkEnd w:id="674"/>
    <w:bookmarkStart w:id="675" w:name="ref-pcm2023pntd2030"/>
    <w:p>
      <w:pPr>
        <w:pStyle w:val="Bibliografa"/>
      </w:pPr>
      <w:r>
        <w:t xml:space="preserve">Presidencia del Consejo de Ministros. 2023.</w:t>
      </w:r>
      <w:r>
        <w:t xml:space="preserve"> </w:t>
      </w:r>
      <w:r>
        <w:rPr>
          <w:i/>
          <w:iCs/>
        </w:rPr>
        <w:t xml:space="preserve">Decreto Supremo n</w:t>
      </w:r>
      <w:r>
        <w:rPr>
          <w:i/>
          <w:iCs/>
        </w:rPr>
        <w:t xml:space="preserve">ó</w:t>
      </w:r>
      <w:r>
        <w:rPr>
          <w:i/>
          <w:iCs/>
        </w:rPr>
        <w:t xml:space="preserve"> </w:t>
      </w:r>
      <w:r>
        <w:rPr>
          <w:i/>
          <w:iCs/>
        </w:rPr>
        <w:t xml:space="preserve">085-2023-PCM, Que Aprueba La Pol</w:t>
      </w:r>
      <w:r>
        <w:rPr>
          <w:i/>
          <w:iCs/>
        </w:rPr>
        <w:t xml:space="preserve">í</w:t>
      </w:r>
      <w:r>
        <w:rPr>
          <w:i/>
          <w:iCs/>
        </w:rPr>
        <w:t xml:space="preserve">tica Nacional de Transformaci</w:t>
      </w:r>
      <w:r>
        <w:rPr>
          <w:i/>
          <w:iCs/>
        </w:rPr>
        <w:t xml:space="preserve">ó</w:t>
      </w:r>
      <w:r>
        <w:rPr>
          <w:i/>
          <w:iCs/>
        </w:rPr>
        <w:t xml:space="preserve">n Digital Al 2030</w:t>
      </w:r>
      <w:r>
        <w:t xml:space="preserve">.</w:t>
      </w:r>
    </w:p>
    <w:bookmarkEnd w:id="675"/>
    <w:bookmarkStart w:id="677" w:name="ref-whatsnew3132024"/>
    <w:p>
      <w:pPr>
        <w:pStyle w:val="Bibliografa"/>
      </w:pPr>
      <w:r>
        <w:t xml:space="preserve">Python Documentation. 2024.</w:t>
      </w:r>
      <w:r>
        <w:t xml:space="preserve"> </w:t>
      </w:r>
      <w:r>
        <w:t xml:space="preserve">“What’s New in Python 3.13.”</w:t>
      </w:r>
      <w:r>
        <w:t xml:space="preserve"> </w:t>
      </w:r>
      <w:hyperlink r:id="rId676">
        <w:r>
          <w:rPr>
            <w:rStyle w:val="Hipervnculo"/>
          </w:rPr>
          <w:t xml:space="preserve">https://docs.python.org/3/whatsnew/3.13.html</w:t>
        </w:r>
      </w:hyperlink>
      <w:r>
        <w:t xml:space="preserve">.</w:t>
      </w:r>
    </w:p>
    <w:bookmarkEnd w:id="677"/>
    <w:bookmarkStart w:id="679" w:name="ref-whatsnew3142025"/>
    <w:p>
      <w:pPr>
        <w:pStyle w:val="Bibliografa"/>
      </w:pPr>
      <w:r>
        <w:t xml:space="preserve">Python Documentation. 2025.</w:t>
      </w:r>
      <w:r>
        <w:t xml:space="preserve"> </w:t>
      </w:r>
      <w:r>
        <w:t xml:space="preserve">“What’s New in Python 3.14.”</w:t>
      </w:r>
      <w:r>
        <w:t xml:space="preserve"> </w:t>
      </w:r>
      <w:hyperlink r:id="rId678">
        <w:r>
          <w:rPr>
            <w:rStyle w:val="Hipervnculo"/>
          </w:rPr>
          <w:t xml:space="preserve">https://docs.python.org/3/whatsnew/3.14.html</w:t>
        </w:r>
      </w:hyperlink>
      <w:r>
        <w:t xml:space="preserve">.</w:t>
      </w:r>
    </w:p>
    <w:bookmarkEnd w:id="679"/>
    <w:bookmarkStart w:id="681" w:name="ref-pythonbuiltintypes2026"/>
    <w:p>
      <w:pPr>
        <w:pStyle w:val="Bibliografa"/>
      </w:pPr>
      <w:r>
        <w:t xml:space="preserve">Python Documentation. 2026a.</w:t>
      </w:r>
      <w:r>
        <w:t xml:space="preserve"> </w:t>
      </w:r>
      <w:r>
        <w:t xml:space="preserve">“Built-in Types.”</w:t>
      </w:r>
      <w:r>
        <w:t xml:space="preserve"> </w:t>
      </w:r>
      <w:hyperlink r:id="rId680">
        <w:r>
          <w:rPr>
            <w:rStyle w:val="Hipervnculo"/>
          </w:rPr>
          <w:t xml:space="preserve">https://docs.python.org/3/library/stdtypes.html</w:t>
        </w:r>
      </w:hyperlink>
      <w:r>
        <w:t xml:space="preserve">.</w:t>
      </w:r>
    </w:p>
    <w:bookmarkEnd w:id="681"/>
    <w:bookmarkStart w:id="683" w:name="ref-pythonfaq2026"/>
    <w:p>
      <w:pPr>
        <w:pStyle w:val="Bibliografa"/>
      </w:pPr>
      <w:r>
        <w:t xml:space="preserve">Python Documentation. 2026b.</w:t>
      </w:r>
      <w:r>
        <w:t xml:space="preserve"> </w:t>
      </w:r>
      <w:r>
        <w:t xml:space="preserve">“General Python FAQ.”</w:t>
      </w:r>
      <w:r>
        <w:t xml:space="preserve"> </w:t>
      </w:r>
      <w:hyperlink r:id="rId682">
        <w:r>
          <w:rPr>
            <w:rStyle w:val="Hipervnculo"/>
          </w:rPr>
          <w:t xml:space="preserve">https://docs.python.org/3/faq/general.html</w:t>
        </w:r>
      </w:hyperlink>
      <w:r>
        <w:t xml:space="preserve">.</w:t>
      </w:r>
    </w:p>
    <w:bookmarkEnd w:id="683"/>
    <w:bookmarkStart w:id="685" w:name="ref-pythonlicense2026"/>
    <w:p>
      <w:pPr>
        <w:pStyle w:val="Bibliografa"/>
      </w:pPr>
      <w:r>
        <w:t xml:space="preserve">Python Documentation. 2026c.</w:t>
      </w:r>
      <w:r>
        <w:t xml:space="preserve"> </w:t>
      </w:r>
      <w:r>
        <w:t xml:space="preserve">“History and License.”</w:t>
      </w:r>
      <w:r>
        <w:t xml:space="preserve"> </w:t>
      </w:r>
      <w:hyperlink r:id="rId684">
        <w:r>
          <w:rPr>
            <w:rStyle w:val="Hipervnculo"/>
          </w:rPr>
          <w:t xml:space="preserve">https://docs.python.org/3/license.html</w:t>
        </w:r>
      </w:hyperlink>
      <w:r>
        <w:t xml:space="preserve">.</w:t>
      </w:r>
    </w:p>
    <w:bookmarkEnd w:id="685"/>
    <w:bookmarkStart w:id="687" w:name="ref-psfabout2026"/>
    <w:p>
      <w:pPr>
        <w:pStyle w:val="Bibliografa"/>
      </w:pPr>
      <w:r>
        <w:t xml:space="preserve">Python Software Foundation. 2026.</w:t>
      </w:r>
      <w:r>
        <w:t xml:space="preserve"> </w:t>
      </w:r>
      <w:r>
        <w:t xml:space="preserve">“About the Python Software Foundation.”</w:t>
      </w:r>
      <w:r>
        <w:t xml:space="preserve"> </w:t>
      </w:r>
      <w:hyperlink r:id="rId686">
        <w:r>
          <w:rPr>
            <w:rStyle w:val="Hipervnculo"/>
          </w:rPr>
          <w:t xml:space="preserve">https://www.python.org/psf/about/</w:t>
        </w:r>
      </w:hyperlink>
      <w:r>
        <w:t xml:space="preserve">.</w:t>
      </w:r>
    </w:p>
    <w:bookmarkEnd w:id="687"/>
    <w:bookmarkStart w:id="689" w:name="ref-pythonversions2026"/>
    <w:p>
      <w:pPr>
        <w:pStyle w:val="Bibliografa"/>
      </w:pPr>
      <w:r>
        <w:t xml:space="preserve">Python.org. 2026.</w:t>
      </w:r>
      <w:r>
        <w:t xml:space="preserve"> </w:t>
      </w:r>
      <w:r>
        <w:t xml:space="preserve">“Python Documentation by Version.”</w:t>
      </w:r>
      <w:r>
        <w:t xml:space="preserve"> </w:t>
      </w:r>
      <w:hyperlink r:id="rId688">
        <w:r>
          <w:rPr>
            <w:rStyle w:val="Hipervnculo"/>
          </w:rPr>
          <w:t xml:space="preserve">https://www.python.org/doc/versions/</w:t>
        </w:r>
      </w:hyperlink>
      <w:r>
        <w:t xml:space="preserve">.</w:t>
      </w:r>
    </w:p>
    <w:bookmarkEnd w:id="689"/>
    <w:bookmarkStart w:id="691"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90">
        <w:r>
          <w:rPr>
            <w:rStyle w:val="Hipervnculo"/>
          </w:rPr>
          <w:t xml:space="preserve">https://doi.org/10.3390/info11040193</w:t>
        </w:r>
      </w:hyperlink>
      <w:r>
        <w:t xml:space="preserve">.</w:t>
      </w:r>
    </w:p>
    <w:bookmarkEnd w:id="691"/>
    <w:bookmarkStart w:id="693"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92">
        <w:r>
          <w:rPr>
            <w:rStyle w:val="Hipervnculo"/>
          </w:rPr>
          <w:t xml:space="preserve">https://doi.org/10.53300/001c.36060</w:t>
        </w:r>
      </w:hyperlink>
      <w:r>
        <w:t xml:space="preserve">.</w:t>
      </w:r>
    </w:p>
    <w:bookmarkEnd w:id="693"/>
    <w:bookmarkStart w:id="695" w:name="ref-sqlite2026select"/>
    <w:p>
      <w:pPr>
        <w:pStyle w:val="Bibliografa"/>
      </w:pPr>
      <w:r>
        <w:t xml:space="preserve">SQLite Documentation. 2026.</w:t>
      </w:r>
      <w:r>
        <w:t xml:space="preserve"> </w:t>
      </w:r>
      <w:r>
        <w:t xml:space="preserve">“SELECT.”</w:t>
      </w:r>
      <w:r>
        <w:t xml:space="preserve"> </w:t>
      </w:r>
      <w:hyperlink r:id="rId694">
        <w:r>
          <w:rPr>
            <w:rStyle w:val="Hipervnculo"/>
          </w:rPr>
          <w:t xml:space="preserve">https://www.sqlite.org/lang_select.html</w:t>
        </w:r>
      </w:hyperlink>
      <w:r>
        <w:t xml:space="preserve">.</w:t>
      </w:r>
    </w:p>
    <w:bookmarkEnd w:id="695"/>
    <w:bookmarkStart w:id="697"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96">
        <w:r>
          <w:rPr>
            <w:rStyle w:val="Hipervnculo"/>
          </w:rPr>
          <w:t xml:space="preserve">https://doi.org/10.1038/s41592-019-0686-2</w:t>
        </w:r>
      </w:hyperlink>
      <w:r>
        <w:t xml:space="preserve">.</w:t>
      </w:r>
    </w:p>
    <w:bookmarkEnd w:id="697"/>
    <w:bookmarkStart w:id="699" w:name="ref-vscodehistory2016"/>
    <w:p>
      <w:pPr>
        <w:pStyle w:val="Bibliografa"/>
      </w:pPr>
      <w:r>
        <w:t xml:space="preserve">Visual Studio Code Blog. 2016.</w:t>
      </w:r>
      <w:r>
        <w:t xml:space="preserve"> </w:t>
      </w:r>
      <w:r>
        <w:t xml:space="preserve">“Visual Studio Code 1.0!”</w:t>
      </w:r>
      <w:r>
        <w:t xml:space="preserve"> </w:t>
      </w:r>
      <w:hyperlink r:id="rId698">
        <w:r>
          <w:rPr>
            <w:rStyle w:val="Hipervnculo"/>
          </w:rPr>
          <w:t xml:space="preserve">https://code.visualstudio.com/blogs/2016/04/14/vscode-1.0/</w:t>
        </w:r>
      </w:hyperlink>
      <w:r>
        <w:t xml:space="preserve">.</w:t>
      </w:r>
    </w:p>
    <w:bookmarkEnd w:id="699"/>
    <w:bookmarkStart w:id="701" w:name="ref-vscodeterminal2026"/>
    <w:p>
      <w:pPr>
        <w:pStyle w:val="Bibliografa"/>
      </w:pPr>
      <w:r>
        <w:t xml:space="preserve">Visual Studio Code Documentation. 2026a.</w:t>
      </w:r>
      <w:r>
        <w:t xml:space="preserve"> </w:t>
      </w:r>
      <w:r>
        <w:t xml:space="preserve">“Getting Started with the Terminal.”</w:t>
      </w:r>
      <w:r>
        <w:t xml:space="preserve"> </w:t>
      </w:r>
      <w:hyperlink r:id="rId700">
        <w:r>
          <w:rPr>
            <w:rStyle w:val="Hipervnculo"/>
          </w:rPr>
          <w:t xml:space="preserve">https://code.visualstudio.com/docs/terminal/getting-started</w:t>
        </w:r>
      </w:hyperlink>
      <w:r>
        <w:t xml:space="preserve">.</w:t>
      </w:r>
    </w:p>
    <w:bookmarkEnd w:id="701"/>
    <w:bookmarkStart w:id="703" w:name="ref-vscodesourcecontrol2026"/>
    <w:p>
      <w:pPr>
        <w:pStyle w:val="Bibliografa"/>
      </w:pPr>
      <w:r>
        <w:t xml:space="preserve">Visual Studio Code Documentation. 2026b.</w:t>
      </w:r>
      <w:r>
        <w:t xml:space="preserve"> </w:t>
      </w:r>
      <w:r>
        <w:t xml:space="preserve">“Source Control in VS Code.”</w:t>
      </w:r>
      <w:r>
        <w:t xml:space="preserve"> </w:t>
      </w:r>
      <w:hyperlink r:id="rId702">
        <w:r>
          <w:rPr>
            <w:rStyle w:val="Hipervnculo"/>
          </w:rPr>
          <w:t xml:space="preserve">https://code.visualstudio.com/docs/sourcecontrol/overview</w:t>
        </w:r>
      </w:hyperlink>
      <w:r>
        <w:t xml:space="preserve">.</w:t>
      </w:r>
    </w:p>
    <w:bookmarkEnd w:id="703"/>
    <w:bookmarkStart w:id="705"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704">
        <w:r>
          <w:rPr>
            <w:rStyle w:val="Hipervnculo"/>
          </w:rPr>
          <w:t xml:space="preserve">https://code.visualstudio.com/docs/getstarted/getting-started</w:t>
        </w:r>
      </w:hyperlink>
      <w:r>
        <w:t xml:space="preserve">.</w:t>
      </w:r>
    </w:p>
    <w:bookmarkEnd w:id="705"/>
    <w:bookmarkStart w:id="707"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706">
        <w:r>
          <w:rPr>
            <w:rStyle w:val="Hipervnculo"/>
          </w:rPr>
          <w:t xml:space="preserve">https://digitalcommons.law.scu.edu/chtlj/vol36/iss2/2/</w:t>
        </w:r>
      </w:hyperlink>
      <w:r>
        <w:t xml:space="preserve">.</w:t>
      </w:r>
    </w:p>
    <w:bookmarkEnd w:id="707"/>
    <w:bookmarkStart w:id="708"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708"/>
    <w:bookmarkEnd w:id="709"/>
    <w:bookmarkEnd w:id="710"/>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439" Target="media/rId43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0" Target="media/rId70.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359" Target="media/rId359.png" /><Relationship Type="http://schemas.openxmlformats.org/officeDocument/2006/relationships/image" Id="rId333" Target="media/rId333.png" /><Relationship Type="http://schemas.openxmlformats.org/officeDocument/2006/relationships/image" Id="rId372" Target="media/rId372.png" /><Relationship Type="http://schemas.openxmlformats.org/officeDocument/2006/relationships/image" Id="rId400" Target="media/rId400.png" /><Relationship Type="http://schemas.openxmlformats.org/officeDocument/2006/relationships/image" Id="rId403" Target="media/rId403.png" /><Relationship Type="http://schemas.openxmlformats.org/officeDocument/2006/relationships/image" Id="rId338" Target="media/rId33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45" Target="media/rId345.png" /><Relationship Type="http://schemas.openxmlformats.org/officeDocument/2006/relationships/image" Id="rId409" Target="media/rId409.png" /><Relationship Type="http://schemas.openxmlformats.org/officeDocument/2006/relationships/image" Id="rId380" Target="media/rId380.png" /><Relationship Type="http://schemas.openxmlformats.org/officeDocument/2006/relationships/image" Id="rId412" Target="media/rId412.png" /><Relationship Type="http://schemas.openxmlformats.org/officeDocument/2006/relationships/image" Id="rId348" Target="media/rId348.png" /><Relationship Type="http://schemas.openxmlformats.org/officeDocument/2006/relationships/image" Id="rId367" Target="media/rId367.png" /><Relationship Type="http://schemas.openxmlformats.org/officeDocument/2006/relationships/image" Id="rId353" Target="media/rId353.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hyperlink" Id="rId419" Target="../tutoriales/github-pages.qmd" TargetMode="External" /><Relationship Type="http://schemas.openxmlformats.org/officeDocument/2006/relationships/hyperlink" Id="rId330" Target="../tutoriales/visual-studio-code.qmd" TargetMode="External" /><Relationship Type="http://schemas.openxmlformats.org/officeDocument/2006/relationships/hyperlink" Id="rId654" Target="https://airc.nist.gov/airmf-resources/playbook/" TargetMode="External" /><Relationship Type="http://schemas.openxmlformats.org/officeDocument/2006/relationships/hyperlink" Id="rId607" Target="https://choosealicense.com/" TargetMode="External" /><Relationship Type="http://schemas.openxmlformats.org/officeDocument/2006/relationships/hyperlink" Id="rId609" Target="https://choosealicense.com/licenses/" TargetMode="External" /><Relationship Type="http://schemas.openxmlformats.org/officeDocument/2006/relationships/hyperlink" Id="rId698" Target="https://code.visualstudio.com/blogs/2016/04/14/vscode-1.0/" TargetMode="External" /><Relationship Type="http://schemas.openxmlformats.org/officeDocument/2006/relationships/hyperlink" Id="rId704" Target="https://code.visualstudio.com/docs/getstarted/getting-started" TargetMode="External" /><Relationship Type="http://schemas.openxmlformats.org/officeDocument/2006/relationships/hyperlink" Id="rId702" Target="https://code.visualstudio.com/docs/sourcecontrol/overview" TargetMode="External" /><Relationship Type="http://schemas.openxmlformats.org/officeDocument/2006/relationships/hyperlink" Id="rId700" Target="https://code.visualstudio.com/docs/terminal/getting-started" TargetMode="External" /><Relationship Type="http://schemas.openxmlformats.org/officeDocument/2006/relationships/hyperlink" Id="rId643" Target="https://developer.mozilla.org/en-US/docs/Glossary/Unicode" TargetMode="External" /><Relationship Type="http://schemas.openxmlformats.org/officeDocument/2006/relationships/hyperlink" Id="rId639" Target="https://developer.mozilla.org/en-US/docs/Learn_web_development/Core/Structuring_content/Basic_HTML_syntax" TargetMode="External" /><Relationship Type="http://schemas.openxmlformats.org/officeDocument/2006/relationships/hyperlink" Id="rId641" Target="https://developer.mozilla.org/en-US/docs/Learn_web_development/Core/Styling_basics/Getting_started" TargetMode="External" /><Relationship Type="http://schemas.openxmlformats.org/officeDocument/2006/relationships/hyperlink" Id="rId613" Target="https://digital-strategy.ec.europa.eu/en/policies/regulatory-framework-ai" TargetMode="External" /><Relationship Type="http://schemas.openxmlformats.org/officeDocument/2006/relationships/hyperlink" Id="rId706" Target="https://digitalcommons.law.scu.edu/chtlj/vol36/iss2/2/" TargetMode="External" /><Relationship Type="http://schemas.openxmlformats.org/officeDocument/2006/relationships/hyperlink" Id="rId626" Target="https://docs.github.com/en/authentication/securing-your-account-with-two-factor-authentication-2fa/about-two-factor-authentication" TargetMode="External" /><Relationship Type="http://schemas.openxmlformats.org/officeDocument/2006/relationships/hyperlink" Id="rId624" Target="https://docs.github.com/en/enterprise-cloud@latest/issues/planning-and-tracking-with-projects/learning-about-projects/about-projects" TargetMode="External" /><Relationship Type="http://schemas.openxmlformats.org/officeDocument/2006/relationships/hyperlink" Id="rId630" Target="https://docs.github.com/en/pages/getting-started-with-github-pages/what-is-github-pages" TargetMode="External" /><Relationship Type="http://schemas.openxmlformats.org/officeDocument/2006/relationships/hyperlink" Id="rId628" Target="https://docs.github.com/repositories/managing-your-repositorys-settings-and-features/customizing-your-repository/licensing-a-repository/" TargetMode="External" /><Relationship Type="http://schemas.openxmlformats.org/officeDocument/2006/relationships/hyperlink" Id="rId682" Target="https://docs.python.org/3/faq/general.html" TargetMode="External" /><Relationship Type="http://schemas.openxmlformats.org/officeDocument/2006/relationships/hyperlink" Id="rId680" Target="https://docs.python.org/3/library/stdtypes.html" TargetMode="External" /><Relationship Type="http://schemas.openxmlformats.org/officeDocument/2006/relationships/hyperlink" Id="rId684" Target="https://docs.python.org/3/license.html" TargetMode="External" /><Relationship Type="http://schemas.openxmlformats.org/officeDocument/2006/relationships/hyperlink" Id="rId676" Target="https://docs.python.org/3/whatsnew/3.13.html" TargetMode="External" /><Relationship Type="http://schemas.openxmlformats.org/officeDocument/2006/relationships/hyperlink" Id="rId678" Target="https://docs.python.org/3/whatsnew/3.14.html" TargetMode="External" /><Relationship Type="http://schemas.openxmlformats.org/officeDocument/2006/relationships/hyperlink" Id="rId696" Target="https://doi.org/10.1038/s41592-019-0686-2" TargetMode="External" /><Relationship Type="http://schemas.openxmlformats.org/officeDocument/2006/relationships/hyperlink" Id="rId670" Target="https://doi.org/10.18543/ed.3100" TargetMode="External" /><Relationship Type="http://schemas.openxmlformats.org/officeDocument/2006/relationships/hyperlink" Id="rId663" Target="https://doi.org/10.18543/ed.3108" TargetMode="External" /><Relationship Type="http://schemas.openxmlformats.org/officeDocument/2006/relationships/hyperlink" Id="rId611" Target="https://doi.org/10.24926/15529541.3828" TargetMode="External" /><Relationship Type="http://schemas.openxmlformats.org/officeDocument/2006/relationships/hyperlink" Id="rId597" Target="https://doi.org/10.26826/law-in-context.v37i1.125" TargetMode="External" /><Relationship Type="http://schemas.openxmlformats.org/officeDocument/2006/relationships/hyperlink" Id="rId603" Target="https://doi.org/10.3145/epi.2017.nov.02" TargetMode="External" /><Relationship Type="http://schemas.openxmlformats.org/officeDocument/2006/relationships/hyperlink" Id="rId632" Target="https://doi.org/10.3389/fninf.2011.00013" TargetMode="External" /><Relationship Type="http://schemas.openxmlformats.org/officeDocument/2006/relationships/hyperlink" Id="rId690" Target="https://doi.org/10.3390/info11040193" TargetMode="External" /><Relationship Type="http://schemas.openxmlformats.org/officeDocument/2006/relationships/hyperlink" Id="rId692" Target="https://doi.org/10.53300/001c.36060" TargetMode="External" /><Relationship Type="http://schemas.openxmlformats.org/officeDocument/2006/relationships/hyperlink" Id="rId599" Target="https://doi.org/10.6028/NIST.AI.600-1" TargetMode="External" /><Relationship Type="http://schemas.openxmlformats.org/officeDocument/2006/relationships/hyperlink" Id="rId659" Target="https://doi.org/10.7440/res93.2025.01" TargetMode="External" /><Relationship Type="http://schemas.openxmlformats.org/officeDocument/2006/relationships/hyperlink" Id="rId616" Target="https://git-scm.com/about.html" TargetMode="External" /><Relationship Type="http://schemas.openxmlformats.org/officeDocument/2006/relationships/hyperlink" Id="rId605" Target="https://git-scm.com/book/en/v2" TargetMode="External" /><Relationship Type="http://schemas.openxmlformats.org/officeDocument/2006/relationships/hyperlink" Id="rId618" Target="https://git-scm.com/docs/user-manual" TargetMode="External" /><Relationship Type="http://schemas.openxmlformats.org/officeDocument/2006/relationships/hyperlink" Id="rId622" Target="https://github.blog/news-insights/github-pages/" TargetMode="External" /><Relationship Type="http://schemas.openxmlformats.org/officeDocument/2006/relationships/hyperlink" Id="rId620" Target="https://github.com/about/press" TargetMode="External" /><Relationship Type="http://schemas.openxmlformats.org/officeDocument/2006/relationships/hyperlink" Id="rId637" Target="https://idp.uoc.edu/articles/10.7238/idp.v0i8.5398/" TargetMode="External" /><Relationship Type="http://schemas.openxmlformats.org/officeDocument/2006/relationships/hyperlink" Id="rId661" Target="https://jmlr.org/papers/v12/pedregosa11a.html" TargetMode="External" /><Relationship Type="http://schemas.openxmlformats.org/officeDocument/2006/relationships/hyperlink" Id="rId646" Target="https://mermaid.js.org/syntax/flowchart.html" TargetMode="External" /><Relationship Type="http://schemas.openxmlformats.org/officeDocument/2006/relationships/hyperlink" Id="rId648" Target="https://news.microsoft.com/2018/06/04/microsoft-to-acquire-github-for-7-5-billion/" TargetMode="External" /><Relationship Type="http://schemas.openxmlformats.org/officeDocument/2006/relationships/hyperlink" Id="rId634" Target="https://peps.python.org/pep-0703/" TargetMode="External" /><Relationship Type="http://schemas.openxmlformats.org/officeDocument/2006/relationships/hyperlink" Id="rId652" Target="https://www.nist.gov/itl/ai-risk-management-framework" TargetMode="External" /><Relationship Type="http://schemas.openxmlformats.org/officeDocument/2006/relationships/hyperlink" Id="rId656" Target="https://www.oecd.org/en/topics/ai-principles.html" TargetMode="External" /><Relationship Type="http://schemas.openxmlformats.org/officeDocument/2006/relationships/hyperlink" Id="rId688" Target="https://www.python.org/doc/versions/" TargetMode="External" /><Relationship Type="http://schemas.openxmlformats.org/officeDocument/2006/relationships/hyperlink" Id="rId686" Target="https://www.python.org/psf/about/" TargetMode="External" /><Relationship Type="http://schemas.openxmlformats.org/officeDocument/2006/relationships/hyperlink" Id="rId694"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419" Target="../tutoriales/github-pages.qmd" TargetMode="External" /><Relationship Type="http://schemas.openxmlformats.org/officeDocument/2006/relationships/hyperlink" Id="rId330" Target="../tutoriales/visual-studio-code.qmd" TargetMode="External" /><Relationship Type="http://schemas.openxmlformats.org/officeDocument/2006/relationships/hyperlink" Id="rId654" Target="https://airc.nist.gov/airmf-resources/playbook/" TargetMode="External" /><Relationship Type="http://schemas.openxmlformats.org/officeDocument/2006/relationships/hyperlink" Id="rId607" Target="https://choosealicense.com/" TargetMode="External" /><Relationship Type="http://schemas.openxmlformats.org/officeDocument/2006/relationships/hyperlink" Id="rId609" Target="https://choosealicense.com/licenses/" TargetMode="External" /><Relationship Type="http://schemas.openxmlformats.org/officeDocument/2006/relationships/hyperlink" Id="rId698" Target="https://code.visualstudio.com/blogs/2016/04/14/vscode-1.0/" TargetMode="External" /><Relationship Type="http://schemas.openxmlformats.org/officeDocument/2006/relationships/hyperlink" Id="rId704" Target="https://code.visualstudio.com/docs/getstarted/getting-started" TargetMode="External" /><Relationship Type="http://schemas.openxmlformats.org/officeDocument/2006/relationships/hyperlink" Id="rId702" Target="https://code.visualstudio.com/docs/sourcecontrol/overview" TargetMode="External" /><Relationship Type="http://schemas.openxmlformats.org/officeDocument/2006/relationships/hyperlink" Id="rId700" Target="https://code.visualstudio.com/docs/terminal/getting-started" TargetMode="External" /><Relationship Type="http://schemas.openxmlformats.org/officeDocument/2006/relationships/hyperlink" Id="rId643" Target="https://developer.mozilla.org/en-US/docs/Glossary/Unicode" TargetMode="External" /><Relationship Type="http://schemas.openxmlformats.org/officeDocument/2006/relationships/hyperlink" Id="rId639" Target="https://developer.mozilla.org/en-US/docs/Learn_web_development/Core/Structuring_content/Basic_HTML_syntax" TargetMode="External" /><Relationship Type="http://schemas.openxmlformats.org/officeDocument/2006/relationships/hyperlink" Id="rId641" Target="https://developer.mozilla.org/en-US/docs/Learn_web_development/Core/Styling_basics/Getting_started" TargetMode="External" /><Relationship Type="http://schemas.openxmlformats.org/officeDocument/2006/relationships/hyperlink" Id="rId613" Target="https://digital-strategy.ec.europa.eu/en/policies/regulatory-framework-ai" TargetMode="External" /><Relationship Type="http://schemas.openxmlformats.org/officeDocument/2006/relationships/hyperlink" Id="rId706" Target="https://digitalcommons.law.scu.edu/chtlj/vol36/iss2/2/" TargetMode="External" /><Relationship Type="http://schemas.openxmlformats.org/officeDocument/2006/relationships/hyperlink" Id="rId626" Target="https://docs.github.com/en/authentication/securing-your-account-with-two-factor-authentication-2fa/about-two-factor-authentication" TargetMode="External" /><Relationship Type="http://schemas.openxmlformats.org/officeDocument/2006/relationships/hyperlink" Id="rId624" Target="https://docs.github.com/en/enterprise-cloud@latest/issues/planning-and-tracking-with-projects/learning-about-projects/about-projects" TargetMode="External" /><Relationship Type="http://schemas.openxmlformats.org/officeDocument/2006/relationships/hyperlink" Id="rId630" Target="https://docs.github.com/en/pages/getting-started-with-github-pages/what-is-github-pages" TargetMode="External" /><Relationship Type="http://schemas.openxmlformats.org/officeDocument/2006/relationships/hyperlink" Id="rId628" Target="https://docs.github.com/repositories/managing-your-repositorys-settings-and-features/customizing-your-repository/licensing-a-repository/" TargetMode="External" /><Relationship Type="http://schemas.openxmlformats.org/officeDocument/2006/relationships/hyperlink" Id="rId682" Target="https://docs.python.org/3/faq/general.html" TargetMode="External" /><Relationship Type="http://schemas.openxmlformats.org/officeDocument/2006/relationships/hyperlink" Id="rId680" Target="https://docs.python.org/3/library/stdtypes.html" TargetMode="External" /><Relationship Type="http://schemas.openxmlformats.org/officeDocument/2006/relationships/hyperlink" Id="rId684" Target="https://docs.python.org/3/license.html" TargetMode="External" /><Relationship Type="http://schemas.openxmlformats.org/officeDocument/2006/relationships/hyperlink" Id="rId676" Target="https://docs.python.org/3/whatsnew/3.13.html" TargetMode="External" /><Relationship Type="http://schemas.openxmlformats.org/officeDocument/2006/relationships/hyperlink" Id="rId678" Target="https://docs.python.org/3/whatsnew/3.14.html" TargetMode="External" /><Relationship Type="http://schemas.openxmlformats.org/officeDocument/2006/relationships/hyperlink" Id="rId696" Target="https://doi.org/10.1038/s41592-019-0686-2" TargetMode="External" /><Relationship Type="http://schemas.openxmlformats.org/officeDocument/2006/relationships/hyperlink" Id="rId670" Target="https://doi.org/10.18543/ed.3100" TargetMode="External" /><Relationship Type="http://schemas.openxmlformats.org/officeDocument/2006/relationships/hyperlink" Id="rId663" Target="https://doi.org/10.18543/ed.3108" TargetMode="External" /><Relationship Type="http://schemas.openxmlformats.org/officeDocument/2006/relationships/hyperlink" Id="rId611" Target="https://doi.org/10.24926/15529541.3828" TargetMode="External" /><Relationship Type="http://schemas.openxmlformats.org/officeDocument/2006/relationships/hyperlink" Id="rId597" Target="https://doi.org/10.26826/law-in-context.v37i1.125" TargetMode="External" /><Relationship Type="http://schemas.openxmlformats.org/officeDocument/2006/relationships/hyperlink" Id="rId603" Target="https://doi.org/10.3145/epi.2017.nov.02" TargetMode="External" /><Relationship Type="http://schemas.openxmlformats.org/officeDocument/2006/relationships/hyperlink" Id="rId632" Target="https://doi.org/10.3389/fninf.2011.00013" TargetMode="External" /><Relationship Type="http://schemas.openxmlformats.org/officeDocument/2006/relationships/hyperlink" Id="rId690" Target="https://doi.org/10.3390/info11040193" TargetMode="External" /><Relationship Type="http://schemas.openxmlformats.org/officeDocument/2006/relationships/hyperlink" Id="rId692" Target="https://doi.org/10.53300/001c.36060" TargetMode="External" /><Relationship Type="http://schemas.openxmlformats.org/officeDocument/2006/relationships/hyperlink" Id="rId599" Target="https://doi.org/10.6028/NIST.AI.600-1" TargetMode="External" /><Relationship Type="http://schemas.openxmlformats.org/officeDocument/2006/relationships/hyperlink" Id="rId659" Target="https://doi.org/10.7440/res93.2025.01" TargetMode="External" /><Relationship Type="http://schemas.openxmlformats.org/officeDocument/2006/relationships/hyperlink" Id="rId616" Target="https://git-scm.com/about.html" TargetMode="External" /><Relationship Type="http://schemas.openxmlformats.org/officeDocument/2006/relationships/hyperlink" Id="rId605" Target="https://git-scm.com/book/en/v2" TargetMode="External" /><Relationship Type="http://schemas.openxmlformats.org/officeDocument/2006/relationships/hyperlink" Id="rId618" Target="https://git-scm.com/docs/user-manual" TargetMode="External" /><Relationship Type="http://schemas.openxmlformats.org/officeDocument/2006/relationships/hyperlink" Id="rId622" Target="https://github.blog/news-insights/github-pages/" TargetMode="External" /><Relationship Type="http://schemas.openxmlformats.org/officeDocument/2006/relationships/hyperlink" Id="rId620" Target="https://github.com/about/press" TargetMode="External" /><Relationship Type="http://schemas.openxmlformats.org/officeDocument/2006/relationships/hyperlink" Id="rId637" Target="https://idp.uoc.edu/articles/10.7238/idp.v0i8.5398/" TargetMode="External" /><Relationship Type="http://schemas.openxmlformats.org/officeDocument/2006/relationships/hyperlink" Id="rId661" Target="https://jmlr.org/papers/v12/pedregosa11a.html" TargetMode="External" /><Relationship Type="http://schemas.openxmlformats.org/officeDocument/2006/relationships/hyperlink" Id="rId646" Target="https://mermaid.js.org/syntax/flowchart.html" TargetMode="External" /><Relationship Type="http://schemas.openxmlformats.org/officeDocument/2006/relationships/hyperlink" Id="rId648" Target="https://news.microsoft.com/2018/06/04/microsoft-to-acquire-github-for-7-5-billion/" TargetMode="External" /><Relationship Type="http://schemas.openxmlformats.org/officeDocument/2006/relationships/hyperlink" Id="rId634" Target="https://peps.python.org/pep-0703/" TargetMode="External" /><Relationship Type="http://schemas.openxmlformats.org/officeDocument/2006/relationships/hyperlink" Id="rId652" Target="https://www.nist.gov/itl/ai-risk-management-framework" TargetMode="External" /><Relationship Type="http://schemas.openxmlformats.org/officeDocument/2006/relationships/hyperlink" Id="rId656" Target="https://www.oecd.org/en/topics/ai-principles.html" TargetMode="External" /><Relationship Type="http://schemas.openxmlformats.org/officeDocument/2006/relationships/hyperlink" Id="rId688" Target="https://www.python.org/doc/versions/" TargetMode="External" /><Relationship Type="http://schemas.openxmlformats.org/officeDocument/2006/relationships/hyperlink" Id="rId686" Target="https://www.python.org/psf/about/" TargetMode="External" /><Relationship Type="http://schemas.openxmlformats.org/officeDocument/2006/relationships/hyperlink" Id="rId694"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 y Manuel Santa Cruz</dc:creator>
  <cp:keywords/>
  <dcterms:created xsi:type="dcterms:W3CDTF">2026-05-26T12:47:52Z</dcterms:created>
  <dcterms:modified xsi:type="dcterms:W3CDTF">2026-05-26T12:47:52Z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Para los profesionales que se atrevan a enfrentar el presente</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