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81.png" ContentType="image/png"/>
  <Override PartName="/word/media/rId35.png" ContentType="image/png"/>
  <Override PartName="/word/media/rId55.png" ContentType="image/png"/>
  <Override PartName="/word/media/rId32.png" ContentType="image/png"/>
  <Override PartName="/word/media/rId50.png" ContentType="image/png"/>
  <Override PartName="/word/media/rId18.png" ContentType="image/png"/>
  <Override PartName="/word/media/rId23.png" ContentType="image/png"/>
  <Override PartName="/word/media/rId27.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Legal Tech, Manual del Curso</w:t>
      </w:r>
    </w:p>
    <w:p>
      <w:pPr>
        <w:pStyle w:val="Subttulo"/>
      </w:pPr>
      <w:r>
        <w:t xml:space="preserve">Manual del Curso 2026</w:t>
      </w:r>
    </w:p>
    <w:p>
      <w:pPr>
        <w:pStyle w:val="Author"/>
      </w:pPr>
      <w:r>
        <w:t xml:space="preserve">Dante Guerrero</w:t>
      </w:r>
    </w:p>
    <w:sdt>
      <w:sdtPr>
        <w:docPartObj>
          <w:docPartGallery w:val="Table of Contents"/>
          <w:docPartUnique/>
        </w:docPartObj>
      </w:sdtPr>
      <w:sdtContent>
        <w:p>
          <w:pPr>
            <w:pStyle w:val="TtuloTDC"/>
          </w:pPr>
          <w:r>
            <w:t xml:space="preserve">Table of contents</w:t>
          </w:r>
        </w:p>
        <w:p>
          <w:r>
            <w:fldChar w:fldCharType="begin" w:dirty="true"/>
            <w:instrText xml:space="preserve">TOC \o "1-2" \h \z \u</w:instrText>
            <w:fldChar w:fldCharType="separate"/>
            <w:fldChar w:fldCharType="end"/>
          </w:r>
        </w:p>
      </w:sdtContent>
    </w:sdt>
    <w:bookmarkStart w:id="21" w:name="section"/>
    <w:p>
      <w:pPr>
        <w:pStyle w:val="Ttulo1"/>
      </w:pPr>
    </w:p>
    <w:p>
      <w:pPr>
        <w:pStyle w:val="FirstParagraph"/>
      </w:pPr>
      <w:r>
        <w:drawing>
          <wp:inline>
            <wp:extent cx="5600700" cy="8401050"/>
            <wp:effectExtent b="0" l="0" r="0" t="0"/>
            <wp:docPr descr="" title="" id="19" name="Picture"/>
            <a:graphic>
              <a:graphicData uri="http://schemas.openxmlformats.org/drawingml/2006/picture">
                <pic:pic>
                  <pic:nvPicPr>
                    <pic:cNvPr descr="images/portada.png" id="20" name="Picture"/>
                    <pic:cNvPicPr>
                      <a:picLocks noChangeArrowheads="1" noChangeAspect="1"/>
                    </pic:cNvPicPr>
                  </pic:nvPicPr>
                  <pic:blipFill>
                    <a:blip r:embed="rId18"/>
                    <a:stretch>
                      <a:fillRect/>
                    </a:stretch>
                  </pic:blipFill>
                  <pic:spPr bwMode="auto">
                    <a:xfrm>
                      <a:off x="0" y="0"/>
                      <a:ext cx="5600700" cy="8401050"/>
                    </a:xfrm>
                    <a:prstGeom prst="rect">
                      <a:avLst/>
                    </a:prstGeom>
                    <a:noFill/>
                    <a:ln w="9525">
                      <a:noFill/>
                      <a:headEnd/>
                      <a:tailEnd/>
                    </a:ln>
                  </pic:spPr>
                </pic:pic>
              </a:graphicData>
            </a:graphic>
          </wp:inline>
        </w:drawing>
      </w:r>
    </w:p>
    <w:bookmarkEnd w:id="21"/>
    <w:bookmarkStart w:id="22" w:name="bienvenida"/>
    <w:p>
      <w:pPr>
        <w:pStyle w:val="Ttulo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Textoindependiente"/>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Textoindependiente"/>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bookmarkEnd w:id="22"/>
    <w:bookmarkStart w:id="31" w:name="profesores"/>
    <w:p>
      <w:pPr>
        <w:pStyle w:val="Ttulo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26" w:name="dante-guerrero"/>
    <w:p>
      <w:pPr>
        <w:pStyle w:val="Ttulo2"/>
      </w:pPr>
      <w:r>
        <w:t xml:space="preserve">Dante Guerrero</w:t>
      </w:r>
    </w:p>
    <w:p>
      <w:pPr>
        <w:pStyle w:val="FirstParagraph"/>
      </w:pPr>
      <w:r>
        <w:drawing>
          <wp:inline>
            <wp:extent cx="1568196" cy="1588096"/>
            <wp:effectExtent b="0" l="0" r="0" t="0"/>
            <wp:docPr descr="" title="" id="24" name="Picture"/>
            <a:graphic>
              <a:graphicData uri="http://schemas.openxmlformats.org/drawingml/2006/picture">
                <pic:pic>
                  <pic:nvPicPr>
                    <pic:cNvPr descr="parte-0/../images/dante.png" id="25" name="Picture"/>
                    <pic:cNvPicPr>
                      <a:picLocks noChangeArrowheads="1" noChangeAspect="1"/>
                    </pic:cNvPicPr>
                  </pic:nvPicPr>
                  <pic:blipFill>
                    <a:blip r:embed="rId23"/>
                    <a:stretch>
                      <a:fillRect/>
                    </a:stretch>
                  </pic:blipFill>
                  <pic:spPr bwMode="auto">
                    <a:xfrm>
                      <a:off x="0" y="0"/>
                      <a:ext cx="1568196" cy="1588096"/>
                    </a:xfrm>
                    <a:prstGeom prst="rect">
                      <a:avLst/>
                    </a:prstGeom>
                    <a:noFill/>
                    <a:ln w="9525">
                      <a:noFill/>
                      <a:headEnd/>
                      <a:tailEnd/>
                    </a:ln>
                  </pic:spPr>
                </pic:pic>
              </a:graphicData>
            </a:graphic>
          </wp:inline>
        </w:drawing>
      </w:r>
    </w:p>
    <w:p>
      <w:pPr>
        <w:pStyle w:val="Textoindependiente"/>
      </w:pPr>
      <w:r>
        <w:rPr>
          <w:b/>
          <w:bCs/>
        </w:rPr>
        <w:t xml:space="preserve">dguerrerob@cientifica.edu.pe</w:t>
      </w:r>
    </w:p>
    <w:p>
      <w:pPr>
        <w:pStyle w:val="Textoindependiente"/>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Textoindependiente"/>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Textoindependiente"/>
      </w:pPr>
      <w:r>
        <w:rPr>
          <w:b/>
          <w:bCs/>
        </w:rPr>
        <w:t xml:space="preserve">Áreas de trabajo:</w:t>
      </w:r>
      <w:r>
        <w:t xml:space="preserve"> </w:t>
      </w:r>
      <w:r>
        <w:t xml:space="preserve">derecho administrativo, fiscalización, innovación pública, transformación digital, inteligencia artificial aplicada y legal tech.</w:t>
      </w:r>
    </w:p>
    <w:bookmarkEnd w:id="26"/>
    <w:bookmarkStart w:id="30" w:name="manuel-santa-cruz"/>
    <w:p>
      <w:pPr>
        <w:pStyle w:val="Ttulo2"/>
      </w:pPr>
      <w:r>
        <w:t xml:space="preserve">Manuel Santa Cruz</w:t>
      </w:r>
    </w:p>
    <w:p>
      <w:pPr>
        <w:pStyle w:val="FirstParagraph"/>
      </w:pPr>
      <w:r>
        <w:drawing>
          <wp:inline>
            <wp:extent cx="1568196" cy="1610868"/>
            <wp:effectExtent b="0" l="0" r="0" t="0"/>
            <wp:docPr descr="" title="" id="28" name="Picture"/>
            <a:graphic>
              <a:graphicData uri="http://schemas.openxmlformats.org/drawingml/2006/picture">
                <pic:pic>
                  <pic:nvPicPr>
                    <pic:cNvPr descr="parte-0/../images/manu.png" id="29" name="Picture"/>
                    <pic:cNvPicPr>
                      <a:picLocks noChangeArrowheads="1" noChangeAspect="1"/>
                    </pic:cNvPicPr>
                  </pic:nvPicPr>
                  <pic:blipFill>
                    <a:blip r:embed="rId27"/>
                    <a:stretch>
                      <a:fillRect/>
                    </a:stretch>
                  </pic:blipFill>
                  <pic:spPr bwMode="auto">
                    <a:xfrm>
                      <a:off x="0" y="0"/>
                      <a:ext cx="1568196" cy="1610868"/>
                    </a:xfrm>
                    <a:prstGeom prst="rect">
                      <a:avLst/>
                    </a:prstGeom>
                    <a:noFill/>
                    <a:ln w="9525">
                      <a:noFill/>
                      <a:headEnd/>
                      <a:tailEnd/>
                    </a:ln>
                  </pic:spPr>
                </pic:pic>
              </a:graphicData>
            </a:graphic>
          </wp:inline>
        </w:drawing>
      </w:r>
    </w:p>
    <w:p>
      <w:pPr>
        <w:pStyle w:val="Textoindependiente"/>
      </w:pPr>
      <w:r>
        <w:rPr>
          <w:b/>
          <w:bCs/>
        </w:rPr>
        <w:t xml:space="preserve">msantacruzs@cientifica.edu.pe</w:t>
      </w:r>
    </w:p>
    <w:p>
      <w:pPr>
        <w:pStyle w:val="Textoindependiente"/>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Textoindependiente"/>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Textoindependiente"/>
      </w:pPr>
      <w:r>
        <w:rPr>
          <w:b/>
          <w:bCs/>
        </w:rPr>
        <w:t xml:space="preserve">Áreas de trabajo:</w:t>
      </w:r>
      <w:r>
        <w:t xml:space="preserve"> </w:t>
      </w:r>
      <w:r>
        <w:t xml:space="preserve">regulación, fiscalización ambiental, protección al consumidor, competencia, gestión pública y formación jurídica aplicada.</w:t>
      </w:r>
    </w:p>
    <w:bookmarkEnd w:id="30"/>
    <w:bookmarkEnd w:id="31"/>
    <w:bookmarkStart w:id="40" w:name="introducción"/>
    <w:p>
      <w:pPr>
        <w:pStyle w:val="Ttulo1"/>
      </w:pPr>
      <w:r>
        <w:t xml:space="preserve">Introducción</w:t>
      </w:r>
    </w:p>
    <w:p>
      <w:pPr>
        <w:pStyle w:val="FirstParagraph"/>
      </w:pPr>
      <w:r>
        <w:t xml:space="preserve">El curso</w:t>
      </w:r>
      <w:r>
        <w:t xml:space="preserve"> </w:t>
      </w:r>
      <w:r>
        <w:rPr>
          <w:b/>
          <w:bCs/>
        </w:rPr>
        <w:t xml:space="preserve">Legal Tech</w:t>
      </w:r>
      <w:r>
        <w:t xml:space="preserve"> </w:t>
      </w:r>
      <w:r>
        <w:t xml:space="preserve">parte de una idea simple: el derecho ya no se ejerce en un entorno puramente analógico. Hoy, buena parte de la actividad jurídica se desarrolla en contextos atravesados por plataformas digitales, automatización, datos, servicios en la nube, inteligencia artificial y nuevas formas de interacción económica y social. En consecuencia, comprender la relación entre derecho y tecnología ya no es una habilidad complementaria ni una curiosidad académica. Es una necesidad formativa para cualquier estudiante de Derecho que quiera entender con seriedad el presente de la profesión y prepararse para sus transformaciones futuras.</w:t>
      </w:r>
    </w:p>
    <w:p>
      <w:pPr>
        <w:pStyle w:val="Textoindependiente"/>
      </w:pPr>
      <w:r>
        <w:t xml:space="preserve">Este curso ha sido diseñado para ofrecer una aproximación clara, crítica y aplicada a ese escenario. Su propósito no es reemplazar la formación jurídica clásica, sino ampliarla. Se busca que el estudiante sea capaz de comprender cómo funcionan ciertas herramientas tecnológicas, identificar los problemas jurídicos que generan, evaluar sus riesgos y reconocer también su potencial para mejorar la práctica legal, la gestión de información, la producción documental, la toma de decisiones y el acceso a la justicia. En otras palabras, el curso invita a pensar como jurista en un mundo donde la tecnología ya forma parte del problema, pero también puede formar parte de la solución.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 idea clave para aprovechar el curso</w:t>
            </w:r>
          </w:p>
        </w:tc>
      </w:tr>
      <w:tr>
        <w:trPr>
          <w:cantSplit/>
        </w:trPr>
        <w:tc>
          <w:tcPr>
            <w:tcMar>
              <w:top w:w="108" w:type="dxa"/>
              <w:bottom w:w="108" w:type="dxa"/>
            </w:tcMar>
          </w:tcPr>
          <w:p>
            <w:pPr>
              <w:pStyle w:val="Textoindependiente"/>
            </w:pPr>
            <w:pPr>
              <w:spacing w:before="16" w:after="16"/>
            </w:pPr>
            <w:r>
              <w:t xml:space="preserve">No necesitas venir de un mundo técnico para destacar en</w:t>
            </w:r>
            <w:r>
              <w:t xml:space="preserve"> </w:t>
            </w:r>
            <w:r>
              <w:rPr>
                <w:b/>
                <w:bCs/>
              </w:rPr>
              <w:t xml:space="preserve">Legal Tech</w:t>
            </w:r>
            <w:r>
              <w:t xml:space="preserve">. Lo que sí necesitas es curiosidad, disposición para aprender y voluntad para experimentar. Este curso no te pide que dejes de pensar como abogado o abogada; te pide que amplíes esa manera de pensar para dialogar mejor con herramientas, procesos y entornos que ya están transformando el ejercicio profesional.</w:t>
            </w:r>
          </w:p>
          <w:p/>
        </w:tc>
      </w:tr>
    </w:tbl>
    <w:bookmarkStart w:id="38" w:name="cómo-se-trabaja-en-este-curso"/>
    <w:p>
      <w:pPr>
        <w:pStyle w:val="Ttulo2"/>
      </w:pPr>
      <w:r>
        <w:t xml:space="preserve">Cómo se trabaja en este curso</w:t>
      </w:r>
    </w:p>
    <w:p>
      <w:pPr>
        <w:pStyle w:val="FirstParagraph"/>
      </w:pPr>
      <w:r>
        <w:t xml:space="preserve">Este no es un curso para mirar tecnología desde la tribuna. En cada sesión deberías abrir</w:t>
      </w:r>
      <w:r>
        <w:t xml:space="preserve"> </w:t>
      </w:r>
      <w:r>
        <w:rPr>
          <w:b/>
          <w:bCs/>
        </w:rPr>
        <w:t xml:space="preserve">Visual Studio Code</w:t>
      </w:r>
      <w:r>
        <w:t xml:space="preserve"> </w:t>
      </w:r>
      <w:r>
        <w:t xml:space="preserve">o el editor de tu elección, modificar archivos, ejecutar algo, registrar cambios con</w:t>
      </w:r>
      <w:r>
        <w:t xml:space="preserve"> </w:t>
      </w:r>
      <w:r>
        <w:rPr>
          <w:b/>
          <w:bCs/>
        </w:rPr>
        <w:t xml:space="preserve">Git</w:t>
      </w:r>
      <w:r>
        <w:t xml:space="preserve"> </w:t>
      </w:r>
      <w:r>
        <w:t xml:space="preserve">y trabajar sobre un repositorio en</w:t>
      </w:r>
      <w:r>
        <w:t xml:space="preserve"> </w:t>
      </w:r>
      <w:r>
        <w:rPr>
          <w:b/>
          <w:bCs/>
        </w:rPr>
        <w:t xml:space="preserve">GitHub</w:t>
      </w:r>
      <w:r>
        <w:t xml:space="preserve">. La lógica del curso es practicar para entender.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Cada sesión tiene un componente práctico y un</w:t>
            </w:r>
            <w:r>
              <w:t xml:space="preserve"> </w:t>
            </w:r>
            <w:r>
              <w:rPr>
                <w:b/>
                <w:bCs/>
              </w:rPr>
              <w:t xml:space="preserve">PSET</w:t>
            </w:r>
            <w:r>
              <w:t xml:space="preserve"> </w:t>
            </w:r>
            <w:r>
              <w:t xml:space="preserve">asociado. Leer ayuda, pero aquí se aprende sobre todo escribiendo pseudocódigo, scripts, diagramas, páginas, consultas o bitácoras de evaluación.</w:t>
            </w:r>
          </w:p>
          <w:p/>
        </w:tc>
      </w:tr>
    </w:tbl>
    <w:p>
      <w:pPr>
        <w:pStyle w:val="Textoindependiente"/>
      </w:pPr>
      <w:r>
        <w:t xml:space="preserve">A lo largo del semestre, el curso recorre cuatro grandes ejes. En el primero, aborda el pensamiento computacional para juristas y la representación lógica de instrucciones y problemas legales. En el segundo, se concentra en la automatización y el trabajo con datos jurídicos, incluyendo organización de información, visualización y generación de documentos. En el tercero, introduce la arquitectura básica de la web, el uso de herramientas en la nube y los principales desafíos de seguridad relevantes para el sector legal. Finalmente, en el cuarto módulo, examina la inteligencia artificial aplicada al derecho, sus capacidades, límites, riesgos y exigencias de uso responsable.</w:t>
      </w:r>
    </w:p>
    <w:bookmarkEnd w:id="38"/>
    <w:bookmarkStart w:id="39" w:name="qué-papel-cumple-este-libro-web"/>
    <w:p>
      <w:pPr>
        <w:pStyle w:val="Ttulo2"/>
      </w:pPr>
      <w:r>
        <w:t xml:space="preserve">Qué papel cumple este libro web</w:t>
      </w:r>
    </w:p>
    <w:p>
      <w:pPr>
        <w:pStyle w:val="FirstParagraph"/>
      </w:pPr>
      <w:r>
        <w:t xml:space="preserve">Este manual no está pensado solo para ser leído, sino para ser usado. Encontrarás:</w:t>
      </w:r>
    </w:p>
    <w:p>
      <w:pPr>
        <w:pStyle w:val="Compact"/>
        <w:numPr>
          <w:ilvl w:val="0"/>
          <w:numId w:val="1001"/>
        </w:numPr>
      </w:pPr>
      <w:r>
        <w:t xml:space="preserve">presentaciones de módulo con una ruta clara de trabajo;</w:t>
      </w:r>
    </w:p>
    <w:p>
      <w:pPr>
        <w:pStyle w:val="Compact"/>
        <w:numPr>
          <w:ilvl w:val="0"/>
          <w:numId w:val="1001"/>
        </w:numPr>
      </w:pPr>
      <w:r>
        <w:t xml:space="preserve">capítulos de sesión con explicaciones, práctica en editor y PSET;</w:t>
      </w:r>
    </w:p>
    <w:p>
      <w:pPr>
        <w:pStyle w:val="Compact"/>
        <w:numPr>
          <w:ilvl w:val="0"/>
          <w:numId w:val="1001"/>
        </w:numPr>
      </w:pPr>
      <w:r>
        <w:t xml:space="preserve">evaluaciones explicadas con entregables concretos;</w:t>
      </w:r>
    </w:p>
    <w:p>
      <w:pPr>
        <w:pStyle w:val="Compact"/>
        <w:numPr>
          <w:ilvl w:val="0"/>
          <w:numId w:val="1001"/>
        </w:numPr>
      </w:pPr>
      <w:r>
        <w:t xml:space="preserve">una parte de</w:t>
      </w:r>
      <w:r>
        <w:t xml:space="preserve"> </w:t>
      </w:r>
      <w:r>
        <w:rPr>
          <w:b/>
          <w:bCs/>
        </w:rPr>
        <w:t xml:space="preserve">Tutoriales</w:t>
      </w:r>
      <w:r>
        <w:t xml:space="preserve"> </w:t>
      </w:r>
      <w:r>
        <w:t xml:space="preserve">para repasar instalaciones, Git, GitHub, GitHub Pages y otros temas instrumentales fuera de clase.</w:t>
      </w:r>
    </w:p>
    <w:p>
      <w:pPr>
        <w:pStyle w:val="FirstParagraph"/>
      </w:pPr>
      <w:r>
        <w:t xml:space="preserve">La importancia del curso no reside únicamente en aprender nuevas herramientas. Su verdadero valor está en desarrollar criterio. En un contexto en el que abundan discursos entusiastas, promesas exageradas y soluciones tecnológicas presentadas como si resolvieran por sí mismas problemas complejos, el profesional del derecho necesita algo más que fascinación por la novedad. Necesita capacidad de análisis, sensibilidad ética, comprensión regulatoria y juicio práctico. Necesita saber cuándo una herramienta aporta valor, cuándo introduce riesgos y cuándo simplemente añade ruido con apariencia de innovación.</w:t>
      </w:r>
    </w:p>
    <w:p>
      <w:pPr>
        <w:pStyle w:val="Textoindependiente"/>
      </w:pPr>
      <w:r>
        <w:t xml:space="preserve">Este manual ha sido concebido para acompañarte en ese proceso de aprendizaje. No está pensado solo para ser leído, sino para ser usado. Revísalo antes y después de cada sesión, vuelve sobre los conceptos principales, desarrolla los ejercicios y procura vincular cada tema con situaciones reales del trabajo jurídico. Mientras más conectes los contenidos con problemas concretos, más sentido tendrá lo aprendido.</w:t>
      </w:r>
    </w:p>
    <w:p>
      <w:pPr>
        <w:pStyle w:val="Textoindependiente"/>
      </w:pPr>
      <w:r>
        <w:t xml:space="preserve">Aprovechar bien este curso supone asumir una actitud activa. Probar, preguntar, ensayar, equivocarse, corregir y volver a intentar. Esa es parte normal del aprendizaje cuando se ingresa a un campo nuevo. Si trabajas el curso con apertura, rigor y constancia, no solo entenderás mejor cómo interactúan el derecho y la tecnología. También estarás mejor preparado para participar de esa transformación con inteligencia, responsabilidad y una visión profesional mucho más sólida.</w:t>
      </w:r>
    </w:p>
    <w:bookmarkEnd w:id="39"/>
    <w:bookmarkEnd w:id="40"/>
    <w:bookmarkStart w:id="54" w:name="X2b10536ee1d79d7750b9449d096dbf31837e1e0"/>
    <w:p>
      <w:pPr>
        <w:pStyle w:val="Ttulo1"/>
      </w:pPr>
      <w:r>
        <w:t xml:space="preserve">I. Pensamiento computacional para juristas</w:t>
      </w:r>
    </w:p>
    <w:bookmarkStart w:id="43" w:name="por-qué-importa-este-módulo"/>
    <w:p>
      <w:pPr>
        <w:pStyle w:val="Ttulo2"/>
      </w:pPr>
      <w:r>
        <w:t xml:space="preserve">¿Por qué importa este módulo?</w:t>
      </w:r>
    </w:p>
    <w:p>
      <w:pPr>
        <w:pStyle w:val="FirstParagraph"/>
      </w:pPr>
      <w:r>
        <w:t xml:space="preserve">El primer módulo cumple una función decisiva: construir el puente entre la formación jurídica tradicional y la lógica con la que operan las tecnologías digitales. Antes de hablar de automatización, datos, páginas web o inteligencia artificial, necesitamos entender cómo se representa la información, cómo se formulan instrucciones y cómo se traduce un problema jurídico en pasos verificables.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Una computadora no interpreta el derecho como lo hace un abogado. Ejecuta instrucciones. Por eso, el primer aprendizaje relevante para un jurista es aprender a estructurar problemas, reglas y decisiones con claridad.</w:t>
            </w:r>
          </w:p>
          <w:p/>
        </w:tc>
      </w:tr>
    </w:tbl>
    <w:bookmarkEnd w:id="43"/>
    <w:bookmarkStart w:id="44" w:name="qué-aprenderás"/>
    <w:p>
      <w:pPr>
        <w:pStyle w:val="Ttulo2"/>
      </w:pPr>
      <w:r>
        <w:t xml:space="preserve">Qué aprenderás</w:t>
      </w:r>
    </w:p>
    <w:p>
      <w:pPr>
        <w:pStyle w:val="FirstParagraph"/>
      </w:pPr>
      <w:r>
        <w:t xml:space="preserve">En este módulo trabajarás cuatro piezas de una misma cadena:</w:t>
      </w:r>
    </w:p>
    <w:p>
      <w:pPr>
        <w:pStyle w:val="Compact"/>
        <w:numPr>
          <w:ilvl w:val="0"/>
          <w:numId w:val="1002"/>
        </w:numPr>
      </w:pPr>
      <w:r>
        <w:t xml:space="preserve">representación básica de información y lógica computacional;</w:t>
      </w:r>
    </w:p>
    <w:p>
      <w:pPr>
        <w:pStyle w:val="Compact"/>
        <w:numPr>
          <w:ilvl w:val="0"/>
          <w:numId w:val="1002"/>
        </w:numPr>
      </w:pPr>
      <w:r>
        <w:t xml:space="preserve">pseudocódigo y descomposición de problemas;</w:t>
      </w:r>
    </w:p>
    <w:p>
      <w:pPr>
        <w:pStyle w:val="Compact"/>
        <w:numPr>
          <w:ilvl w:val="0"/>
          <w:numId w:val="1002"/>
        </w:numPr>
      </w:pPr>
      <w:r>
        <w:t xml:space="preserve">fundamentos de Python aplicados al derecho;</w:t>
      </w:r>
    </w:p>
    <w:p>
      <w:pPr>
        <w:pStyle w:val="Compact"/>
        <w:numPr>
          <w:ilvl w:val="0"/>
          <w:numId w:val="1002"/>
        </w:numPr>
      </w:pPr>
      <w:r>
        <w:t xml:space="preserve">ejercicios jurídicos cada vez más complejos con reglas, datos y documentos.</w:t>
      </w:r>
    </w:p>
    <w:bookmarkEnd w:id="44"/>
    <w:bookmarkStart w:id="47" w:name="cómo-se-trabaja-en-este-módulo"/>
    <w:p>
      <w:pPr>
        <w:pStyle w:val="Ttulo2"/>
      </w:pPr>
      <w:r>
        <w:t xml:space="preserve">Cómo se trabaja en este módulo</w:t>
      </w:r>
    </w:p>
    <w:p>
      <w:pPr>
        <w:pStyle w:val="FirstParagraph"/>
      </w:pPr>
      <w:r>
        <w:t xml:space="preserve">Este módulo se aprovecha mejor si combinas curiosidad, paciencia y práctica. En cada sesión deberías abrir tu editor, modificar archivos, ejecutar código, registrar cambios con Git y avanzar sobre un repositorio en GitHub.</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conviene trabajar</w:t>
            </w:r>
          </w:p>
        </w:tc>
      </w:tr>
      <w:tr>
        <w:trPr>
          <w:cantSplit/>
        </w:trPr>
        <w:tc>
          <w:tcPr>
            <w:tcMar>
              <w:top w:w="108" w:type="dxa"/>
              <w:bottom w:w="108" w:type="dxa"/>
            </w:tcMar>
          </w:tcPr>
          <w:p>
            <w:pPr>
              <w:pStyle w:val="Compact"/>
              <w:numPr>
                <w:ilvl w:val="0"/>
                <w:numId w:val="1003"/>
              </w:numPr>
            </w:pPr>
            <w:r>
              <w:t xml:space="preserve">describe primero el problema en lenguaje natural;</w:t>
            </w:r>
          </w:p>
          <w:p>
            <w:pPr>
              <w:pStyle w:val="Compact"/>
              <w:numPr>
                <w:ilvl w:val="0"/>
                <w:numId w:val="1003"/>
              </w:numPr>
            </w:pPr>
            <w:r>
              <w:t xml:space="preserve">tradúcelo luego a pasos claros;</w:t>
            </w:r>
          </w:p>
          <w:p>
            <w:pPr>
              <w:pStyle w:val="Compact"/>
              <w:numPr>
                <w:ilvl w:val="0"/>
                <w:numId w:val="1003"/>
              </w:numPr>
            </w:pPr>
            <w:r>
              <w:t xml:space="preserve">implementa una versión simple antes de sofisticarla;</w:t>
            </w:r>
          </w:p>
          <w:p>
            <w:pPr>
              <w:pStyle w:val="Compact"/>
              <w:numPr>
                <w:ilvl w:val="0"/>
                <w:numId w:val="1003"/>
              </w:numPr>
            </w:pPr>
            <w:r>
              <w:t xml:space="preserve">registra tus cambios con commits breves y útiles;</w:t>
            </w:r>
          </w:p>
          <w:p>
            <w:pPr>
              <w:pStyle w:val="Compact"/>
              <w:numPr>
                <w:ilvl w:val="0"/>
                <w:numId w:val="1003"/>
              </w:numPr>
            </w:pPr>
            <w:r>
              <w:t xml:space="preserve">usa el PSET para consolidar lo visto en clase.</w:t>
            </w:r>
          </w:p>
          <w:p/>
        </w:tc>
      </w:tr>
    </w:tbl>
    <w:bookmarkEnd w:id="47"/>
    <w:bookmarkStart w:id="48" w:name="tabla-de-contenidos-del-módulo"/>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1</w:t>
            </w:r>
          </w:p>
        </w:tc>
        <w:tc>
          <w:tcPr/>
          <w:p>
            <w:pPr>
              <w:pStyle w:val="Compact"/>
            </w:pPr>
            <w:r>
              <w:t xml:space="preserve">Del bit al pseudocódigo</w:t>
            </w:r>
          </w:p>
        </w:tc>
        <w:tc>
          <w:tcPr/>
          <w:p>
            <w:pPr>
              <w:pStyle w:val="Compact"/>
            </w:pPr>
            <w:r>
              <w:t xml:space="preserve">Markdown, editor, Git</w:t>
            </w:r>
          </w:p>
        </w:tc>
        <w:tc>
          <w:tcPr/>
          <w:p>
            <w:pPr>
              <w:pStyle w:val="Compact"/>
            </w:pPr>
            <w:r>
              <w:t xml:space="preserve">representar reglas y decisiones</w:t>
            </w:r>
          </w:p>
        </w:tc>
        <w:tc>
          <w:tcPr/>
          <w:p>
            <w:pPr>
              <w:pStyle w:val="Compact"/>
            </w:pPr>
            <w:r>
              <w:t xml:space="preserve">traducir reglas jurídicas a pasos</w:t>
            </w:r>
          </w:p>
        </w:tc>
      </w:tr>
      <w:tr>
        <w:tc>
          <w:tcPr/>
          <w:p>
            <w:pPr>
              <w:pStyle w:val="Compact"/>
            </w:pPr>
            <w:r>
              <w:t xml:space="preserve">2</w:t>
            </w:r>
          </w:p>
        </w:tc>
        <w:tc>
          <w:tcPr/>
          <w:p>
            <w:pPr>
              <w:pStyle w:val="Compact"/>
            </w:pPr>
            <w:r>
              <w:t xml:space="preserve">Primeros pasos con Python</w:t>
            </w:r>
          </w:p>
        </w:tc>
        <w:tc>
          <w:tcPr/>
          <w:p>
            <w:pPr>
              <w:pStyle w:val="Compact"/>
            </w:pPr>
            <w:r>
              <w:t xml:space="preserve">Python, terminal, VS Code</w:t>
            </w:r>
          </w:p>
        </w:tc>
        <w:tc>
          <w:tcPr/>
          <w:p>
            <w:pPr>
              <w:pStyle w:val="Compact"/>
            </w:pPr>
            <w:r>
              <w:t xml:space="preserve">ejecutar y modificar scripts básicos</w:t>
            </w:r>
          </w:p>
        </w:tc>
        <w:tc>
          <w:tcPr/>
          <w:p>
            <w:pPr>
              <w:pStyle w:val="Compact"/>
            </w:pPr>
            <w:r>
              <w:t xml:space="preserve">lógica jurídica simple en Python</w:t>
            </w:r>
          </w:p>
        </w:tc>
      </w:tr>
      <w:tr>
        <w:tc>
          <w:tcPr/>
          <w:p>
            <w:pPr>
              <w:pStyle w:val="Compact"/>
            </w:pPr>
            <w:r>
              <w:t xml:space="preserve">3</w:t>
            </w:r>
          </w:p>
        </w:tc>
        <w:tc>
          <w:tcPr/>
          <w:p>
            <w:pPr>
              <w:pStyle w:val="Compact"/>
            </w:pPr>
            <w:r>
              <w:t xml:space="preserve">Decisiones jurídicas y automatización básica</w:t>
            </w:r>
          </w:p>
        </w:tc>
        <w:tc>
          <w:tcPr/>
          <w:p>
            <w:pPr>
              <w:pStyle w:val="Compact"/>
            </w:pPr>
            <w:r>
              <w:t xml:space="preserve">Python, funciones, condicionales</w:t>
            </w:r>
          </w:p>
        </w:tc>
        <w:tc>
          <w:tcPr/>
          <w:p>
            <w:pPr>
              <w:pStyle w:val="Compact"/>
            </w:pPr>
            <w:r>
              <w:t xml:space="preserve">modelar elegibilidad y validaciones</w:t>
            </w:r>
          </w:p>
        </w:tc>
        <w:tc>
          <w:tcPr/>
          <w:p>
            <w:pPr>
              <w:pStyle w:val="Compact"/>
            </w:pPr>
            <w:r>
              <w:t xml:space="preserve">resolver un problema con múltiples condiciones</w:t>
            </w:r>
          </w:p>
        </w:tc>
      </w:tr>
      <w:tr>
        <w:tc>
          <w:tcPr/>
          <w:p>
            <w:pPr>
              <w:pStyle w:val="Compact"/>
            </w:pPr>
            <w:r>
              <w:t xml:space="preserve">4</w:t>
            </w:r>
          </w:p>
        </w:tc>
        <w:tc>
          <w:tcPr/>
          <w:p>
            <w:pPr>
              <w:pStyle w:val="Compact"/>
            </w:pPr>
            <w:r>
              <w:t xml:space="preserve">Datos, documentos y flujos jurídicos</w:t>
            </w:r>
          </w:p>
        </w:tc>
        <w:tc>
          <w:tcPr/>
          <w:p>
            <w:pPr>
              <w:pStyle w:val="Compact"/>
            </w:pPr>
            <w:r>
              <w:t xml:space="preserve">Python, archivos, diccionarios, texto</w:t>
            </w:r>
          </w:p>
        </w:tc>
        <w:tc>
          <w:tcPr/>
          <w:p>
            <w:pPr>
              <w:pStyle w:val="Compact"/>
            </w:pPr>
            <w:r>
              <w:t xml:space="preserve">procesar información jurídica simple</w:t>
            </w:r>
          </w:p>
        </w:tc>
        <w:tc>
          <w:tcPr/>
          <w:p>
            <w:pPr>
              <w:pStyle w:val="Compact"/>
            </w:pPr>
            <w:r>
              <w:t xml:space="preserve">automatización básica con datos o plantillas</w:t>
            </w:r>
          </w:p>
        </w:tc>
      </w:tr>
    </w:tbl>
    <w:bookmarkEnd w:id="48"/>
    <w:bookmarkStart w:id="49" w:name="qué-debes-poder-hacer-al-terminar"/>
    <w:p>
      <w:pPr>
        <w:pStyle w:val="Ttulo2"/>
      </w:pPr>
      <w:r>
        <w:t xml:space="preserve">Qué debes poder hacer al terminar</w:t>
      </w:r>
    </w:p>
    <w:p>
      <w:pPr>
        <w:pStyle w:val="FirstParagraph"/>
      </w:pPr>
      <w:r>
        <w:t xml:space="preserve">Al finalizar el módulo, deberías poder:</w:t>
      </w:r>
    </w:p>
    <w:p>
      <w:pPr>
        <w:pStyle w:val="Compact"/>
        <w:numPr>
          <w:ilvl w:val="0"/>
          <w:numId w:val="1004"/>
        </w:numPr>
      </w:pPr>
      <w:r>
        <w:t xml:space="preserve">explicar cómo una computadora representa información;</w:t>
      </w:r>
    </w:p>
    <w:p>
      <w:pPr>
        <w:pStyle w:val="Compact"/>
        <w:numPr>
          <w:ilvl w:val="0"/>
          <w:numId w:val="1004"/>
        </w:numPr>
      </w:pPr>
      <w:r>
        <w:t xml:space="preserve">expresar procedimientos jurídicos como pasos verificables;</w:t>
      </w:r>
    </w:p>
    <w:p>
      <w:pPr>
        <w:pStyle w:val="Compact"/>
        <w:numPr>
          <w:ilvl w:val="0"/>
          <w:numId w:val="1004"/>
        </w:numPr>
      </w:pPr>
      <w:r>
        <w:t xml:space="preserve">escribir scripts básicos en Python para resolver tareas jurídicas sencillas;</w:t>
      </w:r>
    </w:p>
    <w:p>
      <w:pPr>
        <w:pStyle w:val="Compact"/>
        <w:numPr>
          <w:ilvl w:val="0"/>
          <w:numId w:val="1004"/>
        </w:numPr>
      </w:pPr>
      <w:r>
        <w:t xml:space="preserve">combinar reglas, datos y salidas para automatizar pequeños problemas de práctica legal.</w:t>
      </w:r>
    </w:p>
    <w:bookmarkEnd w:id="49"/>
    <w:bookmarkStart w:id="53" w:name="cómo-se-conecta-con-el-resto-del-curso"/>
    <w:p>
      <w:pPr>
        <w:pStyle w:val="Ttulo2"/>
      </w:pPr>
      <w:r>
        <w:t xml:space="preserve">Cómo se conecta con el resto del curso</w:t>
      </w:r>
    </w:p>
    <w:p>
      <w:pPr>
        <w:pStyle w:val="FirstParagraph"/>
      </w:pPr>
      <w:r>
        <w:t xml:space="preserve">Este módulo es la base del resto del manual. Sin estas herramientas iniciales, sería mucho más difícil avanzar hacia procesos, datos, web, seguridad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Si la lógica de un proceso legal está mal pensada, digitalizarlo solo hace que el error viaje más rápido. La tecnología no sustituye el juicio jurídico; exige más precisión.</w:t>
            </w:r>
          </w:p>
          <w:p/>
        </w:tc>
      </w:tr>
    </w:tbl>
    <w:bookmarkEnd w:id="53"/>
    <w:bookmarkEnd w:id="54"/>
    <w:bookmarkStart w:id="85" w:name="del-bit-al-pseudocódigo"/>
    <w:p>
      <w:pPr>
        <w:pStyle w:val="Ttulo1"/>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Start w:id="58" w:name="por-qué-empezar-por-aquí"/>
    <w:p>
      <w:pPr>
        <w:pStyle w:val="Ttulo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w:t>
      </w:r>
    </w:p>
    <w:p>
      <w:pPr>
        <w:pStyle w:val="Textoindependiente"/>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Para un jurista, esa capacidad tiene un valor inmediato: obliga a distinguir mejor entre condiciones, excepciones, entradas, salidas y criterios de decisión.</w:t>
      </w:r>
    </w:p>
    <w:p>
      <w:pPr>
        <w:pStyle w:val="Textoindependiente"/>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58"/>
    <w:bookmarkStart w:id="61" w:name="X6158b490c05f67bcf83fd6ceb2c09ac1812621a"/>
    <w:p>
      <w:pPr>
        <w:pStyle w:val="Ttulo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61"/>
    <w:bookmarkStart w:id="62" w:name="bit-byte-y-sistema-binario"/>
    <w:p>
      <w:pPr>
        <w:pStyle w:val="Ttulo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Textoindependiente"/>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62"/>
    <w:bookmarkStart w:id="65" w:name="X5b7b5ad655e14fd500e71a59c602416a4dd743e"/>
    <w:p>
      <w:pPr>
        <w:pStyle w:val="Ttulo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Textoindependiente"/>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ipervnculo"/>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63" w:name="ejemplo-1.-de-binario-a-decimal"/>
    <w:p>
      <w:pPr>
        <w:pStyle w:val="Ttulo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63"/>
    <w:bookmarkStart w:id="64" w:name="ejemplo-2.-de-decimal-a-binario"/>
    <w:p>
      <w:pPr>
        <w:pStyle w:val="Ttulo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64"/>
    <w:bookmarkEnd w:id="65"/>
    <w:bookmarkStart w:id="67" w:name="el-texto-también-necesita-codificación"/>
    <w:p>
      <w:pPr>
        <w:pStyle w:val="Ttulo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ipervnculo"/>
          </w:rPr>
          <w:t xml:space="preserve">MDN Web Docs 2026c</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ipervnculo"/>
          </w:rPr>
          <w:t xml:space="preserve">MDN Web Docs 2026c</w:t>
        </w:r>
      </w:hyperlink>
      <w:r>
        <w:t xml:space="preserve">)</w:t>
      </w:r>
      <w:r>
        <w:t xml:space="preserve">.</w:t>
      </w:r>
    </w:p>
    <w:p>
      <w:pPr>
        <w:pStyle w:val="Textoindependiente"/>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ipervnculo"/>
          </w:rPr>
          <w:t xml:space="preserve">MDN Web Docs 2026c</w:t>
        </w:r>
      </w:hyperlink>
      <w:r>
        <w:t xml:space="preserve">)</w:t>
      </w:r>
      <w:r>
        <w:t xml:space="preserve">.</w:t>
      </w:r>
    </w:p>
    <w:bookmarkStart w:id="66" w:name="ejemplo-3.-del-carácter-al-número"/>
    <w:p>
      <w:pPr>
        <w:pStyle w:val="Ttulo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66"/>
    <w:bookmarkEnd w:id="67"/>
    <w:bookmarkStart w:id="70" w:name="no-toda-información-se-manipula-igual"/>
    <w:p>
      <w:pPr>
        <w:pStyle w:val="Ttulo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ipervnculo"/>
          </w:rPr>
          <w:t xml:space="preserve">Python Documentation 2026a</w:t>
        </w:r>
      </w:hyperlink>
      <w:r>
        <w:t xml:space="preserve">)</w:t>
      </w:r>
      <w:r>
        <w:t xml:space="preserve">.</w:t>
      </w:r>
    </w:p>
    <w:p>
      <w:pPr>
        <w:pStyle w:val="Textoindependiente"/>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ipervnculo"/>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05"/>
              </w:numPr>
            </w:pPr>
            <w:r>
              <w:rPr>
                <w:b/>
                <w:bCs/>
              </w:rPr>
              <w:t xml:space="preserve">bit</w:t>
            </w:r>
            <w:r>
              <w:t xml:space="preserve">: unidad mínima de información binaria.</w:t>
            </w:r>
          </w:p>
          <w:p>
            <w:pPr>
              <w:pStyle w:val="Compact"/>
              <w:numPr>
                <w:ilvl w:val="0"/>
                <w:numId w:val="1005"/>
              </w:numPr>
            </w:pPr>
            <w:r>
              <w:rPr>
                <w:b/>
                <w:bCs/>
              </w:rPr>
              <w:t xml:space="preserve">byte</w:t>
            </w:r>
            <w:r>
              <w:t xml:space="preserve">: grupo de 8 bits.</w:t>
            </w:r>
          </w:p>
          <w:p>
            <w:pPr>
              <w:pStyle w:val="Compact"/>
              <w:numPr>
                <w:ilvl w:val="0"/>
                <w:numId w:val="1005"/>
              </w:numPr>
            </w:pPr>
            <w:r>
              <w:rPr>
                <w:b/>
                <w:bCs/>
              </w:rPr>
              <w:t xml:space="preserve">codificación</w:t>
            </w:r>
            <w:r>
              <w:t xml:space="preserve">: convención que asigna números a caracteres.</w:t>
            </w:r>
          </w:p>
          <w:p>
            <w:pPr>
              <w:pStyle w:val="Compact"/>
              <w:numPr>
                <w:ilvl w:val="0"/>
                <w:numId w:val="1005"/>
              </w:numPr>
            </w:pPr>
            <w:r>
              <w:rPr>
                <w:b/>
                <w:bCs/>
              </w:rPr>
              <w:t xml:space="preserve">tipo de dato</w:t>
            </w:r>
            <w:r>
              <w:t xml:space="preserve">: categoría que define cómo puede manipularse cierta información.</w:t>
            </w:r>
          </w:p>
          <w:p>
            <w:pPr>
              <w:pStyle w:val="Compact"/>
              <w:numPr>
                <w:ilvl w:val="0"/>
                <w:numId w:val="1005"/>
              </w:numPr>
            </w:pPr>
            <w:r>
              <w:rPr>
                <w:b/>
                <w:bCs/>
              </w:rPr>
              <w:t xml:space="preserve">valor booleano</w:t>
            </w:r>
            <w:r>
              <w:t xml:space="preserve">: expresión lógica de verdadero o falso.</w:t>
            </w:r>
          </w:p>
          <w:p/>
        </w:tc>
      </w:tr>
    </w:tbl>
    <w:bookmarkEnd w:id="70"/>
    <w:bookmarkStart w:id="71" w:name="del-binario-al-pseudocódigo"/>
    <w:p>
      <w:pPr>
        <w:pStyle w:val="Ttulo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Textoindependiente"/>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w:t>
      </w:r>
    </w:p>
    <w:bookmarkEnd w:id="71"/>
    <w:bookmarkStart w:id="73" w:name="pseudocódigo-pensar-antes-de-programar"/>
    <w:p>
      <w:pPr>
        <w:pStyle w:val="Ttulo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72" w:name="ejemplo-4.-regla-jurídica-simple"/>
    <w:p>
      <w:pPr>
        <w:pStyle w:val="Ttulo3"/>
      </w:pPr>
      <w:r>
        <w:t xml:space="preserve">Ejemplo 4. Regla jurídica simple</w:t>
      </w:r>
    </w:p>
    <w:p>
      <w:pPr>
        <w:pStyle w:val="FirstParagraph"/>
      </w:pPr>
      <w:r>
        <w:t xml:space="preserve">Supón esta regla:</w:t>
      </w:r>
    </w:p>
    <w:p>
      <w:pPr>
        <w:pStyle w:val="Textodebloque"/>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ipervnculo"/>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72"/>
    <w:bookmarkEnd w:id="73"/>
    <w:bookmarkStart w:id="77" w:name="X21a5360947ef9d13e68e994ffb590121f4a4c71"/>
    <w:p>
      <w:pPr>
        <w:pStyle w:val="Ttulo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06"/>
        </w:numPr>
      </w:pPr>
      <w:r>
        <w:t xml:space="preserve">convertir números entre binario y decimal;</w:t>
      </w:r>
    </w:p>
    <w:p>
      <w:pPr>
        <w:pStyle w:val="Compact"/>
        <w:numPr>
          <w:ilvl w:val="0"/>
          <w:numId w:val="1006"/>
        </w:numPr>
      </w:pPr>
      <w:r>
        <w:t xml:space="preserve">reconocer que el texto también necesita una codificación estable;</w:t>
      </w:r>
    </w:p>
    <w:p>
      <w:pPr>
        <w:pStyle w:val="Compact"/>
        <w:numPr>
          <w:ilvl w:val="0"/>
          <w:numId w:val="1006"/>
        </w:numPr>
      </w:pPr>
      <w:r>
        <w:t xml:space="preserve">distinguir tipos de información;</w:t>
      </w:r>
    </w:p>
    <w:p>
      <w:pPr>
        <w:pStyle w:val="Compact"/>
        <w:numPr>
          <w:ilvl w:val="0"/>
          <w:numId w:val="1006"/>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74" w:name="práctica-1.-conversión-numérica"/>
    <w:p>
      <w:pPr>
        <w:pStyle w:val="Ttulo3"/>
      </w:pPr>
      <w:r>
        <w:t xml:space="preserve">Práctica 1. Conversión numérica</w:t>
      </w:r>
    </w:p>
    <w:p>
      <w:pPr>
        <w:pStyle w:val="Compact"/>
        <w:numPr>
          <w:ilvl w:val="0"/>
          <w:numId w:val="1007"/>
        </w:numPr>
      </w:pPr>
      <w:r>
        <w:t xml:space="preserve">Convierte</w:t>
      </w:r>
      <w:r>
        <w:t xml:space="preserve"> </w:t>
      </w:r>
      <w:r>
        <w:rPr>
          <w:rStyle w:val="VerbatimChar"/>
        </w:rPr>
        <w:t xml:space="preserve">1110</w:t>
      </w:r>
      <w:r>
        <w:t xml:space="preserve"> </w:t>
      </w:r>
      <w:r>
        <w:t xml:space="preserve">a decimal.</w:t>
      </w:r>
    </w:p>
    <w:p>
      <w:pPr>
        <w:pStyle w:val="Compact"/>
        <w:numPr>
          <w:ilvl w:val="0"/>
          <w:numId w:val="1007"/>
        </w:numPr>
      </w:pPr>
      <w:r>
        <w:t xml:space="preserve">Convierte</w:t>
      </w:r>
      <w:r>
        <w:t xml:space="preserve"> </w:t>
      </w:r>
      <w:r>
        <w:rPr>
          <w:rStyle w:val="VerbatimChar"/>
        </w:rPr>
        <w:t xml:space="preserve">10011</w:t>
      </w:r>
      <w:r>
        <w:t xml:space="preserve"> </w:t>
      </w:r>
      <w:r>
        <w:t xml:space="preserve">a decimal.</w:t>
      </w:r>
    </w:p>
    <w:p>
      <w:pPr>
        <w:pStyle w:val="Compact"/>
        <w:numPr>
          <w:ilvl w:val="0"/>
          <w:numId w:val="1007"/>
        </w:numPr>
      </w:pPr>
      <w:r>
        <w:t xml:space="preserve">Convierte</w:t>
      </w:r>
      <w:r>
        <w:t xml:space="preserve"> </w:t>
      </w:r>
      <w:r>
        <w:rPr>
          <w:rStyle w:val="VerbatimChar"/>
        </w:rPr>
        <w:t xml:space="preserve">6</w:t>
      </w:r>
      <w:r>
        <w:t xml:space="preserve"> </w:t>
      </w:r>
      <w:r>
        <w:t xml:space="preserve">a binario.</w:t>
      </w:r>
    </w:p>
    <w:p>
      <w:pPr>
        <w:pStyle w:val="Compact"/>
        <w:numPr>
          <w:ilvl w:val="0"/>
          <w:numId w:val="1007"/>
        </w:numPr>
      </w:pPr>
      <w:r>
        <w:t xml:space="preserve">Convierte</w:t>
      </w:r>
      <w:r>
        <w:t xml:space="preserve"> </w:t>
      </w:r>
      <w:r>
        <w:rPr>
          <w:rStyle w:val="VerbatimChar"/>
        </w:rPr>
        <w:t xml:space="preserve">14</w:t>
      </w:r>
      <w:r>
        <w:t xml:space="preserve"> </w:t>
      </w:r>
      <w:r>
        <w:t xml:space="preserve">a binario.</w:t>
      </w:r>
    </w:p>
    <w:bookmarkEnd w:id="74"/>
    <w:bookmarkStart w:id="75" w:name="práctica-2.-texto-y-representación"/>
    <w:p>
      <w:pPr>
        <w:pStyle w:val="Ttulo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08"/>
        </w:numPr>
      </w:pPr>
      <w:r>
        <w:t xml:space="preserve">Representa</w:t>
      </w:r>
      <w:r>
        <w:t xml:space="preserve"> </w:t>
      </w:r>
      <w:r>
        <w:rPr>
          <w:rStyle w:val="VerbatimChar"/>
        </w:rPr>
        <w:t xml:space="preserve">DADO</w:t>
      </w:r>
      <w:r>
        <w:t xml:space="preserve"> </w:t>
      </w:r>
      <w:r>
        <w:t xml:space="preserve">en decimal.</w:t>
      </w:r>
    </w:p>
    <w:p>
      <w:pPr>
        <w:pStyle w:val="Compact"/>
        <w:numPr>
          <w:ilvl w:val="0"/>
          <w:numId w:val="1008"/>
        </w:numPr>
      </w:pPr>
      <w:r>
        <w:t xml:space="preserve">Representa</w:t>
      </w:r>
      <w:r>
        <w:t xml:space="preserve"> </w:t>
      </w:r>
      <w:r>
        <w:rPr>
          <w:rStyle w:val="VerbatimChar"/>
        </w:rPr>
        <w:t xml:space="preserve">DADO</w:t>
      </w:r>
      <w:r>
        <w:t xml:space="preserve"> </w:t>
      </w:r>
      <w:r>
        <w:t xml:space="preserve">en binario.</w:t>
      </w:r>
    </w:p>
    <w:p>
      <w:pPr>
        <w:pStyle w:val="Compact"/>
        <w:numPr>
          <w:ilvl w:val="0"/>
          <w:numId w:val="1008"/>
        </w:numPr>
      </w:pPr>
      <w:r>
        <w:t xml:space="preserve">Explica brevemente por qué el texto digital necesita una convención compartida de codificación.</w:t>
      </w:r>
    </w:p>
    <w:bookmarkEnd w:id="75"/>
    <w:bookmarkStart w:id="76" w:name="práctica-3.-pseudocódigo-jurídico"/>
    <w:p>
      <w:pPr>
        <w:pStyle w:val="Ttulo3"/>
      </w:pPr>
      <w:r>
        <w:t xml:space="preserve">Práctica 3. Pseudocódigo jurídico</w:t>
      </w:r>
    </w:p>
    <w:p>
      <w:pPr>
        <w:pStyle w:val="FirstParagraph"/>
      </w:pPr>
      <w:r>
        <w:t xml:space="preserve">Traduce a pseudocódigo esta regla:</w:t>
      </w:r>
    </w:p>
    <w:p>
      <w:pPr>
        <w:pStyle w:val="Textodebloque"/>
      </w:pPr>
      <w:r>
        <w:t xml:space="preserve">Si un recurso fue presentado dentro del plazo y contiene firma, puede admitirse a trámite.</w:t>
      </w:r>
      <w:r>
        <w:br/>
      </w:r>
      <w:r>
        <w:t xml:space="preserve">Si falta la firma o el plazo venció, debe observarse o rechazarse según corresponda.</w:t>
      </w:r>
    </w:p>
    <w:bookmarkEnd w:id="76"/>
    <w:bookmarkEnd w:id="77"/>
    <w:bookmarkStart w:id="78" w:name="práctica-en-editor"/>
    <w:p>
      <w:pPr>
        <w:pStyle w:val="Ttulo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78"/>
    <w:bookmarkStart w:id="84" w:name="conclusiones-del-capítulo"/>
    <w:p>
      <w:pPr>
        <w:pStyle w:val="Ttulo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09"/>
              </w:numPr>
            </w:pPr>
            <w:r>
              <w:t xml:space="preserve">La tecnología digital funciona sobre representaciones formales, no sobre intuiciones difusas.</w:t>
            </w:r>
          </w:p>
          <w:p>
            <w:pPr>
              <w:pStyle w:val="Compact"/>
              <w:numPr>
                <w:ilvl w:val="0"/>
                <w:numId w:val="1009"/>
              </w:numPr>
            </w:pPr>
            <w:r>
              <w:t xml:space="preserve">El sistema binario importa menos como destreza memorística que como ejercicio de descomposición y estructura.</w:t>
            </w:r>
          </w:p>
          <w:p>
            <w:pPr>
              <w:pStyle w:val="Compact"/>
              <w:numPr>
                <w:ilvl w:val="0"/>
                <w:numId w:val="1009"/>
              </w:numPr>
            </w:pPr>
            <w:r>
              <w:t xml:space="preserve">El texto también requiere estándares de codificación para poder almacenarse y circular sin corrupción.</w:t>
            </w:r>
          </w:p>
          <w:p>
            <w:pPr>
              <w:pStyle w:val="Compact"/>
              <w:numPr>
                <w:ilvl w:val="0"/>
                <w:numId w:val="1009"/>
              </w:numPr>
            </w:pPr>
            <w:r>
              <w:t xml:space="preserve">Pensar computacionalmente no equivale solo a programar: equivale a ordenar problemas en partes, reglas y secuencias verificables.</w:t>
            </w:r>
          </w:p>
          <w:p>
            <w:pPr>
              <w:pStyle w:val="Compact"/>
              <w:numPr>
                <w:ilvl w:val="0"/>
                <w:numId w:val="1009"/>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bookmarkEnd w:id="84"/>
    <w:bookmarkEnd w:id="85"/>
    <w:bookmarkStart w:id="158" w:name="primeros-pasos-con-python"/>
    <w:p>
      <w:pPr>
        <w:pStyle w:val="Ttulo1"/>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Start w:id="88" w:name="qué-es-python-y-por-qué-es-útil"/>
    <w:p>
      <w:pPr>
        <w:pStyle w:val="Ttulo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ipervnculo"/>
          </w:rPr>
          <w:t xml:space="preserve">Raschka et al. 2020</w:t>
        </w:r>
      </w:hyperlink>
      <w:r>
        <w:t xml:space="preserve">)</w:t>
      </w:r>
      <w:r>
        <w:t xml:space="preserve">.</w:t>
      </w:r>
    </w:p>
    <w:p>
      <w:pPr>
        <w:pStyle w:val="Textoindependiente"/>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w:t>
      </w:r>
    </w:p>
    <w:p>
      <w:pPr>
        <w:pStyle w:val="Textoindependiente"/>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88"/>
    <w:bookmarkStart w:id="92" w:name="breve-historia-de-python"/>
    <w:p>
      <w:pPr>
        <w:pStyle w:val="Ttulo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ipervnculo"/>
          </w:rPr>
          <w:t xml:space="preserve">Python Documentation 2026c</w:t>
        </w:r>
      </w:hyperlink>
      <w:r>
        <w:t xml:space="preserve">)</w:t>
      </w:r>
      <w:r>
        <w:t xml:space="preserve">.</w:t>
      </w:r>
    </w:p>
    <w:p>
      <w:pPr>
        <w:pStyle w:val="Textoindependiente"/>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ipervnculo"/>
          </w:rPr>
          <w:t xml:space="preserve">Python Software Foundation 2026</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ipervnculo"/>
          </w:rPr>
          <w:t xml:space="preserve">Python Documentation 2026c</w:t>
        </w:r>
      </w:hyperlink>
      <w:r>
        <w:t xml:space="preserve">,</w:t>
      </w:r>
      <w:r>
        <w:t xml:space="preserve"> </w:t>
      </w:r>
      <w:hyperlink w:anchor="ref-whatsnew3132024">
        <w:r>
          <w:rPr>
            <w:rStyle w:val="Hipervnculo"/>
          </w:rPr>
          <w:t xml:space="preserve">2024</w:t>
        </w:r>
      </w:hyperlink>
      <w:r>
        <w:t xml:space="preserve">,</w:t>
      </w:r>
      <w:r>
        <w:t xml:space="preserve"> </w:t>
      </w:r>
      <w:hyperlink w:anchor="ref-whatsnew3142025">
        <w:r>
          <w:rPr>
            <w:rStyle w:val="Hipervnculo"/>
          </w:rPr>
          <w:t xml:space="preserve">2025</w:t>
        </w:r>
      </w:hyperlink>
      <w:r>
        <w:t xml:space="preserve">;</w:t>
      </w:r>
      <w:r>
        <w:t xml:space="preserve"> </w:t>
      </w:r>
      <w:hyperlink w:anchor="ref-pythonversions2026">
        <w:r>
          <w:rPr>
            <w:rStyle w:val="Hipervnculo"/>
          </w:rPr>
          <w:t xml:space="preserve">Python.org 2026</w:t>
        </w:r>
      </w:hyperlink>
      <w:r>
        <w:t xml:space="preserve">;</w:t>
      </w:r>
      <w:r>
        <w:t xml:space="preserve"> </w:t>
      </w:r>
      <w:hyperlink w:anchor="ref-psfabout2026">
        <w:r>
          <w:rPr>
            <w:rStyle w:val="Hipervnculo"/>
          </w:rPr>
          <w:t xml:space="preserve">Python Software Foundation 2026</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p>
    <w:p>
      <w:pPr>
        <w:pStyle w:val="Textoindependiente"/>
      </w:pPr>
      <w:r>
        <w:drawing>
          <wp:inline>
            <wp:extent cx="2633472" cy="20400264"/>
            <wp:effectExtent b="0" l="0" r="0" t="0"/>
            <wp:docPr descr="" title="" id="90" name="Picture"/>
            <a:graphic>
              <a:graphicData uri="http://schemas.openxmlformats.org/drawingml/2006/picture">
                <pic:pic>
                  <pic:nvPicPr>
                    <pic:cNvPr descr="parte-1-modulo-1/02-capitulo_files/figure-docx/mermaid-figure-1.png" id="91" name="Picture"/>
                    <pic:cNvPicPr>
                      <a:picLocks noChangeArrowheads="1" noChangeAspect="1"/>
                    </pic:cNvPicPr>
                  </pic:nvPicPr>
                  <pic:blipFill>
                    <a:blip r:embed="rId89"/>
                    <a:stretch>
                      <a:fillRect/>
                    </a:stretch>
                  </pic:blipFill>
                  <pic:spPr bwMode="auto">
                    <a:xfrm>
                      <a:off x="0" y="0"/>
                      <a:ext cx="2633472" cy="20400264"/>
                    </a:xfrm>
                    <a:prstGeom prst="rect">
                      <a:avLst/>
                    </a:prstGeom>
                    <a:noFill/>
                    <a:ln w="9525">
                      <a:noFill/>
                      <a:headEnd/>
                      <a:tailEnd/>
                    </a:ln>
                  </pic:spPr>
                </pic:pic>
              </a:graphicData>
            </a:graphic>
          </wp:inline>
        </w:drawing>
      </w:r>
    </w:p>
    <w:p>
      <w:pPr>
        <w:pStyle w:val="Textoindependiente"/>
      </w:pPr>
    </w:p>
    <w:bookmarkEnd w:id="92"/>
    <w:bookmarkStart w:id="93" w:name="Xef8d6baced7bbd5157d1ed339d7f91785bcd3a8"/>
    <w:p>
      <w:pPr>
        <w:pStyle w:val="Ttulo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p>
      <w:pPr>
        <w:pStyle w:val="Textoindependiente"/>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ipervnculo"/>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Textoindependiente"/>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ipervnculo"/>
          </w:rPr>
          <w:t xml:space="preserve">Raschka et al. 2020</w:t>
        </w:r>
      </w:hyperlink>
      <w:r>
        <w:t xml:space="preserve">;</w:t>
      </w:r>
      <w:r>
        <w:t xml:space="preserve"> </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Textoindependiente"/>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ipervnculo"/>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w:t>
      </w:r>
    </w:p>
    <w:p>
      <w:pPr>
        <w:pStyle w:val="Textoindependiente"/>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bookmarkEnd w:id="93"/>
    <w:bookmarkStart w:id="152" w:name="Xd8dcfea901444c51d4ac150173fd363d4c8f9b3"/>
    <w:p>
      <w:pPr>
        <w:pStyle w:val="Ttulo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Textoindependiente"/>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estos ejercicios necesitas dos cosas muy concretas:</w:t>
            </w:r>
          </w:p>
          <w:p>
            <w:pPr>
              <w:pStyle w:val="Compact"/>
              <w:numPr>
                <w:ilvl w:val="0"/>
                <w:numId w:val="1010"/>
              </w:numPr>
            </w:pPr>
            <w:r>
              <w:t xml:space="preserve">Python 3 instalado;</w:t>
            </w:r>
          </w:p>
          <w:p>
            <w:pPr>
              <w:pStyle w:val="Compact"/>
              <w:numPr>
                <w:ilvl w:val="0"/>
                <w:numId w:val="1010"/>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99" w:name="X455f768919fb37002c82adaaefad70a09684ba3"/>
    <w:p>
      <w:pPr>
        <w:pStyle w:val="Ttulo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Textoindependiente"/>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96" w:name="qué-hace-este-código"/>
    <w:p>
      <w:pPr>
        <w:pStyle w:val="Ttulo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96"/>
    <w:bookmarkStart w:id="97" w:name="qué-hace-cada-parte"/>
    <w:p>
      <w:pPr>
        <w:pStyle w:val="Ttulo4"/>
      </w:pPr>
      <w:r>
        <w:t xml:space="preserve">Qué hace cada parte</w:t>
      </w:r>
    </w:p>
    <w:p>
      <w:pPr>
        <w:pStyle w:val="Compact"/>
        <w:numPr>
          <w:ilvl w:val="0"/>
          <w:numId w:val="1011"/>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11"/>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11"/>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11"/>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97"/>
    <w:bookmarkStart w:id="98" w:name="qué-verás-en-la-terminal"/>
    <w:p>
      <w:pPr>
        <w:pStyle w:val="Ttulo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98"/>
    <w:bookmarkEnd w:id="99"/>
    <w:bookmarkStart w:id="103" w:name="Xfda602b4150375507e4f02f24c31a6e39b0f23c"/>
    <w:p>
      <w:pPr>
        <w:pStyle w:val="Ttulo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Textoindependiente"/>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100" w:name="qué-hace-este-código-1"/>
    <w:p>
      <w:pPr>
        <w:pStyle w:val="Ttulo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100"/>
    <w:bookmarkStart w:id="101" w:name="qué-hace-cada-parte-1"/>
    <w:p>
      <w:pPr>
        <w:pStyle w:val="Ttulo4"/>
      </w:pPr>
      <w:r>
        <w:t xml:space="preserve">Qué hace cada parte</w:t>
      </w:r>
    </w:p>
    <w:p>
      <w:pPr>
        <w:pStyle w:val="Compact"/>
        <w:numPr>
          <w:ilvl w:val="0"/>
          <w:numId w:val="1012"/>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12"/>
        </w:numPr>
      </w:pPr>
      <w:r>
        <w:rPr>
          <w:rStyle w:val="VerbatimChar"/>
        </w:rPr>
        <w:t xml:space="preserve">edad = 36</w:t>
      </w:r>
      <w:r>
        <w:t xml:space="preserve"> </w:t>
      </w:r>
      <w:r>
        <w:t xml:space="preserve">guarda un entero. Los enteros sirven para cantidades sin decimales.</w:t>
      </w:r>
    </w:p>
    <w:p>
      <w:pPr>
        <w:pStyle w:val="Compact"/>
        <w:numPr>
          <w:ilvl w:val="0"/>
          <w:numId w:val="1012"/>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12"/>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12"/>
        </w:numPr>
      </w:pPr>
      <w:r>
        <w:rPr>
          <w:rStyle w:val="VerbatimChar"/>
        </w:rPr>
        <w:t xml:space="preserve">type(...)</w:t>
      </w:r>
      <w:r>
        <w:t xml:space="preserve"> </w:t>
      </w:r>
      <w:r>
        <w:t xml:space="preserve">es una función incorporada que devuelve la clase o tipo de un valor.</w:t>
      </w:r>
    </w:p>
    <w:p>
      <w:pPr>
        <w:pStyle w:val="Compact"/>
        <w:numPr>
          <w:ilvl w:val="0"/>
          <w:numId w:val="1012"/>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101"/>
    <w:bookmarkStart w:id="102" w:name="qué-verás-en-la-terminal-1"/>
    <w:p>
      <w:pPr>
        <w:pStyle w:val="Ttulo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102"/>
    <w:bookmarkEnd w:id="103"/>
    <w:bookmarkStart w:id="107" w:name="Xec3b76fb35a24564e60a480de3671ad79a122f5"/>
    <w:p>
      <w:pPr>
        <w:pStyle w:val="Ttulo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Textoindependiente"/>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104" w:name="qué-hace-este-código-2"/>
    <w:p>
      <w:pPr>
        <w:pStyle w:val="Ttulo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104"/>
    <w:bookmarkStart w:id="105" w:name="qué-hace-cada-parte-2"/>
    <w:p>
      <w:pPr>
        <w:pStyle w:val="Ttulo4"/>
      </w:pPr>
      <w:r>
        <w:t xml:space="preserve">Qué hace cada parte</w:t>
      </w:r>
    </w:p>
    <w:p>
      <w:pPr>
        <w:pStyle w:val="Compact"/>
        <w:numPr>
          <w:ilvl w:val="0"/>
          <w:numId w:val="1013"/>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13"/>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13"/>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13"/>
        </w:numPr>
      </w:pPr>
      <w:r>
        <w:rPr>
          <w:rStyle w:val="VerbatimChar"/>
        </w:rPr>
        <w:t xml:space="preserve">print("Hola,", nombre_usuario)</w:t>
      </w:r>
      <w:r>
        <w:t xml:space="preserve"> </w:t>
      </w:r>
      <w:r>
        <w:t xml:space="preserve">combina un texto fijo con el dato ingresado por el usuario.</w:t>
      </w:r>
    </w:p>
    <w:p>
      <w:pPr>
        <w:pStyle w:val="Compact"/>
        <w:numPr>
          <w:ilvl w:val="0"/>
          <w:numId w:val="1013"/>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105"/>
    <w:bookmarkStart w:id="106" w:name="qué-verás-en-la-terminal-2"/>
    <w:p>
      <w:pPr>
        <w:pStyle w:val="Ttulo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106"/>
    <w:bookmarkEnd w:id="107"/>
    <w:bookmarkStart w:id="111" w:name="X730a7550d14cf9967169fde4cd5132bee9c8d09"/>
    <w:p>
      <w:pPr>
        <w:pStyle w:val="Ttulo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Textoindependiente"/>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108" w:name="qué-hace-este-código-3"/>
    <w:p>
      <w:pPr>
        <w:pStyle w:val="Ttulo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108"/>
    <w:bookmarkStart w:id="109" w:name="qué-hace-cada-parte-3"/>
    <w:p>
      <w:pPr>
        <w:pStyle w:val="Ttulo4"/>
      </w:pPr>
      <w:r>
        <w:t xml:space="preserve">Qué hace cada parte</w:t>
      </w:r>
    </w:p>
    <w:p>
      <w:pPr>
        <w:pStyle w:val="Compact"/>
        <w:numPr>
          <w:ilvl w:val="0"/>
          <w:numId w:val="1014"/>
        </w:numPr>
      </w:pPr>
      <w:r>
        <w:rPr>
          <w:rStyle w:val="VerbatimChar"/>
        </w:rPr>
        <w:t xml:space="preserve">texto_numero = input(...)</w:t>
      </w:r>
      <w:r>
        <w:t xml:space="preserve"> </w:t>
      </w:r>
      <w:r>
        <w:t xml:space="preserve">recibe lo que escribes y lo guarda como texto.</w:t>
      </w:r>
    </w:p>
    <w:p>
      <w:pPr>
        <w:pStyle w:val="Compact"/>
        <w:numPr>
          <w:ilvl w:val="0"/>
          <w:numId w:val="1014"/>
        </w:numPr>
      </w:pPr>
      <w:r>
        <w:rPr>
          <w:rStyle w:val="VerbatimChar"/>
        </w:rPr>
        <w:t xml:space="preserve">type(texto_numero)</w:t>
      </w:r>
      <w:r>
        <w:t xml:space="preserve"> </w:t>
      </w:r>
      <w:r>
        <w:t xml:space="preserve">comprueba ese punto de partida.</w:t>
      </w:r>
    </w:p>
    <w:p>
      <w:pPr>
        <w:pStyle w:val="Compact"/>
        <w:numPr>
          <w:ilvl w:val="0"/>
          <w:numId w:val="1014"/>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14"/>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14"/>
        </w:numPr>
      </w:pPr>
      <w:r>
        <w:rPr>
          <w:rStyle w:val="VerbatimChar"/>
        </w:rPr>
        <w:t xml:space="preserve">str(numero_entero)</w:t>
      </w:r>
      <w:r>
        <w:t xml:space="preserve"> </w:t>
      </w:r>
      <w:r>
        <w:t xml:space="preserve">hace el camino inverso: convierte el número nuevamente en texto.</w:t>
      </w:r>
    </w:p>
    <w:p>
      <w:pPr>
        <w:pStyle w:val="Compact"/>
        <w:numPr>
          <w:ilvl w:val="0"/>
          <w:numId w:val="1014"/>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109"/>
    <w:bookmarkStart w:id="110" w:name="qué-verás-en-la-terminal-3"/>
    <w:p>
      <w:pPr>
        <w:pStyle w:val="Ttulo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110"/>
    <w:bookmarkEnd w:id="111"/>
    <w:bookmarkStart w:id="115" w:name="X4463a77faf70094759fb2bfaba0586c243bd105"/>
    <w:p>
      <w:pPr>
        <w:pStyle w:val="Ttulo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Textoindependiente"/>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112" w:name="qué-hace-este-código-4"/>
    <w:p>
      <w:pPr>
        <w:pStyle w:val="Ttulo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112"/>
    <w:bookmarkStart w:id="113" w:name="qué-hace-cada-parte-4"/>
    <w:p>
      <w:pPr>
        <w:pStyle w:val="Ttulo4"/>
      </w:pPr>
      <w:r>
        <w:t xml:space="preserve">Qué hace cada parte</w:t>
      </w:r>
    </w:p>
    <w:p>
      <w:pPr>
        <w:pStyle w:val="Compact"/>
        <w:numPr>
          <w:ilvl w:val="0"/>
          <w:numId w:val="1015"/>
        </w:numPr>
      </w:pPr>
      <w:r>
        <w:rPr>
          <w:rStyle w:val="VerbatimChar"/>
        </w:rPr>
        <w:t xml:space="preserve">int(input(...))</w:t>
      </w:r>
      <w:r>
        <w:t xml:space="preserve"> </w:t>
      </w:r>
      <w:r>
        <w:t xml:space="preserve">combina dos acciones: pedir un dato y convertirlo inmediatamente a entero.</w:t>
      </w:r>
    </w:p>
    <w:p>
      <w:pPr>
        <w:pStyle w:val="Compact"/>
        <w:numPr>
          <w:ilvl w:val="0"/>
          <w:numId w:val="1015"/>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15"/>
        </w:numPr>
      </w:pPr>
      <w:r>
        <w:rPr>
          <w:rStyle w:val="VerbatimChar"/>
        </w:rPr>
        <w:t xml:space="preserve">if segundo_numero != 0:</w:t>
      </w:r>
      <w:r>
        <w:t xml:space="preserve"> </w:t>
      </w:r>
      <w:r>
        <w:t xml:space="preserve">verifica si la división es válida antes de ejecutarla.</w:t>
      </w:r>
    </w:p>
    <w:p>
      <w:pPr>
        <w:pStyle w:val="Compact"/>
        <w:numPr>
          <w:ilvl w:val="0"/>
          <w:numId w:val="1015"/>
        </w:numPr>
      </w:pPr>
      <w:r>
        <w:rPr>
          <w:rStyle w:val="VerbatimChar"/>
        </w:rPr>
        <w:t xml:space="preserve">/</w:t>
      </w:r>
      <w:r>
        <w:t xml:space="preserve"> </w:t>
      </w:r>
      <w:r>
        <w:t xml:space="preserve">produce una división decimal.</w:t>
      </w:r>
    </w:p>
    <w:p>
      <w:pPr>
        <w:pStyle w:val="Compact"/>
        <w:numPr>
          <w:ilvl w:val="0"/>
          <w:numId w:val="1015"/>
        </w:numPr>
      </w:pPr>
      <w:r>
        <w:rPr>
          <w:rStyle w:val="VerbatimChar"/>
        </w:rPr>
        <w:t xml:space="preserve">//</w:t>
      </w:r>
      <w:r>
        <w:t xml:space="preserve"> </w:t>
      </w:r>
      <w:r>
        <w:t xml:space="preserve">produce una división entera, es decir, el cociente sin decimales.</w:t>
      </w:r>
    </w:p>
    <w:p>
      <w:pPr>
        <w:pStyle w:val="Compact"/>
        <w:numPr>
          <w:ilvl w:val="0"/>
          <w:numId w:val="1015"/>
        </w:numPr>
      </w:pPr>
      <w:r>
        <w:rPr>
          <w:rStyle w:val="VerbatimChar"/>
        </w:rPr>
        <w:t xml:space="preserve">%</w:t>
      </w:r>
      <w:r>
        <w:t xml:space="preserve"> </w:t>
      </w:r>
      <w:r>
        <w:t xml:space="preserve">calcula el residuo de una división.</w:t>
      </w:r>
    </w:p>
    <w:p>
      <w:pPr>
        <w:pStyle w:val="Compact"/>
        <w:numPr>
          <w:ilvl w:val="0"/>
          <w:numId w:val="1015"/>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15"/>
        </w:numPr>
      </w:pPr>
      <w:r>
        <w:rPr>
          <w:rStyle w:val="VerbatimChar"/>
        </w:rPr>
        <w:t xml:space="preserve">**</w:t>
      </w:r>
      <w:r>
        <w:t xml:space="preserve"> </w:t>
      </w:r>
      <w:r>
        <w:t xml:space="preserve">calcula potencias.</w:t>
      </w:r>
    </w:p>
    <w:p>
      <w:pPr>
        <w:pStyle w:val="Compact"/>
        <w:numPr>
          <w:ilvl w:val="0"/>
          <w:numId w:val="1015"/>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15"/>
        </w:numPr>
      </w:pPr>
      <w:r>
        <w:t xml:space="preserve">Se escribe la condición antes de dividir porque un programa bien construido no solo calcula: también prevé cuándo una operación puede romperse.</w:t>
      </w:r>
    </w:p>
    <w:bookmarkEnd w:id="113"/>
    <w:bookmarkStart w:id="114" w:name="qué-verás-en-la-terminal-4"/>
    <w:p>
      <w:pPr>
        <w:pStyle w:val="Ttulo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114"/>
    <w:bookmarkEnd w:id="115"/>
    <w:bookmarkStart w:id="119" w:name="Xf2d1e383a3ba6b70665eddfe2856da21033f89d"/>
    <w:p>
      <w:pPr>
        <w:pStyle w:val="Ttulo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16" w:name="qué-hace-este-código-5"/>
    <w:p>
      <w:pPr>
        <w:pStyle w:val="Ttulo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116"/>
    <w:bookmarkStart w:id="117" w:name="qué-hace-cada-parte-5"/>
    <w:p>
      <w:pPr>
        <w:pStyle w:val="Ttulo4"/>
      </w:pPr>
      <w:r>
        <w:t xml:space="preserve">Qué hace cada parte</w:t>
      </w:r>
    </w:p>
    <w:p>
      <w:pPr>
        <w:pStyle w:val="Compact"/>
        <w:numPr>
          <w:ilvl w:val="0"/>
          <w:numId w:val="1016"/>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16"/>
        </w:numPr>
      </w:pPr>
      <w:r>
        <w:rPr>
          <w:rStyle w:val="VerbatimChar"/>
        </w:rPr>
        <w:t xml:space="preserve">if nota &gt;= 11:</w:t>
      </w:r>
      <w:r>
        <w:t xml:space="preserve"> </w:t>
      </w:r>
      <w:r>
        <w:t xml:space="preserve">formula la condición principal.</w:t>
      </w:r>
    </w:p>
    <w:p>
      <w:pPr>
        <w:pStyle w:val="Compact"/>
        <w:numPr>
          <w:ilvl w:val="0"/>
          <w:numId w:val="1016"/>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16"/>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16"/>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16"/>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117"/>
    <w:bookmarkStart w:id="118" w:name="qué-verás-en-la-terminal-5"/>
    <w:p>
      <w:pPr>
        <w:pStyle w:val="Ttulo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118"/>
    <w:bookmarkEnd w:id="119"/>
    <w:bookmarkStart w:id="123" w:name="Xe8fc6372d5906251229038f4fa2c382433e8702"/>
    <w:p>
      <w:pPr>
        <w:pStyle w:val="Ttulo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20" w:name="qué-hace-este-código-6"/>
    <w:p>
      <w:pPr>
        <w:pStyle w:val="Ttulo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20"/>
    <w:bookmarkStart w:id="121" w:name="qué-hace-cada-parte-6"/>
    <w:p>
      <w:pPr>
        <w:pStyle w:val="Ttulo4"/>
      </w:pPr>
      <w:r>
        <w:t xml:space="preserve">Qué hace cada parte</w:t>
      </w:r>
    </w:p>
    <w:p>
      <w:pPr>
        <w:pStyle w:val="Compact"/>
        <w:numPr>
          <w:ilvl w:val="0"/>
          <w:numId w:val="1017"/>
        </w:numPr>
      </w:pPr>
      <w:r>
        <w:rPr>
          <w:rStyle w:val="VerbatimChar"/>
        </w:rPr>
        <w:t xml:space="preserve">if nota &gt;= 18:</w:t>
      </w:r>
      <w:r>
        <w:t xml:space="preserve"> </w:t>
      </w:r>
      <w:r>
        <w:t xml:space="preserve">revisa primero el tramo más alto.</w:t>
      </w:r>
    </w:p>
    <w:p>
      <w:pPr>
        <w:pStyle w:val="Compact"/>
        <w:numPr>
          <w:ilvl w:val="0"/>
          <w:numId w:val="1017"/>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17"/>
        </w:numPr>
      </w:pPr>
      <w:r>
        <w:rPr>
          <w:rStyle w:val="VerbatimChar"/>
        </w:rPr>
        <w:t xml:space="preserve">else:</w:t>
      </w:r>
      <w:r>
        <w:t xml:space="preserve"> </w:t>
      </w:r>
      <w:r>
        <w:t xml:space="preserve">recoge todos los casos restantes.</w:t>
      </w:r>
    </w:p>
    <w:p>
      <w:pPr>
        <w:pStyle w:val="Compact"/>
        <w:numPr>
          <w:ilvl w:val="0"/>
          <w:numId w:val="1017"/>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17"/>
        </w:numPr>
      </w:pPr>
      <w:r>
        <w:t xml:space="preserve">El orden importa: Python evalúa de arriba hacia abajo y se detiene apenas encuentra una condición verdadera.</w:t>
      </w:r>
    </w:p>
    <w:bookmarkEnd w:id="121"/>
    <w:bookmarkStart w:id="122" w:name="qué-verás-en-la-terminal-6"/>
    <w:p>
      <w:pPr>
        <w:pStyle w:val="Ttulo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22"/>
    <w:bookmarkEnd w:id="123"/>
    <w:bookmarkStart w:id="127" w:name="ejercicio-8.-repetir-sin-copiar-y-pegar"/>
    <w:p>
      <w:pPr>
        <w:pStyle w:val="Ttulo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Textoindependiente"/>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24" w:name="qué-hace-este-código-7"/>
    <w:p>
      <w:pPr>
        <w:pStyle w:val="Ttulo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24"/>
    <w:bookmarkStart w:id="125" w:name="qué-hace-cada-parte-7"/>
    <w:p>
      <w:pPr>
        <w:pStyle w:val="Ttulo4"/>
      </w:pPr>
      <w:r>
        <w:t xml:space="preserve">Qué hace cada parte</w:t>
      </w:r>
    </w:p>
    <w:p>
      <w:pPr>
        <w:pStyle w:val="Compact"/>
        <w:numPr>
          <w:ilvl w:val="0"/>
          <w:numId w:val="1018"/>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18"/>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18"/>
        </w:numPr>
      </w:pPr>
      <w:r>
        <w:rPr>
          <w:rStyle w:val="VerbatimChar"/>
        </w:rPr>
        <w:t xml:space="preserve">numero</w:t>
      </w:r>
      <w:r>
        <w:t xml:space="preserve"> </w:t>
      </w:r>
      <w:r>
        <w:t xml:space="preserve">es una variable que va tomando cada valor de la secuencia.</w:t>
      </w:r>
    </w:p>
    <w:p>
      <w:pPr>
        <w:pStyle w:val="Compact"/>
        <w:numPr>
          <w:ilvl w:val="0"/>
          <w:numId w:val="1018"/>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18"/>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25"/>
    <w:bookmarkStart w:id="126" w:name="qué-verás-en-la-terminal-7"/>
    <w:p>
      <w:pPr>
        <w:pStyle w:val="Ttulo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26"/>
    <w:bookmarkEnd w:id="127"/>
    <w:bookmarkStart w:id="131" w:name="X9a884f4f93ed87b72515225ced44411c9ed8456"/>
    <w:p>
      <w:pPr>
        <w:pStyle w:val="Ttulo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Textoindependiente"/>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28" w:name="qué-hace-este-código-8"/>
    <w:p>
      <w:pPr>
        <w:pStyle w:val="Ttulo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28"/>
    <w:bookmarkStart w:id="129" w:name="qué-hace-cada-parte-8"/>
    <w:p>
      <w:pPr>
        <w:pStyle w:val="Ttulo4"/>
      </w:pPr>
      <w:r>
        <w:t xml:space="preserve">Qué hace cada parte</w:t>
      </w:r>
    </w:p>
    <w:p>
      <w:pPr>
        <w:pStyle w:val="Compact"/>
        <w:numPr>
          <w:ilvl w:val="0"/>
          <w:numId w:val="1019"/>
        </w:numPr>
      </w:pPr>
      <w:r>
        <w:rPr>
          <w:rStyle w:val="VerbatimChar"/>
        </w:rPr>
        <w:t xml:space="preserve">clave_ingresada = ""</w:t>
      </w:r>
      <w:r>
        <w:t xml:space="preserve"> </w:t>
      </w:r>
      <w:r>
        <w:t xml:space="preserve">prepara una variable inicial vacía.</w:t>
      </w:r>
    </w:p>
    <w:p>
      <w:pPr>
        <w:pStyle w:val="Compact"/>
        <w:numPr>
          <w:ilvl w:val="0"/>
          <w:numId w:val="1019"/>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19"/>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19"/>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19"/>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19"/>
        </w:numPr>
      </w:pPr>
      <w:r>
        <w:t xml:space="preserve">Se usa</w:t>
      </w:r>
      <w:r>
        <w:t xml:space="preserve"> </w:t>
      </w:r>
      <w:r>
        <w:rPr>
          <w:rStyle w:val="VerbatimChar"/>
        </w:rPr>
        <w:t xml:space="preserve">while</w:t>
      </w:r>
      <w:r>
        <w:t xml:space="preserve"> </w:t>
      </w:r>
      <w:r>
        <w:t xml:space="preserve">porque no sabemos cuántos intentos harán falta.</w:t>
      </w:r>
    </w:p>
    <w:bookmarkEnd w:id="129"/>
    <w:bookmarkStart w:id="130" w:name="qué-verás-en-la-terminal-8"/>
    <w:p>
      <w:pPr>
        <w:pStyle w:val="Ttulo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30"/>
    <w:bookmarkEnd w:id="131"/>
    <w:bookmarkStart w:id="135" w:name="X5b2a56e6d9d2d7bd1eec78c69369f96a813c02d"/>
    <w:p>
      <w:pPr>
        <w:pStyle w:val="Ttulo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Textoindependiente"/>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32" w:name="qué-hace-este-código-9"/>
    <w:p>
      <w:pPr>
        <w:pStyle w:val="Ttulo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32"/>
    <w:bookmarkStart w:id="133" w:name="qué-hace-cada-parte-9"/>
    <w:p>
      <w:pPr>
        <w:pStyle w:val="Ttulo4"/>
      </w:pPr>
      <w:r>
        <w:t xml:space="preserve">Qué hace cada parte</w:t>
      </w:r>
    </w:p>
    <w:p>
      <w:pPr>
        <w:pStyle w:val="Compact"/>
        <w:numPr>
          <w:ilvl w:val="0"/>
          <w:numId w:val="1020"/>
        </w:numPr>
      </w:pPr>
      <w:r>
        <w:rPr>
          <w:rStyle w:val="VerbatimChar"/>
        </w:rPr>
        <w:t xml:space="preserve">def sumar(primer_numero, segundo_numero):</w:t>
      </w:r>
      <w:r>
        <w:t xml:space="preserve"> </w:t>
      </w:r>
      <w:r>
        <w:t xml:space="preserve">define una función.</w:t>
      </w:r>
    </w:p>
    <w:p>
      <w:pPr>
        <w:pStyle w:val="Compact"/>
        <w:numPr>
          <w:ilvl w:val="0"/>
          <w:numId w:val="1020"/>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20"/>
        </w:numPr>
      </w:pPr>
      <w:r>
        <w:rPr>
          <w:rStyle w:val="VerbatimChar"/>
        </w:rPr>
        <w:t xml:space="preserve">resultado = primer_numero + segundo_numero</w:t>
      </w:r>
      <w:r>
        <w:t xml:space="preserve"> </w:t>
      </w:r>
      <w:r>
        <w:t xml:space="preserve">realiza el trabajo central.</w:t>
      </w:r>
    </w:p>
    <w:p>
      <w:pPr>
        <w:pStyle w:val="Compact"/>
        <w:numPr>
          <w:ilvl w:val="0"/>
          <w:numId w:val="1020"/>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20"/>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20"/>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33"/>
    <w:bookmarkStart w:id="134" w:name="qué-verás-en-la-terminal-9"/>
    <w:p>
      <w:pPr>
        <w:pStyle w:val="Ttulo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34"/>
    <w:bookmarkEnd w:id="135"/>
    <w:bookmarkStart w:id="139" w:name="Xdfed34c0444c93bcc2ab63afe51e557e289f99e"/>
    <w:p>
      <w:pPr>
        <w:pStyle w:val="Ttulo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36" w:name="qué-hace-este-código-10"/>
    <w:p>
      <w:pPr>
        <w:pStyle w:val="Ttulo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36"/>
    <w:bookmarkStart w:id="137" w:name="qué-hace-cada-parte-10"/>
    <w:p>
      <w:pPr>
        <w:pStyle w:val="Ttulo4"/>
      </w:pPr>
      <w:r>
        <w:t xml:space="preserve">Qué hace cada parte</w:t>
      </w:r>
    </w:p>
    <w:p>
      <w:pPr>
        <w:pStyle w:val="Compact"/>
        <w:numPr>
          <w:ilvl w:val="0"/>
          <w:numId w:val="1021"/>
        </w:numPr>
      </w:pPr>
      <w:r>
        <w:rPr>
          <w:rStyle w:val="VerbatimChar"/>
        </w:rPr>
        <w:t xml:space="preserve">expedientes = [...]</w:t>
      </w:r>
      <w:r>
        <w:t xml:space="preserve"> </w:t>
      </w:r>
      <w:r>
        <w:t xml:space="preserve">crea una lista.</w:t>
      </w:r>
    </w:p>
    <w:p>
      <w:pPr>
        <w:pStyle w:val="Compact"/>
        <w:numPr>
          <w:ilvl w:val="0"/>
          <w:numId w:val="1021"/>
        </w:numPr>
      </w:pPr>
      <w:r>
        <w:t xml:space="preserve">Una lista mantiene el orden de los elementos y permite tratarlos como un conjunto organizado.</w:t>
      </w:r>
    </w:p>
    <w:p>
      <w:pPr>
        <w:pStyle w:val="Compact"/>
        <w:numPr>
          <w:ilvl w:val="0"/>
          <w:numId w:val="1021"/>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21"/>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37"/>
    <w:bookmarkStart w:id="138" w:name="qué-verás-en-la-terminal-10"/>
    <w:p>
      <w:pPr>
        <w:pStyle w:val="Ttulo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38"/>
    <w:bookmarkEnd w:id="139"/>
    <w:bookmarkStart w:id="143" w:name="X5c9f3225831ba6e1759725e26d2d4419b963542"/>
    <w:p>
      <w:pPr>
        <w:pStyle w:val="Ttulo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Textoindependiente"/>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40" w:name="qué-hace-este-código-11"/>
    <w:p>
      <w:pPr>
        <w:pStyle w:val="Ttulo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40"/>
    <w:bookmarkStart w:id="141" w:name="qué-hace-cada-parte-11"/>
    <w:p>
      <w:pPr>
        <w:pStyle w:val="Ttulo4"/>
      </w:pPr>
      <w:r>
        <w:t xml:space="preserve">Qué hace cada parte</w:t>
      </w:r>
    </w:p>
    <w:p>
      <w:pPr>
        <w:pStyle w:val="Compact"/>
        <w:numPr>
          <w:ilvl w:val="0"/>
          <w:numId w:val="1022"/>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22"/>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22"/>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22"/>
        </w:numPr>
      </w:pPr>
      <w:r>
        <w:rPr>
          <w:rStyle w:val="VerbatimChar"/>
        </w:rPr>
        <w:t xml:space="preserve">for codigo, estado, prioridad in ...</w:t>
      </w:r>
      <w:r>
        <w:t xml:space="preserve"> </w:t>
      </w:r>
      <w:r>
        <w:t xml:space="preserve">desempaqueta cada grupo en tres variables nuevas.</w:t>
      </w:r>
    </w:p>
    <w:p>
      <w:pPr>
        <w:pStyle w:val="Compact"/>
        <w:numPr>
          <w:ilvl w:val="0"/>
          <w:numId w:val="1022"/>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41"/>
    <w:bookmarkStart w:id="142" w:name="qué-verás-en-la-terminal-11"/>
    <w:p>
      <w:pPr>
        <w:pStyle w:val="Ttulo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42"/>
    <w:bookmarkEnd w:id="143"/>
    <w:bookmarkStart w:id="147" w:name="X7698967ad778a1e3e42403b763b5dbc4c140318"/>
    <w:p>
      <w:pPr>
        <w:pStyle w:val="Ttulo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Textoindependiente"/>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44" w:name="qué-hace-este-código-12"/>
    <w:p>
      <w:pPr>
        <w:pStyle w:val="Ttulo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44"/>
    <w:bookmarkStart w:id="145" w:name="qué-hace-cada-parte-12"/>
    <w:p>
      <w:pPr>
        <w:pStyle w:val="Ttulo4"/>
      </w:pPr>
      <w:r>
        <w:t xml:space="preserve">Qué hace cada parte</w:t>
      </w:r>
    </w:p>
    <w:p>
      <w:pPr>
        <w:pStyle w:val="Compact"/>
        <w:numPr>
          <w:ilvl w:val="0"/>
          <w:numId w:val="1023"/>
        </w:numPr>
      </w:pPr>
      <w:r>
        <w:rPr>
          <w:rStyle w:val="VerbatimChar"/>
        </w:rPr>
        <w:t xml:space="preserve">palabras = [...]</w:t>
      </w:r>
      <w:r>
        <w:t xml:space="preserve"> </w:t>
      </w:r>
      <w:r>
        <w:t xml:space="preserve">crea una lista con términos jurídicos.</w:t>
      </w:r>
    </w:p>
    <w:p>
      <w:pPr>
        <w:pStyle w:val="Compact"/>
        <w:numPr>
          <w:ilvl w:val="0"/>
          <w:numId w:val="1023"/>
        </w:numPr>
      </w:pPr>
      <w:r>
        <w:rPr>
          <w:rStyle w:val="VerbatimChar"/>
        </w:rPr>
        <w:t xml:space="preserve">sorted(palabras)</w:t>
      </w:r>
      <w:r>
        <w:t xml:space="preserve"> </w:t>
      </w:r>
      <w:r>
        <w:t xml:space="preserve">devuelve una nueva lista ordenada.</w:t>
      </w:r>
    </w:p>
    <w:p>
      <w:pPr>
        <w:pStyle w:val="Compact"/>
        <w:numPr>
          <w:ilvl w:val="0"/>
          <w:numId w:val="1023"/>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23"/>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23"/>
        </w:numPr>
      </w:pPr>
      <w:r>
        <w:t xml:space="preserve">Esa diferencia importa: en programación, muchas veces conviene conservar una versión original y otra transformada.</w:t>
      </w:r>
    </w:p>
    <w:bookmarkEnd w:id="145"/>
    <w:bookmarkStart w:id="146" w:name="qué-verás-en-la-terminal-12"/>
    <w:p>
      <w:pPr>
        <w:pStyle w:val="Ttulo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46"/>
    <w:bookmarkEnd w:id="147"/>
    <w:bookmarkStart w:id="151" w:name="X7ca44111528ce556ebcf6c79d8dfb951344d3c4"/>
    <w:p>
      <w:pPr>
        <w:pStyle w:val="Ttulo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Textoindependiente"/>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48" w:name="qué-hace-este-código-13"/>
    <w:p>
      <w:pPr>
        <w:pStyle w:val="Ttulo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48"/>
    <w:bookmarkStart w:id="149" w:name="qué-hace-cada-parte-13"/>
    <w:p>
      <w:pPr>
        <w:pStyle w:val="Ttulo4"/>
      </w:pPr>
      <w:r>
        <w:t xml:space="preserve">Qué hace cada parte</w:t>
      </w:r>
    </w:p>
    <w:p>
      <w:pPr>
        <w:pStyle w:val="Compact"/>
        <w:numPr>
          <w:ilvl w:val="0"/>
          <w:numId w:val="1024"/>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24"/>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24"/>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24"/>
        </w:numPr>
      </w:pPr>
      <w:r>
        <w:rPr>
          <w:rStyle w:val="VerbatimChar"/>
        </w:rPr>
        <w:t xml:space="preserve">split()</w:t>
      </w:r>
      <w:r>
        <w:t xml:space="preserve"> </w:t>
      </w:r>
      <w:r>
        <w:t xml:space="preserve">divide una cadena en partes y produce una lista.</w:t>
      </w:r>
    </w:p>
    <w:p>
      <w:pPr>
        <w:pStyle w:val="Compact"/>
        <w:numPr>
          <w:ilvl w:val="0"/>
          <w:numId w:val="1024"/>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24"/>
        </w:numPr>
      </w:pPr>
      <w:r>
        <w:rPr>
          <w:rStyle w:val="VerbatimChar"/>
        </w:rPr>
        <w:t xml:space="preserve">replace("Java", "Python")</w:t>
      </w:r>
      <w:r>
        <w:t xml:space="preserve"> </w:t>
      </w:r>
      <w:r>
        <w:t xml:space="preserve">sustituye una parte del texto por otra.</w:t>
      </w:r>
    </w:p>
    <w:p>
      <w:pPr>
        <w:pStyle w:val="Compact"/>
        <w:numPr>
          <w:ilvl w:val="0"/>
          <w:numId w:val="1024"/>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24"/>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24"/>
        </w:numPr>
      </w:pPr>
      <w:r>
        <w:t xml:space="preserve">La razón de combinar funciones pequeñas es que, en programación, muchas soluciones no surgen de una instrucción gigante, sino de una secuencia ordenada de transformaciones simples.</w:t>
      </w:r>
    </w:p>
    <w:bookmarkEnd w:id="149"/>
    <w:bookmarkStart w:id="150" w:name="qué-verás-en-la-terminal-13"/>
    <w:p>
      <w:pPr>
        <w:pStyle w:val="Ttulo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50"/>
    <w:bookmarkEnd w:id="151"/>
    <w:bookmarkEnd w:id="152"/>
    <w:bookmarkStart w:id="157" w:name="conclusiones-del-capítulo-1"/>
    <w:p>
      <w:pPr>
        <w:pStyle w:val="Ttulo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Textoindependiente"/>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tip.png" id="1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5"/>
              </w:numPr>
            </w:pPr>
            <w:r>
              <w:t xml:space="preserve">Python es útil no solo por su popularidad actual, sino porque permite traducir instrucciones y problemas en pasos legibles y ejecutables.</w:t>
            </w:r>
          </w:p>
          <w:p>
            <w:pPr>
              <w:pStyle w:val="Compact"/>
              <w:numPr>
                <w:ilvl w:val="0"/>
                <w:numId w:val="1025"/>
              </w:numPr>
            </w:pPr>
            <w:r>
              <w:t xml:space="preserve">La historia de Python muestra que su claridad, su comunidad y su evolución técnica explican por qué sigue siendo un lenguaje central en tantos campos.</w:t>
            </w:r>
          </w:p>
          <w:p>
            <w:pPr>
              <w:pStyle w:val="Compact"/>
              <w:numPr>
                <w:ilvl w:val="0"/>
                <w:numId w:val="1025"/>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25"/>
              </w:numPr>
            </w:pPr>
            <w:r>
              <w:t xml:space="preserve">Las variables sirven para dar nombre a los datos y trabajar con ellos según su tipo: texto, entero, decimal o booleano.</w:t>
            </w:r>
          </w:p>
          <w:p>
            <w:pPr>
              <w:pStyle w:val="Compact"/>
              <w:numPr>
                <w:ilvl w:val="0"/>
                <w:numId w:val="1025"/>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25"/>
              </w:numPr>
            </w:pPr>
            <w:r>
              <w:t xml:space="preserve">Convertir tipos de datos es indispensable cuando el valor recibido no viene en el formato que el problema necesita.</w:t>
            </w:r>
          </w:p>
          <w:p>
            <w:pPr>
              <w:pStyle w:val="Compact"/>
              <w:numPr>
                <w:ilvl w:val="0"/>
                <w:numId w:val="1025"/>
              </w:numPr>
            </w:pPr>
            <w:r>
              <w:t xml:space="preserve">Programar también implica calcular, comparar y prevenir errores previsibles antes de que ocurran.</w:t>
            </w:r>
          </w:p>
          <w:p>
            <w:pPr>
              <w:pStyle w:val="Compact"/>
              <w:numPr>
                <w:ilvl w:val="0"/>
                <w:numId w:val="1025"/>
              </w:numPr>
            </w:pPr>
            <w:r>
              <w:t xml:space="preserve">Los condicionales permiten que el programa elija entre distintos caminos a partir de reglas explícitas.</w:t>
            </w:r>
          </w:p>
          <w:p>
            <w:pPr>
              <w:pStyle w:val="Compact"/>
              <w:numPr>
                <w:ilvl w:val="0"/>
                <w:numId w:val="1025"/>
              </w:numPr>
            </w:pPr>
            <w:r>
              <w:t xml:space="preserve">El orden de las condiciones importa cuando existen varios resultados posibles.</w:t>
            </w:r>
          </w:p>
          <w:p>
            <w:pPr>
              <w:pStyle w:val="Compact"/>
              <w:numPr>
                <w:ilvl w:val="0"/>
                <w:numId w:val="1025"/>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25"/>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25"/>
              </w:numPr>
            </w:pPr>
            <w:r>
              <w:t xml:space="preserve">Las funciones permiten encapsular una lógica y reutilizarla varias veces con distintos datos.</w:t>
            </w:r>
          </w:p>
          <w:p>
            <w:pPr>
              <w:pStyle w:val="Compact"/>
              <w:numPr>
                <w:ilvl w:val="0"/>
                <w:numId w:val="1025"/>
              </w:numPr>
            </w:pPr>
            <w:r>
              <w:t xml:space="preserve">Las listas permiten guardar varios elementos en una misma estructura sin perder el orden.</w:t>
            </w:r>
          </w:p>
          <w:p>
            <w:pPr>
              <w:pStyle w:val="Compact"/>
              <w:numPr>
                <w:ilvl w:val="0"/>
                <w:numId w:val="1025"/>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25"/>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25"/>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caution.png" id="156"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26"/>
              </w:numPr>
            </w:pPr>
            <w:r>
              <w:t xml:space="preserve">¿Qué cambia en tu manera de entender la programación cuando ves que un programa puede leerse como una secuencia ordenada de instrucciones comprensibles?</w:t>
            </w:r>
          </w:p>
          <w:p>
            <w:pPr>
              <w:pStyle w:val="Compact"/>
              <w:numPr>
                <w:ilvl w:val="0"/>
                <w:numId w:val="1026"/>
              </w:numPr>
            </w:pPr>
            <w:r>
              <w:t xml:space="preserve">¿Por qué crees que aprender variables, condicionales, bucles, listas y texto por separado ayuda a preparar problemas más complejos después?</w:t>
            </w:r>
          </w:p>
          <w:p>
            <w:pPr>
              <w:pStyle w:val="Compact"/>
              <w:numPr>
                <w:ilvl w:val="0"/>
                <w:numId w:val="1026"/>
              </w:numPr>
            </w:pPr>
            <w:r>
              <w:t xml:space="preserve">¿Qué ejercicio te mostró con mayor claridad que una tarea aparentemente simple puede requerir varios pasos distintos para funcionar bien?</w:t>
            </w:r>
          </w:p>
          <w:p>
            <w:pPr>
              <w:pStyle w:val="Compact"/>
              <w:numPr>
                <w:ilvl w:val="0"/>
                <w:numId w:val="1026"/>
              </w:numPr>
            </w:pPr>
            <w:r>
              <w:t xml:space="preserve">¿De qué manera la historia de Python ayuda a entender por qué este lenguaje se usa tanto para enseñar, automatizar y construir herramientas reales?</w:t>
            </w:r>
          </w:p>
          <w:p>
            <w:pPr>
              <w:pStyle w:val="Compact"/>
              <w:numPr>
                <w:ilvl w:val="0"/>
                <w:numId w:val="1026"/>
              </w:numPr>
            </w:pPr>
            <w:r>
              <w:t xml:space="preserve">Si tuvieras que adaptar uno de los ejercicios del capítulo a una situación jurídica concreta, ¿cuál elegirías y qué cambiarías para volverlo más cercano a esa práctica?</w:t>
            </w:r>
          </w:p>
          <w:p/>
        </w:tc>
      </w:tr>
    </w:tbl>
    <w:bookmarkEnd w:id="157"/>
    <w:bookmarkEnd w:id="158"/>
    <w:bookmarkStart w:id="215" w:name="python-para-fechas-archivos-y-datos"/>
    <w:p>
      <w:pPr>
        <w:pStyle w:val="Ttulo1"/>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quarto/share/formats/docx/note.png" id="16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Start w:id="161" w:name="por-qué-importa-este-tema"/>
    <w:p>
      <w:pPr>
        <w:pStyle w:val="Ttulo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w:t>
      </w:r>
    </w:p>
    <w:p>
      <w:pPr>
        <w:pStyle w:val="Textoindependiente"/>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61"/>
    <w:bookmarkStart w:id="162" w:name="del-fundamento-al-uso-práctico"/>
    <w:p>
      <w:pPr>
        <w:pStyle w:val="Ttulo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27"/>
        </w:numPr>
      </w:pPr>
      <w:r>
        <w:t xml:space="preserve">¿qué fecha tiene hoy el sistema?;</w:t>
      </w:r>
    </w:p>
    <w:p>
      <w:pPr>
        <w:pStyle w:val="Compact"/>
        <w:numPr>
          <w:ilvl w:val="0"/>
          <w:numId w:val="1027"/>
        </w:numPr>
      </w:pPr>
      <w:r>
        <w:t xml:space="preserve">¿cuántos días han pasado entre una presentación y una audiencia?;</w:t>
      </w:r>
    </w:p>
    <w:p>
      <w:pPr>
        <w:pStyle w:val="Compact"/>
        <w:numPr>
          <w:ilvl w:val="0"/>
          <w:numId w:val="1027"/>
        </w:numPr>
      </w:pPr>
      <w:r>
        <w:t xml:space="preserve">¿cuándo vence un plazo si se suman ciertos días?;</w:t>
      </w:r>
    </w:p>
    <w:p>
      <w:pPr>
        <w:pStyle w:val="Compact"/>
        <w:numPr>
          <w:ilvl w:val="0"/>
          <w:numId w:val="1027"/>
        </w:numPr>
      </w:pPr>
      <w:r>
        <w:t xml:space="preserve">¿cómo se lee un documento desde un archivo?;</w:t>
      </w:r>
    </w:p>
    <w:p>
      <w:pPr>
        <w:pStyle w:val="Compact"/>
        <w:numPr>
          <w:ilvl w:val="0"/>
          <w:numId w:val="1027"/>
        </w:numPr>
      </w:pPr>
      <w:r>
        <w:t xml:space="preserve">¿cómo se guarda una nota generada por el programa?;</w:t>
      </w:r>
    </w:p>
    <w:p>
      <w:pPr>
        <w:pStyle w:val="Compact"/>
        <w:numPr>
          <w:ilvl w:val="0"/>
          <w:numId w:val="1027"/>
        </w:numPr>
      </w:pPr>
      <w:r>
        <w:t xml:space="preserve">¿cómo se leen registros de un CSV?;</w:t>
      </w:r>
    </w:p>
    <w:p>
      <w:pPr>
        <w:pStyle w:val="Compact"/>
        <w:numPr>
          <w:ilvl w:val="0"/>
          <w:numId w:val="1027"/>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62"/>
    <w:bookmarkStart w:id="163" w:name="X05b1cb521c1a9e04233b7ed5be95a9b3740b49f"/>
    <w:p>
      <w:pPr>
        <w:pStyle w:val="Ttulo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Textoindependiente"/>
      </w:pPr>
      <w:r>
        <w:t xml:space="preserve">Lo importante aquí no es imaginar que Python reemplaza el criterio jurídico. Lo importante es ver que puede ayudar a hacer visible y repetible la parte estructurada del trabajo: calcular, leer, ordenar, filtrar y resumir.</w:t>
      </w:r>
    </w:p>
    <w:bookmarkEnd w:id="163"/>
    <w:bookmarkStart w:id="166" w:name="Xe2b384c3319dfcd594769af1dd47fe17ff352d2"/>
    <w:p>
      <w:pPr>
        <w:pStyle w:val="Ttulo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Textoindependiente"/>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important.png" id="16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con estos ejercicios necesitas:</w:t>
            </w:r>
          </w:p>
          <w:p>
            <w:pPr>
              <w:pStyle w:val="Compact"/>
              <w:numPr>
                <w:ilvl w:val="0"/>
                <w:numId w:val="1028"/>
              </w:numPr>
            </w:pPr>
            <w:r>
              <w:t xml:space="preserve">Python 3 instalado;</w:t>
            </w:r>
          </w:p>
          <w:p>
            <w:pPr>
              <w:pStyle w:val="Compact"/>
              <w:numPr>
                <w:ilvl w:val="0"/>
                <w:numId w:val="1028"/>
              </w:numPr>
            </w:pPr>
            <w:r>
              <w:t xml:space="preserve">Visual Studio Code o un editor equivalente;</w:t>
            </w:r>
          </w:p>
          <w:p>
            <w:pPr>
              <w:pStyle w:val="Compact"/>
              <w:numPr>
                <w:ilvl w:val="0"/>
                <w:numId w:val="1028"/>
              </w:numPr>
            </w:pPr>
            <w:r>
              <w:t xml:space="preserve">una carpeta de trabajo para esta sesión;</w:t>
            </w:r>
          </w:p>
          <w:p>
            <w:pPr>
              <w:pStyle w:val="Compact"/>
              <w:numPr>
                <w:ilvl w:val="0"/>
                <w:numId w:val="1028"/>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28"/>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Textoindependiente"/>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66"/>
    <w:bookmarkStart w:id="179" w:name="X4a1bbb069e352e2a5e0dc60f98b95661a20d001"/>
    <w:p>
      <w:pPr>
        <w:pStyle w:val="Ttulo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70" w:name="X47d8c80c63f4b3f6175250d469435176ec30794"/>
    <w:p>
      <w:pPr>
        <w:pStyle w:val="Ttulo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67" w:name="qué-hace-este-código-14"/>
    <w:p>
      <w:pPr>
        <w:pStyle w:val="Ttulo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67"/>
    <w:bookmarkStart w:id="168" w:name="qué-hace-cada-parte-14"/>
    <w:p>
      <w:pPr>
        <w:pStyle w:val="Ttulo4"/>
      </w:pPr>
      <w:r>
        <w:t xml:space="preserve">Qué hace cada parte</w:t>
      </w:r>
    </w:p>
    <w:p>
      <w:pPr>
        <w:pStyle w:val="Compact"/>
        <w:numPr>
          <w:ilvl w:val="0"/>
          <w:numId w:val="1029"/>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29"/>
        </w:numPr>
      </w:pPr>
      <w:r>
        <w:rPr>
          <w:rStyle w:val="VerbatimChar"/>
        </w:rPr>
        <w:t xml:space="preserve">date</w:t>
      </w:r>
      <w:r>
        <w:t xml:space="preserve"> </w:t>
      </w:r>
      <w:r>
        <w:t xml:space="preserve">representa una fecha sin hora: año, mes y día.</w:t>
      </w:r>
    </w:p>
    <w:p>
      <w:pPr>
        <w:pStyle w:val="Compact"/>
        <w:numPr>
          <w:ilvl w:val="0"/>
          <w:numId w:val="1029"/>
        </w:numPr>
      </w:pPr>
      <w:r>
        <w:rPr>
          <w:rStyle w:val="VerbatimChar"/>
        </w:rPr>
        <w:t xml:space="preserve">date.today()</w:t>
      </w:r>
      <w:r>
        <w:t xml:space="preserve"> </w:t>
      </w:r>
      <w:r>
        <w:t xml:space="preserve">consulta la fecha actual del sistema donde se está ejecutando el programa.</w:t>
      </w:r>
    </w:p>
    <w:p>
      <w:pPr>
        <w:pStyle w:val="Compact"/>
        <w:numPr>
          <w:ilvl w:val="0"/>
          <w:numId w:val="1029"/>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29"/>
        </w:numPr>
      </w:pPr>
      <w:r>
        <w:t xml:space="preserve">Se usan esos atributos porque muchas veces no basta con ver la fecha completa: también interesa extraer partes concretas para compararlas o mostrarlas de otra forma.</w:t>
      </w:r>
    </w:p>
    <w:bookmarkEnd w:id="168"/>
    <w:bookmarkStart w:id="169" w:name="qué-verás-en-la-terminal-14"/>
    <w:p>
      <w:pPr>
        <w:pStyle w:val="Ttulo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69"/>
    <w:bookmarkEnd w:id="170"/>
    <w:bookmarkStart w:id="174" w:name="X40b062ef6fea1963ba64db827b6553b717a932d"/>
    <w:p>
      <w:pPr>
        <w:pStyle w:val="Ttulo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71" w:name="qué-hace-este-código-15"/>
    <w:p>
      <w:pPr>
        <w:pStyle w:val="Ttulo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71"/>
    <w:bookmarkStart w:id="172" w:name="qué-hace-cada-parte-15"/>
    <w:p>
      <w:pPr>
        <w:pStyle w:val="Ttulo4"/>
      </w:pPr>
      <w:r>
        <w:t xml:space="preserve">Qué hace cada parte</w:t>
      </w:r>
    </w:p>
    <w:p>
      <w:pPr>
        <w:pStyle w:val="Compact"/>
        <w:numPr>
          <w:ilvl w:val="0"/>
          <w:numId w:val="1030"/>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30"/>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30"/>
        </w:numPr>
      </w:pPr>
      <w:r>
        <w:rPr>
          <w:rStyle w:val="VerbatimChar"/>
        </w:rPr>
        <w:t xml:space="preserve">"%Y-%m-%d"</w:t>
      </w:r>
      <w:r>
        <w:t xml:space="preserve"> </w:t>
      </w:r>
      <w:r>
        <w:t xml:space="preserve">le dice a Python que espere año con cuatro dígitos, luego mes y luego día.</w:t>
      </w:r>
    </w:p>
    <w:p>
      <w:pPr>
        <w:pStyle w:val="Compact"/>
        <w:numPr>
          <w:ilvl w:val="0"/>
          <w:numId w:val="1030"/>
        </w:numPr>
      </w:pPr>
      <w:r>
        <w:rPr>
          <w:rStyle w:val="VerbatimChar"/>
        </w:rPr>
        <w:t xml:space="preserve">fecha_audiencia - fecha_presentacion</w:t>
      </w:r>
      <w:r>
        <w:t xml:space="preserve"> </w:t>
      </w:r>
      <w:r>
        <w:t xml:space="preserve">produce una diferencia de tiempo.</w:t>
      </w:r>
    </w:p>
    <w:p>
      <w:pPr>
        <w:pStyle w:val="Compact"/>
        <w:numPr>
          <w:ilvl w:val="0"/>
          <w:numId w:val="1030"/>
        </w:numPr>
      </w:pPr>
      <w:r>
        <w:rPr>
          <w:rStyle w:val="VerbatimChar"/>
        </w:rPr>
        <w:t xml:space="preserve">diferencia.days</w:t>
      </w:r>
      <w:r>
        <w:t xml:space="preserve"> </w:t>
      </w:r>
      <w:r>
        <w:t xml:space="preserve">extrae el número de días de esa diferencia.</w:t>
      </w:r>
    </w:p>
    <w:p>
      <w:pPr>
        <w:pStyle w:val="Compact"/>
        <w:numPr>
          <w:ilvl w:val="0"/>
          <w:numId w:val="1030"/>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72"/>
    <w:bookmarkStart w:id="173" w:name="qué-verás-en-la-terminal-15"/>
    <w:p>
      <w:pPr>
        <w:pStyle w:val="Ttulo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73"/>
    <w:bookmarkEnd w:id="174"/>
    <w:bookmarkStart w:id="178" w:name="Xaa8395ae68214a8efacd2346f44de19a23251ed"/>
    <w:p>
      <w:pPr>
        <w:pStyle w:val="Ttulo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75" w:name="qué-hace-este-código-16"/>
    <w:p>
      <w:pPr>
        <w:pStyle w:val="Ttulo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75"/>
    <w:bookmarkStart w:id="176" w:name="qué-hace-cada-parte-16"/>
    <w:p>
      <w:pPr>
        <w:pStyle w:val="Ttulo4"/>
      </w:pPr>
      <w:r>
        <w:t xml:space="preserve">Qué hace cada parte</w:t>
      </w:r>
    </w:p>
    <w:p>
      <w:pPr>
        <w:pStyle w:val="Compact"/>
        <w:numPr>
          <w:ilvl w:val="0"/>
          <w:numId w:val="1031"/>
        </w:numPr>
      </w:pPr>
      <w:r>
        <w:rPr>
          <w:rStyle w:val="VerbatimChar"/>
        </w:rPr>
        <w:t xml:space="preserve">timedelta(days=5)</w:t>
      </w:r>
      <w:r>
        <w:t xml:space="preserve"> </w:t>
      </w:r>
      <w:r>
        <w:t xml:space="preserve">crea una duración de cinco días.</w:t>
      </w:r>
    </w:p>
    <w:p>
      <w:pPr>
        <w:pStyle w:val="Compact"/>
        <w:numPr>
          <w:ilvl w:val="0"/>
          <w:numId w:val="1031"/>
        </w:numPr>
      </w:pPr>
      <w:r>
        <w:rPr>
          <w:rStyle w:val="VerbatimChar"/>
        </w:rPr>
        <w:t xml:space="preserve">timedelta</w:t>
      </w:r>
      <w:r>
        <w:t xml:space="preserve"> </w:t>
      </w:r>
      <w:r>
        <w:t xml:space="preserve">no representa una fecha, sino una cantidad de tiempo.</w:t>
      </w:r>
    </w:p>
    <w:p>
      <w:pPr>
        <w:pStyle w:val="Compact"/>
        <w:numPr>
          <w:ilvl w:val="0"/>
          <w:numId w:val="1031"/>
        </w:numPr>
      </w:pPr>
      <w:r>
        <w:rPr>
          <w:rStyle w:val="VerbatimChar"/>
        </w:rPr>
        <w:t xml:space="preserve">fecha_notificacion + plazo</w:t>
      </w:r>
      <w:r>
        <w:t xml:space="preserve"> </w:t>
      </w:r>
      <w:r>
        <w:t xml:space="preserve">suma esa duración a la fecha inicial.</w:t>
      </w:r>
    </w:p>
    <w:p>
      <w:pPr>
        <w:pStyle w:val="Compact"/>
        <w:numPr>
          <w:ilvl w:val="0"/>
          <w:numId w:val="1031"/>
        </w:numPr>
      </w:pPr>
      <w:r>
        <w:rPr>
          <w:rStyle w:val="VerbatimChar"/>
        </w:rPr>
        <w:t xml:space="preserve">plazo.days</w:t>
      </w:r>
      <w:r>
        <w:t xml:space="preserve"> </w:t>
      </w:r>
      <w:r>
        <w:t xml:space="preserve">muestra el número de días contenidos en el objeto plazo.</w:t>
      </w:r>
    </w:p>
    <w:p>
      <w:pPr>
        <w:pStyle w:val="Compact"/>
        <w:numPr>
          <w:ilvl w:val="0"/>
          <w:numId w:val="1031"/>
        </w:numPr>
      </w:pPr>
      <w:r>
        <w:t xml:space="preserve">Se usa esta lógica porque, en muchos contextos, el problema no es comparar dos fechas ya dadas, sino calcular una nueva fecha a partir de una regla temporal.</w:t>
      </w:r>
    </w:p>
    <w:bookmarkEnd w:id="176"/>
    <w:bookmarkStart w:id="177" w:name="qué-verás-en-la-terminal-16"/>
    <w:p>
      <w:pPr>
        <w:pStyle w:val="Ttulo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177"/>
    <w:bookmarkEnd w:id="178"/>
    <w:bookmarkEnd w:id="179"/>
    <w:bookmarkStart w:id="192" w:name="X3bcdc22b6532b866d5245a89df8a1f7718f78f7"/>
    <w:p>
      <w:pPr>
        <w:pStyle w:val="Ttulo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183" w:name="ejercicio-4.-leer-un-archivo-de-texto"/>
    <w:p>
      <w:pPr>
        <w:pStyle w:val="Ttulo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Textoindependiente"/>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180" w:name="qué-hace-este-código-17"/>
    <w:p>
      <w:pPr>
        <w:pStyle w:val="Ttulo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180"/>
    <w:bookmarkStart w:id="181" w:name="qué-hace-cada-parte-17"/>
    <w:p>
      <w:pPr>
        <w:pStyle w:val="Ttulo4"/>
      </w:pPr>
      <w:r>
        <w:t xml:space="preserve">Qué hace cada parte</w:t>
      </w:r>
    </w:p>
    <w:p>
      <w:pPr>
        <w:pStyle w:val="Compact"/>
        <w:numPr>
          <w:ilvl w:val="0"/>
          <w:numId w:val="1032"/>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32"/>
        </w:numPr>
      </w:pPr>
      <w:r>
        <w:rPr>
          <w:rStyle w:val="VerbatimChar"/>
        </w:rPr>
        <w:t xml:space="preserve">Path(__file__).parent</w:t>
      </w:r>
      <w:r>
        <w:t xml:space="preserve"> </w:t>
      </w:r>
      <w:r>
        <w:t xml:space="preserve">se refiere a la carpeta donde está guardado el script.</w:t>
      </w:r>
    </w:p>
    <w:p>
      <w:pPr>
        <w:pStyle w:val="Compact"/>
        <w:numPr>
          <w:ilvl w:val="0"/>
          <w:numId w:val="1032"/>
        </w:numPr>
      </w:pPr>
      <w:r>
        <w:rPr>
          <w:rStyle w:val="VerbatimChar"/>
        </w:rPr>
        <w:t xml:space="preserve">/ "data" / "edicto.txt"</w:t>
      </w:r>
      <w:r>
        <w:t xml:space="preserve"> </w:t>
      </w:r>
      <w:r>
        <w:t xml:space="preserve">completa la ruta hacia el archivo que se quiere leer.</w:t>
      </w:r>
    </w:p>
    <w:p>
      <w:pPr>
        <w:pStyle w:val="Compact"/>
        <w:numPr>
          <w:ilvl w:val="0"/>
          <w:numId w:val="1032"/>
        </w:numPr>
      </w:pPr>
      <w:r>
        <w:rPr>
          <w:rStyle w:val="VerbatimChar"/>
        </w:rPr>
        <w:t xml:space="preserve">open(ruta_archivo, "r", encoding="utf-8")</w:t>
      </w:r>
      <w:r>
        <w:t xml:space="preserve"> </w:t>
      </w:r>
      <w:r>
        <w:t xml:space="preserve">abre el archivo en modo lectura.</w:t>
      </w:r>
    </w:p>
    <w:p>
      <w:pPr>
        <w:pStyle w:val="Compact"/>
        <w:numPr>
          <w:ilvl w:val="0"/>
          <w:numId w:val="1032"/>
        </w:numPr>
      </w:pPr>
      <w:r>
        <w:rPr>
          <w:rStyle w:val="VerbatimChar"/>
        </w:rPr>
        <w:t xml:space="preserve">encoding="utf-8"</w:t>
      </w:r>
      <w:r>
        <w:t xml:space="preserve"> </w:t>
      </w:r>
      <w:r>
        <w:t xml:space="preserve">ayuda a leer bien acentos y caracteres propios del español.</w:t>
      </w:r>
    </w:p>
    <w:p>
      <w:pPr>
        <w:pStyle w:val="Compact"/>
        <w:numPr>
          <w:ilvl w:val="0"/>
          <w:numId w:val="1032"/>
        </w:numPr>
      </w:pPr>
      <w:r>
        <w:rPr>
          <w:rStyle w:val="VerbatimChar"/>
        </w:rPr>
        <w:t xml:space="preserve">archivo.read()</w:t>
      </w:r>
      <w:r>
        <w:t xml:space="preserve"> </w:t>
      </w:r>
      <w:r>
        <w:t xml:space="preserve">toma todo el contenido del archivo como un solo bloque de texto.</w:t>
      </w:r>
    </w:p>
    <w:p>
      <w:pPr>
        <w:pStyle w:val="Compact"/>
        <w:numPr>
          <w:ilvl w:val="0"/>
          <w:numId w:val="1032"/>
        </w:numPr>
      </w:pPr>
      <w:r>
        <w:rPr>
          <w:rStyle w:val="VerbatimChar"/>
        </w:rPr>
        <w:t xml:space="preserve">with ... as archivo:</w:t>
      </w:r>
      <w:r>
        <w:t xml:space="preserve"> </w:t>
      </w:r>
      <w:r>
        <w:t xml:space="preserve">asegura que el archivo se cierre correctamente cuando termina la lectura.</w:t>
      </w:r>
    </w:p>
    <w:bookmarkEnd w:id="181"/>
    <w:bookmarkStart w:id="182" w:name="qué-verás-en-la-terminal-17"/>
    <w:p>
      <w:pPr>
        <w:pStyle w:val="Ttulo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182"/>
    <w:bookmarkEnd w:id="183"/>
    <w:bookmarkStart w:id="187" w:name="X00e11aebf6a6bbeea6e3e5e1ce92796f18f2827"/>
    <w:p>
      <w:pPr>
        <w:pStyle w:val="Ttulo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184" w:name="qué-hace-este-código-18"/>
    <w:p>
      <w:pPr>
        <w:pStyle w:val="Ttulo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184"/>
    <w:bookmarkStart w:id="185" w:name="qué-hace-cada-parte-18"/>
    <w:p>
      <w:pPr>
        <w:pStyle w:val="Ttulo4"/>
      </w:pPr>
      <w:r>
        <w:t xml:space="preserve">Qué hace cada parte</w:t>
      </w:r>
    </w:p>
    <w:p>
      <w:pPr>
        <w:pStyle w:val="Compact"/>
        <w:numPr>
          <w:ilvl w:val="0"/>
          <w:numId w:val="1033"/>
        </w:numPr>
      </w:pPr>
      <w:r>
        <w:rPr>
          <w:rStyle w:val="VerbatimChar"/>
        </w:rPr>
        <w:t xml:space="preserve">ruta_salida = ...</w:t>
      </w:r>
      <w:r>
        <w:t xml:space="preserve"> </w:t>
      </w:r>
      <w:r>
        <w:t xml:space="preserve">define dónde se guardará el archivo.</w:t>
      </w:r>
    </w:p>
    <w:p>
      <w:pPr>
        <w:pStyle w:val="Compact"/>
        <w:numPr>
          <w:ilvl w:val="0"/>
          <w:numId w:val="1033"/>
        </w:numPr>
      </w:pPr>
      <w:r>
        <w:rPr>
          <w:rStyle w:val="VerbatimChar"/>
        </w:rPr>
        <w:t xml:space="preserve">texto = ...</w:t>
      </w:r>
      <w:r>
        <w:t xml:space="preserve"> </w:t>
      </w:r>
      <w:r>
        <w:t xml:space="preserve">contiene el mensaje que quieres escribir.</w:t>
      </w:r>
    </w:p>
    <w:p>
      <w:pPr>
        <w:pStyle w:val="Compact"/>
        <w:numPr>
          <w:ilvl w:val="0"/>
          <w:numId w:val="1033"/>
        </w:numPr>
      </w:pPr>
      <w:r>
        <w:rPr>
          <w:rStyle w:val="VerbatimChar"/>
        </w:rPr>
        <w:t xml:space="preserve">open(ruta_salida, "w", encoding="utf-8")</w:t>
      </w:r>
      <w:r>
        <w:t xml:space="preserve"> </w:t>
      </w:r>
      <w:r>
        <w:t xml:space="preserve">abre el archivo en modo escritura.</w:t>
      </w:r>
    </w:p>
    <w:p>
      <w:pPr>
        <w:pStyle w:val="Compact"/>
        <w:numPr>
          <w:ilvl w:val="0"/>
          <w:numId w:val="1033"/>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33"/>
        </w:numPr>
      </w:pPr>
      <w:r>
        <w:rPr>
          <w:rStyle w:val="VerbatimChar"/>
        </w:rPr>
        <w:t xml:space="preserve">archivo.write(texto)</w:t>
      </w:r>
      <w:r>
        <w:t xml:space="preserve"> </w:t>
      </w:r>
      <w:r>
        <w:t xml:space="preserve">escribe el texto en el archivo.</w:t>
      </w:r>
    </w:p>
    <w:p>
      <w:pPr>
        <w:pStyle w:val="Compact"/>
        <w:numPr>
          <w:ilvl w:val="0"/>
          <w:numId w:val="1033"/>
        </w:numPr>
      </w:pPr>
      <w:r>
        <w:rPr>
          <w:rStyle w:val="VerbatimChar"/>
        </w:rPr>
        <w:t xml:space="preserve">print("Archivo guardado en:", ruta_salida)</w:t>
      </w:r>
      <w:r>
        <w:t xml:space="preserve"> </w:t>
      </w:r>
      <w:r>
        <w:t xml:space="preserve">sirve para confirmar visualmente dónde quedó guardado el documento.</w:t>
      </w:r>
    </w:p>
    <w:bookmarkEnd w:id="185"/>
    <w:bookmarkStart w:id="186" w:name="qué-verás-en-la-terminal-18"/>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186"/>
    <w:bookmarkEnd w:id="187"/>
    <w:bookmarkStart w:id="191" w:name="X9c4f8b890b68ce4cd08de944533f1fbea798ce5"/>
    <w:p>
      <w:pPr>
        <w:pStyle w:val="Ttulo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Textoindependiente"/>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188" w:name="qué-hace-este-código-19"/>
    <w:p>
      <w:pPr>
        <w:pStyle w:val="Ttulo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188"/>
    <w:bookmarkStart w:id="189" w:name="qué-hace-cada-parte-19"/>
    <w:p>
      <w:pPr>
        <w:pStyle w:val="Ttulo4"/>
      </w:pPr>
      <w:r>
        <w:t xml:space="preserve">Qué hace cada parte</w:t>
      </w:r>
    </w:p>
    <w:p>
      <w:pPr>
        <w:pStyle w:val="Compact"/>
        <w:numPr>
          <w:ilvl w:val="0"/>
          <w:numId w:val="1034"/>
        </w:numPr>
      </w:pPr>
      <w:r>
        <w:rPr>
          <w:rStyle w:val="VerbatimChar"/>
        </w:rPr>
        <w:t xml:space="preserve">import csv</w:t>
      </w:r>
      <w:r>
        <w:t xml:space="preserve"> </w:t>
      </w:r>
      <w:r>
        <w:t xml:space="preserve">carga la biblioteca estándar de Python para trabajar con archivos CSV.</w:t>
      </w:r>
    </w:p>
    <w:p>
      <w:pPr>
        <w:pStyle w:val="Compact"/>
        <w:numPr>
          <w:ilvl w:val="0"/>
          <w:numId w:val="1034"/>
        </w:numPr>
      </w:pPr>
      <w:r>
        <w:rPr>
          <w:rStyle w:val="VerbatimChar"/>
        </w:rPr>
        <w:t xml:space="preserve">csv.DictReader(archivo)</w:t>
      </w:r>
      <w:r>
        <w:t xml:space="preserve"> </w:t>
      </w:r>
      <w:r>
        <w:t xml:space="preserve">lee cada fila como un diccionario.</w:t>
      </w:r>
    </w:p>
    <w:p>
      <w:pPr>
        <w:pStyle w:val="Compact"/>
        <w:numPr>
          <w:ilvl w:val="0"/>
          <w:numId w:val="1034"/>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34"/>
        </w:numPr>
      </w:pPr>
      <w:r>
        <w:rPr>
          <w:rStyle w:val="VerbatimChar"/>
        </w:rPr>
        <w:t xml:space="preserve">for fila in lector:</w:t>
      </w:r>
      <w:r>
        <w:t xml:space="preserve"> </w:t>
      </w:r>
      <w:r>
        <w:t xml:space="preserve">recorre una fila por vez.</w:t>
      </w:r>
    </w:p>
    <w:p>
      <w:pPr>
        <w:pStyle w:val="Compact"/>
        <w:numPr>
          <w:ilvl w:val="0"/>
          <w:numId w:val="1034"/>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34"/>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189"/>
    <w:bookmarkStart w:id="190" w:name="qué-verás-en-la-terminal-19"/>
    <w:p>
      <w:pPr>
        <w:pStyle w:val="Ttulo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190"/>
    <w:bookmarkEnd w:id="191"/>
    <w:bookmarkEnd w:id="192"/>
    <w:bookmarkStart w:id="209" w:name="X839785337fc1a219459d355d99d01755c46b157"/>
    <w:p>
      <w:pPr>
        <w:pStyle w:val="Ttulo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w:t>
      </w:r>
    </w:p>
    <w:bookmarkStart w:id="196" w:name="X9ac4806fa84f93037f3a3f8d72d40c94a11e48a"/>
    <w:p>
      <w:pPr>
        <w:pStyle w:val="Ttulo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193" w:name="qué-hace-este-código-20"/>
    <w:p>
      <w:pPr>
        <w:pStyle w:val="Ttulo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w:t>
      </w:r>
    </w:p>
    <w:bookmarkEnd w:id="193"/>
    <w:bookmarkStart w:id="194" w:name="qué-hace-cada-parte-20"/>
    <w:p>
      <w:pPr>
        <w:pStyle w:val="Ttulo4"/>
      </w:pPr>
      <w:r>
        <w:t xml:space="preserve">Qué hace cada parte</w:t>
      </w:r>
    </w:p>
    <w:p>
      <w:pPr>
        <w:pStyle w:val="Compact"/>
        <w:numPr>
          <w:ilvl w:val="0"/>
          <w:numId w:val="1035"/>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35"/>
        </w:numPr>
      </w:pPr>
      <w:r>
        <w:rPr>
          <w:rStyle w:val="VerbatimChar"/>
        </w:rPr>
        <w:t xml:space="preserve">datos = {...}</w:t>
      </w:r>
      <w:r>
        <w:t xml:space="preserve"> </w:t>
      </w:r>
      <w:r>
        <w:t xml:space="preserve">crea una estructura donde cada clave será una columna.</w:t>
      </w:r>
    </w:p>
    <w:p>
      <w:pPr>
        <w:pStyle w:val="Compact"/>
        <w:numPr>
          <w:ilvl w:val="0"/>
          <w:numId w:val="1035"/>
        </w:numPr>
      </w:pPr>
      <w:r>
        <w:rPr>
          <w:rStyle w:val="VerbatimChar"/>
        </w:rPr>
        <w:t xml:space="preserve">pd.DataFrame(datos)</w:t>
      </w:r>
      <w:r>
        <w:t xml:space="preserve"> </w:t>
      </w:r>
      <w:r>
        <w:t xml:space="preserve">convierte ese diccionario en una tabla.</w:t>
      </w:r>
    </w:p>
    <w:p>
      <w:pPr>
        <w:pStyle w:val="Compact"/>
        <w:numPr>
          <w:ilvl w:val="0"/>
          <w:numId w:val="1035"/>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35"/>
        </w:numPr>
      </w:pPr>
      <w:r>
        <w:rPr>
          <w:rStyle w:val="VerbatimChar"/>
        </w:rPr>
        <w:t xml:space="preserve">print(tabla)</w:t>
      </w:r>
      <w:r>
        <w:t xml:space="preserve"> </w:t>
      </w:r>
      <w:r>
        <w:t xml:space="preserve">muestra la tabla completa.</w:t>
      </w:r>
    </w:p>
    <w:p>
      <w:pPr>
        <w:pStyle w:val="Compact"/>
        <w:numPr>
          <w:ilvl w:val="0"/>
          <w:numId w:val="1035"/>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194"/>
    <w:bookmarkStart w:id="195" w:name="qué-verás-en-la-terminal-20"/>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195"/>
    <w:bookmarkEnd w:id="196"/>
    <w:bookmarkStart w:id="200" w:name="Xe660d1262f33af3d98382f8deb9f6426d0565d9"/>
    <w:p>
      <w:pPr>
        <w:pStyle w:val="Ttulo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Textoindependiente"/>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197" w:name="qué-hace-este-código-21"/>
    <w:p>
      <w:pPr>
        <w:pStyle w:val="Ttulo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197"/>
    <w:bookmarkStart w:id="198" w:name="qué-hace-cada-parte-21"/>
    <w:p>
      <w:pPr>
        <w:pStyle w:val="Ttulo4"/>
      </w:pPr>
      <w:r>
        <w:t xml:space="preserve">Qué hace cada parte</w:t>
      </w:r>
    </w:p>
    <w:p>
      <w:pPr>
        <w:pStyle w:val="Compact"/>
        <w:numPr>
          <w:ilvl w:val="0"/>
          <w:numId w:val="1036"/>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36"/>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36"/>
        </w:numPr>
      </w:pPr>
      <w:r>
        <w:rPr>
          <w:rStyle w:val="VerbatimChar"/>
        </w:rPr>
        <w:t xml:space="preserve">tabla["estado"] == "Pendiente"</w:t>
      </w:r>
      <w:r>
        <w:t xml:space="preserve"> </w:t>
      </w:r>
      <w:r>
        <w:t xml:space="preserve">produce una serie de valores verdaderos o falsos.</w:t>
      </w:r>
    </w:p>
    <w:p>
      <w:pPr>
        <w:pStyle w:val="Compact"/>
        <w:numPr>
          <w:ilvl w:val="0"/>
          <w:numId w:val="1036"/>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36"/>
        </w:numPr>
      </w:pPr>
      <w:r>
        <w:rPr>
          <w:rStyle w:val="VerbatimChar"/>
        </w:rPr>
        <w:t xml:space="preserve">pendientes</w:t>
      </w:r>
      <w:r>
        <w:t xml:space="preserve"> </w:t>
      </w:r>
      <w:r>
        <w:t xml:space="preserve">guarda la tabla filtrada.</w:t>
      </w:r>
    </w:p>
    <w:p>
      <w:pPr>
        <w:pStyle w:val="Compact"/>
        <w:numPr>
          <w:ilvl w:val="0"/>
          <w:numId w:val="1036"/>
        </w:numPr>
      </w:pPr>
      <w:r>
        <w:t xml:space="preserve">Se usa este tipo de filtro porque muchas preguntas reales empiezan así: mostrar solo los casos abiertos, pendientes, observados o archivados.</w:t>
      </w:r>
    </w:p>
    <w:bookmarkEnd w:id="198"/>
    <w:bookmarkStart w:id="199" w:name="qué-verás-en-la-terminal-21"/>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199"/>
    <w:bookmarkEnd w:id="200"/>
    <w:bookmarkStart w:id="204" w:name="Xfdd390761b532dc28f50c94e533e529cabf94fd"/>
    <w:p>
      <w:pPr>
        <w:pStyle w:val="Ttulo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201" w:name="qué-hace-este-código-22"/>
    <w:p>
      <w:pPr>
        <w:pStyle w:val="Ttulo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201"/>
    <w:bookmarkStart w:id="202" w:name="qué-hace-cada-parte-22"/>
    <w:p>
      <w:pPr>
        <w:pStyle w:val="Ttulo4"/>
      </w:pPr>
      <w:r>
        <w:t xml:space="preserve">Qué hace cada parte</w:t>
      </w:r>
    </w:p>
    <w:p>
      <w:pPr>
        <w:pStyle w:val="Compact"/>
        <w:numPr>
          <w:ilvl w:val="0"/>
          <w:numId w:val="1037"/>
        </w:numPr>
      </w:pPr>
      <w:r>
        <w:rPr>
          <w:rStyle w:val="VerbatimChar"/>
        </w:rPr>
        <w:t xml:space="preserve">tabla["estado"]</w:t>
      </w:r>
      <w:r>
        <w:t xml:space="preserve"> </w:t>
      </w:r>
      <w:r>
        <w:t xml:space="preserve">selecciona la columna que quieres resumir.</w:t>
      </w:r>
    </w:p>
    <w:p>
      <w:pPr>
        <w:pStyle w:val="Compact"/>
        <w:numPr>
          <w:ilvl w:val="0"/>
          <w:numId w:val="1037"/>
        </w:numPr>
      </w:pPr>
      <w:r>
        <w:rPr>
          <w:rStyle w:val="VerbatimChar"/>
        </w:rPr>
        <w:t xml:space="preserve">value_counts()</w:t>
      </w:r>
      <w:r>
        <w:t xml:space="preserve"> </w:t>
      </w:r>
      <w:r>
        <w:t xml:space="preserve">cuenta la frecuencia de cada categoría.</w:t>
      </w:r>
    </w:p>
    <w:p>
      <w:pPr>
        <w:pStyle w:val="Compact"/>
        <w:numPr>
          <w:ilvl w:val="0"/>
          <w:numId w:val="1037"/>
        </w:numPr>
      </w:pPr>
      <w:r>
        <w:t xml:space="preserve">El resultado ya no es una tabla completa como antes, sino una serie resumida.</w:t>
      </w:r>
    </w:p>
    <w:p>
      <w:pPr>
        <w:pStyle w:val="Compact"/>
        <w:numPr>
          <w:ilvl w:val="0"/>
          <w:numId w:val="1037"/>
        </w:numPr>
      </w:pPr>
      <w:r>
        <w:rPr>
          <w:rStyle w:val="VerbatimChar"/>
        </w:rPr>
        <w:t xml:space="preserve">print(conteo_estados)</w:t>
      </w:r>
      <w:r>
        <w:t xml:space="preserve"> </w:t>
      </w:r>
      <w:r>
        <w:t xml:space="preserve">muestra ese resumen en la terminal.</w:t>
      </w:r>
    </w:p>
    <w:p>
      <w:pPr>
        <w:pStyle w:val="Compact"/>
        <w:numPr>
          <w:ilvl w:val="0"/>
          <w:numId w:val="1037"/>
        </w:numPr>
      </w:pPr>
      <w:r>
        <w:t xml:space="preserve">Se usa esta operación porque muchas veces no interesa revisar expediente por expediente, sino obtener una visión rápida del conjunto.</w:t>
      </w:r>
    </w:p>
    <w:bookmarkEnd w:id="202"/>
    <w:bookmarkStart w:id="203" w:name="qué-verás-en-la-terminal-22"/>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203"/>
    <w:bookmarkEnd w:id="204"/>
    <w:bookmarkStart w:id="208" w:name="X7cbd083013ff5d8cf740abf73620fdc32963326"/>
    <w:p>
      <w:pPr>
        <w:pStyle w:val="Ttulo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205" w:name="qué-hace-este-código-23"/>
    <w:p>
      <w:pPr>
        <w:pStyle w:val="Ttulo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205"/>
    <w:bookmarkStart w:id="206" w:name="qué-hace-cada-parte-23"/>
    <w:p>
      <w:pPr>
        <w:pStyle w:val="Ttulo4"/>
      </w:pPr>
      <w:r>
        <w:t xml:space="preserve">Qué hace cada parte</w:t>
      </w:r>
    </w:p>
    <w:p>
      <w:pPr>
        <w:pStyle w:val="Compact"/>
        <w:numPr>
          <w:ilvl w:val="0"/>
          <w:numId w:val="1038"/>
        </w:numPr>
      </w:pPr>
      <w:r>
        <w:rPr>
          <w:rStyle w:val="VerbatimChar"/>
        </w:rPr>
        <w:t xml:space="preserve">tabla["monto"]</w:t>
      </w:r>
      <w:r>
        <w:t xml:space="preserve"> </w:t>
      </w:r>
      <w:r>
        <w:t xml:space="preserve">selecciona la columna de valores numéricos.</w:t>
      </w:r>
    </w:p>
    <w:p>
      <w:pPr>
        <w:pStyle w:val="Compact"/>
        <w:numPr>
          <w:ilvl w:val="0"/>
          <w:numId w:val="1038"/>
        </w:numPr>
      </w:pPr>
      <w:r>
        <w:rPr>
          <w:rStyle w:val="VerbatimChar"/>
        </w:rPr>
        <w:t xml:space="preserve">mean()</w:t>
      </w:r>
      <w:r>
        <w:t xml:space="preserve"> </w:t>
      </w:r>
      <w:r>
        <w:t xml:space="preserve">calcula la media aritmética de esa columna.</w:t>
      </w:r>
    </w:p>
    <w:p>
      <w:pPr>
        <w:pStyle w:val="Compact"/>
        <w:numPr>
          <w:ilvl w:val="0"/>
          <w:numId w:val="1038"/>
        </w:numPr>
      </w:pPr>
      <w:r>
        <w:rPr>
          <w:rStyle w:val="VerbatimChar"/>
        </w:rPr>
        <w:t xml:space="preserve">promedio_monto</w:t>
      </w:r>
      <w:r>
        <w:t xml:space="preserve"> </w:t>
      </w:r>
      <w:r>
        <w:t xml:space="preserve">guarda el resultado.</w:t>
      </w:r>
    </w:p>
    <w:p>
      <w:pPr>
        <w:pStyle w:val="Compact"/>
        <w:numPr>
          <w:ilvl w:val="0"/>
          <w:numId w:val="1038"/>
        </w:numPr>
      </w:pPr>
      <w:r>
        <w:rPr>
          <w:rStyle w:val="VerbatimChar"/>
        </w:rPr>
        <w:t xml:space="preserve">print(...)</w:t>
      </w:r>
      <w:r>
        <w:t xml:space="preserve"> </w:t>
      </w:r>
      <w:r>
        <w:t xml:space="preserve">muestra el promedio en la terminal.</w:t>
      </w:r>
    </w:p>
    <w:p>
      <w:pPr>
        <w:pStyle w:val="Compact"/>
        <w:numPr>
          <w:ilvl w:val="0"/>
          <w:numId w:val="1038"/>
        </w:numPr>
      </w:pPr>
      <w:r>
        <w:t xml:space="preserve">Se usa esta operación porque muchas preguntas sobre datos no se responden leyendo fila por fila, sino resumiendo con indicadores simples.</w:t>
      </w:r>
    </w:p>
    <w:bookmarkEnd w:id="206"/>
    <w:bookmarkStart w:id="207" w:name="qué-verás-en-la-terminal-23"/>
    <w:p>
      <w:pPr>
        <w:pStyle w:val="Ttulo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207"/>
    <w:bookmarkEnd w:id="208"/>
    <w:bookmarkEnd w:id="209"/>
    <w:bookmarkStart w:id="214" w:name="conclusiones-del-capítulo-2"/>
    <w:p>
      <w:pPr>
        <w:pStyle w:val="Ttulo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Textoindependiente"/>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Applications/quarto/share/formats/docx/tip.png" id="21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39"/>
              </w:numPr>
            </w:pPr>
            <w:r>
              <w:t xml:space="preserve">trabajar con fechas permite modelar de forma básica problemas de plazos, diferencias temporales y vencimientos;</w:t>
            </w:r>
          </w:p>
          <w:p>
            <w:pPr>
              <w:pStyle w:val="Compact"/>
              <w:numPr>
                <w:ilvl w:val="0"/>
                <w:numId w:val="1039"/>
              </w:numPr>
            </w:pPr>
            <w:r>
              <w:t xml:space="preserve">un programa puede leer y escribir archivos, lo que lo vuelve útil para interactuar con documentos reales;</w:t>
            </w:r>
          </w:p>
          <w:p>
            <w:pPr>
              <w:pStyle w:val="Compact"/>
              <w:numPr>
                <w:ilvl w:val="0"/>
                <w:numId w:val="1039"/>
              </w:numPr>
            </w:pPr>
            <w:r>
              <w:t xml:space="preserve">los archivos CSV son una forma simple y muy común de almacenar registros en filas y columnas;</w:t>
            </w:r>
          </w:p>
          <w:p>
            <w:pPr>
              <w:pStyle w:val="Compact"/>
              <w:numPr>
                <w:ilvl w:val="0"/>
                <w:numId w:val="1039"/>
              </w:numPr>
            </w:pPr>
            <w:r>
              <w:rPr>
                <w:rStyle w:val="VerbatimChar"/>
              </w:rPr>
              <w:t xml:space="preserve">Path</w:t>
            </w:r>
            <w:r>
              <w:t xml:space="preserve"> </w:t>
            </w:r>
            <w:r>
              <w:t xml:space="preserve">ayuda a construir rutas de archivo de una forma más ordenada y portable;</w:t>
            </w:r>
          </w:p>
          <w:p>
            <w:pPr>
              <w:pStyle w:val="Compact"/>
              <w:numPr>
                <w:ilvl w:val="0"/>
                <w:numId w:val="1039"/>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39"/>
              </w:numPr>
            </w:pPr>
            <w:r>
              <w:rPr>
                <w:rStyle w:val="VerbatimChar"/>
              </w:rPr>
              <w:t xml:space="preserve">csv.DictReader()</w:t>
            </w:r>
            <w:r>
              <w:t xml:space="preserve"> </w:t>
            </w:r>
            <w:r>
              <w:t xml:space="preserve">ayuda a pensar cada fila como un registro con campos nombrados;</w:t>
            </w:r>
          </w:p>
          <w:p>
            <w:pPr>
              <w:pStyle w:val="Compact"/>
              <w:numPr>
                <w:ilvl w:val="0"/>
                <w:numId w:val="1039"/>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39"/>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39"/>
              </w:numPr>
            </w:pPr>
            <w:r>
              <w:t xml:space="preserve">filtrar, contar categorías y calcular promedios son pasos iniciales muy importantes en cualquier trabajo con datos;</w:t>
            </w:r>
          </w:p>
          <w:p>
            <w:pPr>
              <w:pStyle w:val="Compact"/>
              <w:numPr>
                <w:ilvl w:val="0"/>
                <w:numId w:val="1039"/>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Applications/quarto/share/formats/docx/caution.png" id="21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40"/>
              </w:numPr>
            </w:pPr>
            <w:r>
              <w:t xml:space="preserve">¿Qué diferencia notas entre escribir código para practicar sintaxis y escribir código para resolver una tarea concreta con fechas o archivos?</w:t>
            </w:r>
          </w:p>
          <w:p>
            <w:pPr>
              <w:pStyle w:val="Compact"/>
              <w:numPr>
                <w:ilvl w:val="0"/>
                <w:numId w:val="1040"/>
              </w:numPr>
            </w:pPr>
            <w:r>
              <w:t xml:space="preserve">¿Por qué puede ser útil representar un plazo o una diferencia de días con objetos de fecha en lugar de hacerlo manualmente?</w:t>
            </w:r>
          </w:p>
          <w:p>
            <w:pPr>
              <w:pStyle w:val="Compact"/>
              <w:numPr>
                <w:ilvl w:val="0"/>
                <w:numId w:val="1040"/>
              </w:numPr>
            </w:pPr>
            <w:r>
              <w:t xml:space="preserve">¿Qué ventajas tiene leer un CSV como tabla frente a revisar sus filas una por una sin estructura?</w:t>
            </w:r>
          </w:p>
          <w:p>
            <w:pPr>
              <w:pStyle w:val="Compact"/>
              <w:numPr>
                <w:ilvl w:val="0"/>
                <w:numId w:val="1040"/>
              </w:numPr>
            </w:pPr>
            <w:r>
              <w:t xml:space="preserve">¿Qué riesgos habría si intentaras automatizar una tarea jurídica sin revisar primero la calidad de los datos o del archivo de entrada?</w:t>
            </w:r>
          </w:p>
          <w:p>
            <w:pPr>
              <w:pStyle w:val="Compact"/>
              <w:numPr>
                <w:ilvl w:val="0"/>
                <w:numId w:val="1040"/>
              </w:numPr>
            </w:pPr>
            <w:r>
              <w:t xml:space="preserve">Si tuvieras que adaptar uno de estos ejercicios a una tarea legal real, ¿cuál elegirías y qué información cambiarías para volverlo más cercano a esa práctica?</w:t>
            </w:r>
          </w:p>
          <w:p/>
        </w:tc>
      </w:tr>
    </w:tbl>
    <w:bookmarkEnd w:id="214"/>
    <w:bookmarkEnd w:id="215"/>
    <w:bookmarkStart w:id="283" w:name="X66d182eced413d93f36aa16c9fba5310e7c9543"/>
    <w:p>
      <w:pPr>
        <w:pStyle w:val="Ttulo1"/>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Applications/quarto/share/formats/docx/note.png" id="21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Start w:id="218" w:name="por-qué-importa-este-tema-1"/>
    <w:p>
      <w:pPr>
        <w:pStyle w:val="Ttulo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Textoindependiente"/>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218"/>
    <w:bookmarkStart w:id="219" w:name="del-análisis-al-producto"/>
    <w:p>
      <w:pPr>
        <w:pStyle w:val="Ttulo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Textoindependiente"/>
      </w:pPr>
      <w:r>
        <w:t xml:space="preserve">Ese paso importa mucho porque refleja una lógica muy presente en el trabajo profesional:</w:t>
      </w:r>
    </w:p>
    <w:p>
      <w:pPr>
        <w:pStyle w:val="Compact"/>
        <w:numPr>
          <w:ilvl w:val="0"/>
          <w:numId w:val="1041"/>
        </w:numPr>
      </w:pPr>
      <w:r>
        <w:t xml:space="preserve">recibir información;</w:t>
      </w:r>
    </w:p>
    <w:p>
      <w:pPr>
        <w:pStyle w:val="Compact"/>
        <w:numPr>
          <w:ilvl w:val="0"/>
          <w:numId w:val="1041"/>
        </w:numPr>
      </w:pPr>
      <w:r>
        <w:t xml:space="preserve">revisarla o transformarla;</w:t>
      </w:r>
    </w:p>
    <w:p>
      <w:pPr>
        <w:pStyle w:val="Compact"/>
        <w:numPr>
          <w:ilvl w:val="0"/>
          <w:numId w:val="1041"/>
        </w:numPr>
      </w:pPr>
      <w:r>
        <w:t xml:space="preserve">producir una salida legible;</w:t>
      </w:r>
    </w:p>
    <w:p>
      <w:pPr>
        <w:pStyle w:val="Compact"/>
        <w:numPr>
          <w:ilvl w:val="0"/>
          <w:numId w:val="1041"/>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19"/>
    <w:bookmarkStart w:id="220" w:name="automatización-básica-en-clave-jurídica"/>
    <w:p>
      <w:pPr>
        <w:pStyle w:val="Ttulo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Textoindependiente"/>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20"/>
    <w:bookmarkStart w:id="223" w:name="Xa023445f172be2276dd90a3dda146501cc57e66"/>
    <w:p>
      <w:pPr>
        <w:pStyle w:val="Ttulo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Textoindependiente"/>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Applications/quarto/share/formats/docx/important.png" id="22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esta sesión conviene preparar una carpeta ordenada con subcarpetas como estas:</w:t>
            </w:r>
          </w:p>
          <w:p>
            <w:pPr>
              <w:pStyle w:val="Compact"/>
              <w:numPr>
                <w:ilvl w:val="0"/>
                <w:numId w:val="1042"/>
              </w:numPr>
            </w:pPr>
            <w:r>
              <w:rPr>
                <w:rStyle w:val="VerbatimChar"/>
              </w:rPr>
              <w:t xml:space="preserve">data</w:t>
            </w:r>
            <w:r>
              <w:t xml:space="preserve"> </w:t>
            </w:r>
            <w:r>
              <w:t xml:space="preserve">para CSV y textos de entrada;</w:t>
            </w:r>
          </w:p>
          <w:p>
            <w:pPr>
              <w:pStyle w:val="Compact"/>
              <w:numPr>
                <w:ilvl w:val="0"/>
                <w:numId w:val="1042"/>
              </w:numPr>
            </w:pPr>
            <w:r>
              <w:rPr>
                <w:rStyle w:val="VerbatimChar"/>
              </w:rPr>
              <w:t xml:space="preserve">images</w:t>
            </w:r>
            <w:r>
              <w:t xml:space="preserve"> </w:t>
            </w:r>
            <w:r>
              <w:t xml:space="preserve">para logos o imágenes;</w:t>
            </w:r>
          </w:p>
          <w:p>
            <w:pPr>
              <w:pStyle w:val="Compact"/>
              <w:numPr>
                <w:ilvl w:val="0"/>
                <w:numId w:val="1042"/>
              </w:numPr>
            </w:pPr>
            <w:r>
              <w:rPr>
                <w:rStyle w:val="VerbatimChar"/>
              </w:rPr>
              <w:t xml:space="preserve">pdfs_entrada</w:t>
            </w:r>
            <w:r>
              <w:t xml:space="preserve"> </w:t>
            </w:r>
            <w:r>
              <w:t xml:space="preserve">para PDF generados o reunidos;</w:t>
            </w:r>
          </w:p>
          <w:p>
            <w:pPr>
              <w:pStyle w:val="Compact"/>
              <w:numPr>
                <w:ilvl w:val="0"/>
                <w:numId w:val="1042"/>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43"/>
              </w:numPr>
            </w:pPr>
            <w:r>
              <w:rPr>
                <w:rStyle w:val="VerbatimChar"/>
              </w:rPr>
              <w:t xml:space="preserve">reportlab</w:t>
            </w:r>
            <w:r>
              <w:t xml:space="preserve"> </w:t>
            </w:r>
            <w:r>
              <w:t xml:space="preserve">para crear PDF;</w:t>
            </w:r>
          </w:p>
          <w:p>
            <w:pPr>
              <w:pStyle w:val="Compact"/>
              <w:numPr>
                <w:ilvl w:val="0"/>
                <w:numId w:val="1043"/>
              </w:numPr>
            </w:pPr>
            <w:r>
              <w:rPr>
                <w:rStyle w:val="VerbatimChar"/>
              </w:rPr>
              <w:t xml:space="preserve">pypdf</w:t>
            </w:r>
            <w:r>
              <w:t xml:space="preserve"> </w:t>
            </w:r>
            <w:r>
              <w:t xml:space="preserve">para unir PDF;</w:t>
            </w:r>
          </w:p>
          <w:p>
            <w:pPr>
              <w:pStyle w:val="Compact"/>
              <w:numPr>
                <w:ilvl w:val="0"/>
                <w:numId w:val="1043"/>
              </w:numPr>
            </w:pPr>
            <w:r>
              <w:rPr>
                <w:rStyle w:val="VerbatimChar"/>
              </w:rPr>
              <w:t xml:space="preserve">matplotlib</w:t>
            </w:r>
            <w:r>
              <w:t xml:space="preserve"> </w:t>
            </w:r>
            <w:r>
              <w:t xml:space="preserve">para gráficos;</w:t>
            </w:r>
          </w:p>
          <w:p>
            <w:pPr>
              <w:pStyle w:val="Compact"/>
              <w:numPr>
                <w:ilvl w:val="0"/>
                <w:numId w:val="1043"/>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23"/>
    <w:bookmarkStart w:id="244" w:name="ejercicios-jurídicos-iniciales"/>
    <w:p>
      <w:pPr>
        <w:pStyle w:val="Ttulo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27" w:name="X32e5d3f7d349097f5a1f49550e099eb860090a2"/>
    <w:p>
      <w:pPr>
        <w:pStyle w:val="Ttulo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Textoindependiente"/>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24" w:name="qué-hace-este-código-24"/>
    <w:p>
      <w:pPr>
        <w:pStyle w:val="Ttulo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24"/>
    <w:bookmarkStart w:id="225" w:name="qué-hace-cada-parte-24"/>
    <w:p>
      <w:pPr>
        <w:pStyle w:val="Ttulo4"/>
      </w:pPr>
      <w:r>
        <w:t xml:space="preserve">Qué hace cada parte</w:t>
      </w:r>
    </w:p>
    <w:p>
      <w:pPr>
        <w:pStyle w:val="Compact"/>
        <w:numPr>
          <w:ilvl w:val="0"/>
          <w:numId w:val="1044"/>
        </w:numPr>
      </w:pPr>
      <w:r>
        <w:rPr>
          <w:rStyle w:val="VerbatimChar"/>
        </w:rPr>
        <w:t xml:space="preserve">multa_por_dia = 25</w:t>
      </w:r>
      <w:r>
        <w:t xml:space="preserve"> </w:t>
      </w:r>
      <w:r>
        <w:t xml:space="preserve">guarda la tarifa diaria de la multa.</w:t>
      </w:r>
    </w:p>
    <w:p>
      <w:pPr>
        <w:pStyle w:val="Compact"/>
        <w:numPr>
          <w:ilvl w:val="0"/>
          <w:numId w:val="1044"/>
        </w:numPr>
      </w:pPr>
      <w:r>
        <w:rPr>
          <w:rStyle w:val="VerbatimChar"/>
        </w:rPr>
        <w:t xml:space="preserve">dias_retraso = 4</w:t>
      </w:r>
      <w:r>
        <w:t xml:space="preserve"> </w:t>
      </w:r>
      <w:r>
        <w:t xml:space="preserve">representa la cantidad de días.</w:t>
      </w:r>
    </w:p>
    <w:p>
      <w:pPr>
        <w:pStyle w:val="Compact"/>
        <w:numPr>
          <w:ilvl w:val="0"/>
          <w:numId w:val="1044"/>
        </w:numPr>
      </w:pPr>
      <w:r>
        <w:rPr>
          <w:rStyle w:val="VerbatimChar"/>
        </w:rPr>
        <w:t xml:space="preserve">monto_total = multa_por_dia * dias_retraso</w:t>
      </w:r>
      <w:r>
        <w:t xml:space="preserve"> </w:t>
      </w:r>
      <w:r>
        <w:t xml:space="preserve">aplica la multiplicación.</w:t>
      </w:r>
    </w:p>
    <w:p>
      <w:pPr>
        <w:pStyle w:val="Compact"/>
        <w:numPr>
          <w:ilvl w:val="0"/>
          <w:numId w:val="1044"/>
        </w:numPr>
      </w:pPr>
      <w:r>
        <w:rPr>
          <w:rStyle w:val="VerbatimChar"/>
        </w:rPr>
        <w:t xml:space="preserve">print(...)</w:t>
      </w:r>
      <w:r>
        <w:t xml:space="preserve"> </w:t>
      </w:r>
      <w:r>
        <w:t xml:space="preserve">se usa para mostrar tanto los datos de entrada como el resultado final.</w:t>
      </w:r>
    </w:p>
    <w:p>
      <w:pPr>
        <w:pStyle w:val="Compact"/>
        <w:numPr>
          <w:ilvl w:val="0"/>
          <w:numId w:val="1044"/>
        </w:numPr>
      </w:pPr>
      <w:r>
        <w:t xml:space="preserve">Se presenta así porque, cuando recién empiezas, conviene que el cálculo no quede oculto en una sola línea.</w:t>
      </w:r>
    </w:p>
    <w:bookmarkEnd w:id="225"/>
    <w:bookmarkStart w:id="226" w:name="qué-verás-en-la-terminal-24"/>
    <w:p>
      <w:pPr>
        <w:pStyle w:val="Ttulo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26"/>
    <w:bookmarkEnd w:id="227"/>
    <w:bookmarkStart w:id="231" w:name="X65cb8676029118c775e2c159a0baf4320b6b3e5"/>
    <w:p>
      <w:pPr>
        <w:pStyle w:val="Ttulo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28" w:name="qué-hace-este-código-25"/>
    <w:p>
      <w:pPr>
        <w:pStyle w:val="Ttulo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28"/>
    <w:bookmarkStart w:id="229" w:name="qué-hace-cada-parte-25"/>
    <w:p>
      <w:pPr>
        <w:pStyle w:val="Ttulo4"/>
      </w:pPr>
      <w:r>
        <w:t xml:space="preserve">Qué hace cada parte</w:t>
      </w:r>
    </w:p>
    <w:p>
      <w:pPr>
        <w:pStyle w:val="Compact"/>
        <w:numPr>
          <w:ilvl w:val="0"/>
          <w:numId w:val="1045"/>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45"/>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45"/>
        </w:numPr>
      </w:pPr>
      <w:r>
        <w:rPr>
          <w:rStyle w:val="VerbatimChar"/>
        </w:rPr>
        <w:t xml:space="preserve">for expediente in expedientes:</w:t>
      </w:r>
      <w:r>
        <w:t xml:space="preserve"> </w:t>
      </w:r>
      <w:r>
        <w:t xml:space="preserve">recorre uno por uno los elementos de la lista.</w:t>
      </w:r>
    </w:p>
    <w:p>
      <w:pPr>
        <w:pStyle w:val="Compact"/>
        <w:numPr>
          <w:ilvl w:val="0"/>
          <w:numId w:val="1045"/>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45"/>
        </w:numPr>
      </w:pPr>
      <w:r>
        <w:t xml:space="preserve">Este patrón importa mucho porque una gran parte del trabajo con datos jurídicos empieza justamente así: una lista de casos con atributos nombrados.</w:t>
      </w:r>
    </w:p>
    <w:bookmarkEnd w:id="229"/>
    <w:bookmarkStart w:id="230" w:name="qué-verás-en-la-terminal-25"/>
    <w:p>
      <w:pPr>
        <w:pStyle w:val="Ttulo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30"/>
    <w:bookmarkEnd w:id="231"/>
    <w:bookmarkStart w:id="235" w:name="X162bac5780e6b9d4e978f5bd96844bd55f51c45"/>
    <w:p>
      <w:pPr>
        <w:pStyle w:val="Ttulo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Textoindependiente"/>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32" w:name="qué-hace-este-código-26"/>
    <w:p>
      <w:pPr>
        <w:pStyle w:val="Ttulo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32"/>
    <w:bookmarkStart w:id="233" w:name="qué-hace-cada-parte-26"/>
    <w:p>
      <w:pPr>
        <w:pStyle w:val="Ttulo4"/>
      </w:pPr>
      <w:r>
        <w:t xml:space="preserve">Qué hace cada parte</w:t>
      </w:r>
    </w:p>
    <w:p>
      <w:pPr>
        <w:pStyle w:val="Compact"/>
        <w:numPr>
          <w:ilvl w:val="0"/>
          <w:numId w:val="1046"/>
        </w:numPr>
      </w:pPr>
      <w:r>
        <w:rPr>
          <w:rStyle w:val="VerbatimChar"/>
        </w:rPr>
        <w:t xml:space="preserve">codigo_documento = ...</w:t>
      </w:r>
      <w:r>
        <w:t xml:space="preserve"> </w:t>
      </w:r>
      <w:r>
        <w:t xml:space="preserve">guarda el texto que se quiere revisar.</w:t>
      </w:r>
    </w:p>
    <w:p>
      <w:pPr>
        <w:pStyle w:val="Compact"/>
        <w:numPr>
          <w:ilvl w:val="0"/>
          <w:numId w:val="1046"/>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46"/>
        </w:numPr>
      </w:pPr>
      <w:r>
        <w:rPr>
          <w:rStyle w:val="VerbatimChar"/>
        </w:rPr>
        <w:t xml:space="preserve">if ...:</w:t>
      </w:r>
      <w:r>
        <w:t xml:space="preserve"> </w:t>
      </w:r>
      <w:r>
        <w:t xml:space="preserve">usa ese resultado para elegir entre dos caminos.</w:t>
      </w:r>
    </w:p>
    <w:p>
      <w:pPr>
        <w:pStyle w:val="Compact"/>
        <w:numPr>
          <w:ilvl w:val="0"/>
          <w:numId w:val="1046"/>
        </w:numPr>
      </w:pPr>
      <w:r>
        <w:t xml:space="preserve">Se usa este tipo de validación porque muchos documentos y archivos dependen de convenciones mínimas de nombre o numeración.</w:t>
      </w:r>
    </w:p>
    <w:bookmarkEnd w:id="233"/>
    <w:bookmarkStart w:id="234" w:name="qué-verás-en-la-terminal-26"/>
    <w:p>
      <w:pPr>
        <w:pStyle w:val="Ttulo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34"/>
    <w:bookmarkEnd w:id="235"/>
    <w:bookmarkStart w:id="239" w:name="X23c5344b190bb700af26e7c1a6f7ffe5870f83e"/>
    <w:p>
      <w:pPr>
        <w:pStyle w:val="Ttulo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Textoindependiente"/>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36" w:name="qué-hace-este-código-27"/>
    <w:p>
      <w:pPr>
        <w:pStyle w:val="Ttulo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36"/>
    <w:bookmarkStart w:id="237" w:name="qué-hace-cada-parte-27"/>
    <w:p>
      <w:pPr>
        <w:pStyle w:val="Ttulo4"/>
      </w:pPr>
      <w:r>
        <w:t xml:space="preserve">Qué hace cada parte</w:t>
      </w:r>
    </w:p>
    <w:p>
      <w:pPr>
        <w:pStyle w:val="Compact"/>
        <w:numPr>
          <w:ilvl w:val="0"/>
          <w:numId w:val="1047"/>
        </w:numPr>
      </w:pPr>
      <w:r>
        <w:rPr>
          <w:rStyle w:val="VerbatimChar"/>
        </w:rPr>
        <w:t xml:space="preserve">texto_resolucion</w:t>
      </w:r>
      <w:r>
        <w:t xml:space="preserve"> </w:t>
      </w:r>
      <w:r>
        <w:t xml:space="preserve">contiene el texto principal.</w:t>
      </w:r>
    </w:p>
    <w:p>
      <w:pPr>
        <w:pStyle w:val="Compact"/>
        <w:numPr>
          <w:ilvl w:val="0"/>
          <w:numId w:val="1047"/>
        </w:numPr>
      </w:pPr>
      <w:r>
        <w:rPr>
          <w:rStyle w:val="VerbatimChar"/>
        </w:rPr>
        <w:t xml:space="preserve">palabra_clave</w:t>
      </w:r>
      <w:r>
        <w:t xml:space="preserve"> </w:t>
      </w:r>
      <w:r>
        <w:t xml:space="preserve">guarda la expresión que quieres buscar.</w:t>
      </w:r>
    </w:p>
    <w:p>
      <w:pPr>
        <w:pStyle w:val="Compact"/>
        <w:numPr>
          <w:ilvl w:val="0"/>
          <w:numId w:val="1047"/>
        </w:numPr>
      </w:pPr>
      <w:r>
        <w:rPr>
          <w:rStyle w:val="VerbatimChar"/>
        </w:rPr>
        <w:t xml:space="preserve">.lower()</w:t>
      </w:r>
      <w:r>
        <w:t xml:space="preserve"> </w:t>
      </w:r>
      <w:r>
        <w:t xml:space="preserve">convierte el texto a minúsculas.</w:t>
      </w:r>
    </w:p>
    <w:p>
      <w:pPr>
        <w:pStyle w:val="Compact"/>
        <w:numPr>
          <w:ilvl w:val="0"/>
          <w:numId w:val="1047"/>
        </w:numPr>
      </w:pPr>
      <w:r>
        <w:rPr>
          <w:rStyle w:val="VerbatimChar"/>
        </w:rPr>
        <w:t xml:space="preserve">in</w:t>
      </w:r>
      <w:r>
        <w:t xml:space="preserve"> </w:t>
      </w:r>
      <w:r>
        <w:t xml:space="preserve">verifica si una cadena está contenida dentro de otra.</w:t>
      </w:r>
    </w:p>
    <w:p>
      <w:pPr>
        <w:pStyle w:val="Compact"/>
        <w:numPr>
          <w:ilvl w:val="0"/>
          <w:numId w:val="1047"/>
        </w:numPr>
      </w:pPr>
      <w:r>
        <w:t xml:space="preserve">Se convierten ambos textos a minúsculas para que la búsqueda no falle por diferencias de capitalización.</w:t>
      </w:r>
    </w:p>
    <w:bookmarkEnd w:id="237"/>
    <w:bookmarkStart w:id="238" w:name="qué-verás-en-la-terminal-27"/>
    <w:p>
      <w:pPr>
        <w:pStyle w:val="Ttulo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38"/>
    <w:bookmarkEnd w:id="239"/>
    <w:bookmarkStart w:id="243" w:name="X16a54d2846c82763cb79b97067a6c9eee4220b3"/>
    <w:p>
      <w:pPr>
        <w:pStyle w:val="Ttulo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Textoindependiente"/>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40" w:name="qué-hace-este-código-28"/>
    <w:p>
      <w:pPr>
        <w:pStyle w:val="Ttulo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40"/>
    <w:bookmarkStart w:id="241" w:name="qué-hace-cada-parte-28"/>
    <w:p>
      <w:pPr>
        <w:pStyle w:val="Ttulo4"/>
      </w:pPr>
      <w:r>
        <w:t xml:space="preserve">Qué hace cada parte</w:t>
      </w:r>
    </w:p>
    <w:p>
      <w:pPr>
        <w:pStyle w:val="Compact"/>
        <w:numPr>
          <w:ilvl w:val="0"/>
          <w:numId w:val="1048"/>
        </w:numPr>
      </w:pPr>
      <w:r>
        <w:rPr>
          <w:rStyle w:val="VerbatimChar"/>
        </w:rPr>
        <w:t xml:space="preserve">casos = [...]</w:t>
      </w:r>
      <w:r>
        <w:t xml:space="preserve"> </w:t>
      </w:r>
      <w:r>
        <w:t xml:space="preserve">contiene las categorías observadas.</w:t>
      </w:r>
    </w:p>
    <w:p>
      <w:pPr>
        <w:pStyle w:val="Compact"/>
        <w:numPr>
          <w:ilvl w:val="0"/>
          <w:numId w:val="1048"/>
        </w:numPr>
      </w:pPr>
      <w:r>
        <w:rPr>
          <w:rStyle w:val="VerbatimChar"/>
        </w:rPr>
        <w:t xml:space="preserve">conteo = {}</w:t>
      </w:r>
      <w:r>
        <w:t xml:space="preserve"> </w:t>
      </w:r>
      <w:r>
        <w:t xml:space="preserve">crea un diccionario vacío donde se guardarán los resultados.</w:t>
      </w:r>
    </w:p>
    <w:p>
      <w:pPr>
        <w:pStyle w:val="Compact"/>
        <w:numPr>
          <w:ilvl w:val="0"/>
          <w:numId w:val="1048"/>
        </w:numPr>
      </w:pPr>
      <w:r>
        <w:rPr>
          <w:rStyle w:val="VerbatimChar"/>
        </w:rPr>
        <w:t xml:space="preserve">if categoria in conteo:</w:t>
      </w:r>
      <w:r>
        <w:t xml:space="preserve"> </w:t>
      </w:r>
      <w:r>
        <w:t xml:space="preserve">revisa si la categoría ya tiene contador.</w:t>
      </w:r>
    </w:p>
    <w:p>
      <w:pPr>
        <w:pStyle w:val="Compact"/>
        <w:numPr>
          <w:ilvl w:val="0"/>
          <w:numId w:val="1048"/>
        </w:numPr>
      </w:pPr>
      <w:r>
        <w:t xml:space="preserve">Si ya existe, se incrementa en uno.</w:t>
      </w:r>
    </w:p>
    <w:p>
      <w:pPr>
        <w:pStyle w:val="Compact"/>
        <w:numPr>
          <w:ilvl w:val="0"/>
          <w:numId w:val="1048"/>
        </w:numPr>
      </w:pPr>
      <w:r>
        <w:t xml:space="preserve">Si no existe, se crea con valor</w:t>
      </w:r>
      <w:r>
        <w:t xml:space="preserve"> </w:t>
      </w:r>
      <w:r>
        <w:rPr>
          <w:rStyle w:val="VerbatimChar"/>
        </w:rPr>
        <w:t xml:space="preserve">1</w:t>
      </w:r>
      <w:r>
        <w:t xml:space="preserve">.</w:t>
      </w:r>
    </w:p>
    <w:p>
      <w:pPr>
        <w:pStyle w:val="Compact"/>
        <w:numPr>
          <w:ilvl w:val="0"/>
          <w:numId w:val="1048"/>
        </w:numPr>
      </w:pPr>
      <w:r>
        <w:t xml:space="preserve">Este patrón importa porque muchas tareas reales empiezan justamente así: contar cuántas veces aparece cada tipo de asunto o estado.</w:t>
      </w:r>
    </w:p>
    <w:bookmarkEnd w:id="241"/>
    <w:bookmarkStart w:id="242" w:name="qué-verás-en-la-terminal-28"/>
    <w:p>
      <w:pPr>
        <w:pStyle w:val="Ttulo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42"/>
    <w:bookmarkEnd w:id="243"/>
    <w:bookmarkEnd w:id="244"/>
    <w:bookmarkStart w:id="277" w:name="Xb626bd2f0e1bf06c329dc2758e21ce4af08f798"/>
    <w:p>
      <w:pPr>
        <w:pStyle w:val="Ttulo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48" w:name="Xc49a81286517efd58a946072963d02e87ed180d"/>
    <w:p>
      <w:pPr>
        <w:pStyle w:val="Ttulo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45" w:name="qué-hace-este-código-29"/>
    <w:p>
      <w:pPr>
        <w:pStyle w:val="Ttulo4"/>
      </w:pPr>
      <w:r>
        <w:t xml:space="preserve">Qué hace este código</w:t>
      </w:r>
    </w:p>
    <w:p>
      <w:pPr>
        <w:pStyle w:val="FirstParagraph"/>
      </w:pPr>
      <w:r>
        <w:t xml:space="preserve">El programa crea un PDF nuevo, escribe un título y luego usa un bucle para agregar una línea por cada estudiante de la lista.</w:t>
      </w:r>
    </w:p>
    <w:bookmarkEnd w:id="245"/>
    <w:bookmarkStart w:id="246" w:name="qué-hace-cada-parte-29"/>
    <w:p>
      <w:pPr>
        <w:pStyle w:val="Ttulo4"/>
      </w:pPr>
      <w:r>
        <w:t xml:space="preserve">Qué hace cada parte</w:t>
      </w:r>
    </w:p>
    <w:p>
      <w:pPr>
        <w:pStyle w:val="Compact"/>
        <w:numPr>
          <w:ilvl w:val="0"/>
          <w:numId w:val="1049"/>
        </w:numPr>
      </w:pPr>
      <w:r>
        <w:rPr>
          <w:rStyle w:val="VerbatimChar"/>
        </w:rPr>
        <w:t xml:space="preserve">canvas.Canvas(...)</w:t>
      </w:r>
      <w:r>
        <w:t xml:space="preserve"> </w:t>
      </w:r>
      <w:r>
        <w:t xml:space="preserve">crea el lienzo PDF donde se dibujará el contenido.</w:t>
      </w:r>
    </w:p>
    <w:p>
      <w:pPr>
        <w:pStyle w:val="Compact"/>
        <w:numPr>
          <w:ilvl w:val="0"/>
          <w:numId w:val="1049"/>
        </w:numPr>
      </w:pPr>
      <w:r>
        <w:rPr>
          <w:rStyle w:val="VerbatimChar"/>
        </w:rPr>
        <w:t xml:space="preserve">LETTER</w:t>
      </w:r>
      <w:r>
        <w:t xml:space="preserve"> </w:t>
      </w:r>
      <w:r>
        <w:t xml:space="preserve">define el tamaño de página.</w:t>
      </w:r>
    </w:p>
    <w:p>
      <w:pPr>
        <w:pStyle w:val="Compact"/>
        <w:numPr>
          <w:ilvl w:val="0"/>
          <w:numId w:val="1049"/>
        </w:numPr>
      </w:pPr>
      <w:r>
        <w:rPr>
          <w:rStyle w:val="VerbatimChar"/>
        </w:rPr>
        <w:t xml:space="preserve">drawString(...)</w:t>
      </w:r>
      <w:r>
        <w:t xml:space="preserve"> </w:t>
      </w:r>
      <w:r>
        <w:t xml:space="preserve">escribe texto en una posición específica.</w:t>
      </w:r>
    </w:p>
    <w:p>
      <w:pPr>
        <w:pStyle w:val="Compact"/>
        <w:numPr>
          <w:ilvl w:val="0"/>
          <w:numId w:val="1049"/>
        </w:numPr>
      </w:pPr>
      <w:r>
        <w:rPr>
          <w:rStyle w:val="VerbatimChar"/>
        </w:rPr>
        <w:t xml:space="preserve">enumerate(..., start=1)</w:t>
      </w:r>
      <w:r>
        <w:t xml:space="preserve"> </w:t>
      </w:r>
      <w:r>
        <w:t xml:space="preserve">sirve para numerar la lista.</w:t>
      </w:r>
    </w:p>
    <w:p>
      <w:pPr>
        <w:pStyle w:val="Compact"/>
        <w:numPr>
          <w:ilvl w:val="0"/>
          <w:numId w:val="1049"/>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49"/>
        </w:numPr>
      </w:pPr>
      <w:r>
        <w:t xml:space="preserve">Se usa un bucle porque el objetivo es mostrar cómo una estructura de datos puede transformarse en un documento repetible.</w:t>
      </w:r>
    </w:p>
    <w:bookmarkEnd w:id="246"/>
    <w:bookmarkStart w:id="247" w:name="qué-verás-en-la-terminal-29"/>
    <w:p>
      <w:pPr>
        <w:pStyle w:val="Ttulo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47"/>
    <w:bookmarkEnd w:id="248"/>
    <w:bookmarkStart w:id="252" w:name="X3d030ff293c3486740c7015d0b6e718fd7ae989"/>
    <w:p>
      <w:pPr>
        <w:pStyle w:val="Ttulo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Textoindependiente"/>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49" w:name="qué-hace-este-código-30"/>
    <w:p>
      <w:pPr>
        <w:pStyle w:val="Ttulo4"/>
      </w:pPr>
      <w:r>
        <w:t xml:space="preserve">Qué hace este código</w:t>
      </w:r>
    </w:p>
    <w:p>
      <w:pPr>
        <w:pStyle w:val="FirstParagraph"/>
      </w:pPr>
      <w:r>
        <w:t xml:space="preserve">El programa crea un PDF, pinta un fondo claro, escribe un título, carga una imagen y la coloca centrada dentro de la página.</w:t>
      </w:r>
    </w:p>
    <w:bookmarkEnd w:id="249"/>
    <w:bookmarkStart w:id="250" w:name="qué-hace-cada-parte-30"/>
    <w:p>
      <w:pPr>
        <w:pStyle w:val="Ttulo4"/>
      </w:pPr>
      <w:r>
        <w:t xml:space="preserve">Qué hace cada parte</w:t>
      </w:r>
    </w:p>
    <w:p>
      <w:pPr>
        <w:pStyle w:val="Compact"/>
        <w:numPr>
          <w:ilvl w:val="0"/>
          <w:numId w:val="1050"/>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50"/>
        </w:numPr>
      </w:pPr>
      <w:r>
        <w:rPr>
          <w:rStyle w:val="VerbatimChar"/>
        </w:rPr>
        <w:t xml:space="preserve">getSize()</w:t>
      </w:r>
      <w:r>
        <w:t xml:space="preserve"> </w:t>
      </w:r>
      <w:r>
        <w:t xml:space="preserve">permite conocer su tamaño original.</w:t>
      </w:r>
    </w:p>
    <w:p>
      <w:pPr>
        <w:pStyle w:val="Compact"/>
        <w:numPr>
          <w:ilvl w:val="0"/>
          <w:numId w:val="1050"/>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50"/>
        </w:numPr>
      </w:pPr>
      <w:r>
        <w:rPr>
          <w:rStyle w:val="VerbatimChar"/>
        </w:rPr>
        <w:t xml:space="preserve">drawImage(...)</w:t>
      </w:r>
      <w:r>
        <w:t xml:space="preserve"> </w:t>
      </w:r>
      <w:r>
        <w:t xml:space="preserve">inserta la imagen dentro del PDF.</w:t>
      </w:r>
    </w:p>
    <w:p>
      <w:pPr>
        <w:pStyle w:val="Compact"/>
        <w:numPr>
          <w:ilvl w:val="0"/>
          <w:numId w:val="1050"/>
        </w:numPr>
      </w:pPr>
      <w:r>
        <w:t xml:space="preserve">Se calculan tamaño y posición porque trabajar con documentos generados también implica controlar composición visual básica.</w:t>
      </w:r>
    </w:p>
    <w:bookmarkEnd w:id="250"/>
    <w:bookmarkStart w:id="251" w:name="qué-verás-en-la-terminal-30"/>
    <w:p>
      <w:pPr>
        <w:pStyle w:val="Ttulo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51"/>
    <w:bookmarkEnd w:id="252"/>
    <w:bookmarkStart w:id="256" w:name="X1a89e55bc0ff77b0d30ddd956a22235d86a791c"/>
    <w:p>
      <w:pPr>
        <w:pStyle w:val="Ttulo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Textoindependiente"/>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53" w:name="qué-hace-este-código-31"/>
    <w:p>
      <w:pPr>
        <w:pStyle w:val="Ttulo4"/>
      </w:pPr>
      <w:r>
        <w:t xml:space="preserve">Qué hace este código</w:t>
      </w:r>
    </w:p>
    <w:p>
      <w:pPr>
        <w:pStyle w:val="FirstParagraph"/>
      </w:pPr>
      <w:r>
        <w:t xml:space="preserve">El programa lee un CSV, toma cada fila como un destinatario distinto y genera una carta PDF independiente para cada registro.</w:t>
      </w:r>
    </w:p>
    <w:bookmarkEnd w:id="253"/>
    <w:bookmarkStart w:id="254" w:name="qué-hace-cada-parte-31"/>
    <w:p>
      <w:pPr>
        <w:pStyle w:val="Ttulo4"/>
      </w:pPr>
      <w:r>
        <w:t xml:space="preserve">Qué hace cada parte</w:t>
      </w:r>
    </w:p>
    <w:p>
      <w:pPr>
        <w:pStyle w:val="Compact"/>
        <w:numPr>
          <w:ilvl w:val="0"/>
          <w:numId w:val="1051"/>
        </w:numPr>
      </w:pPr>
      <w:r>
        <w:rPr>
          <w:rStyle w:val="VerbatimChar"/>
        </w:rPr>
        <w:t xml:space="preserve">csv.DictReader(...)</w:t>
      </w:r>
      <w:r>
        <w:t xml:space="preserve"> </w:t>
      </w:r>
      <w:r>
        <w:t xml:space="preserve">permite leer cada fila como diccionario.</w:t>
      </w:r>
    </w:p>
    <w:p>
      <w:pPr>
        <w:pStyle w:val="Compact"/>
        <w:numPr>
          <w:ilvl w:val="0"/>
          <w:numId w:val="1051"/>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51"/>
        </w:numPr>
      </w:pPr>
      <w:r>
        <w:rPr>
          <w:rStyle w:val="VerbatimChar"/>
        </w:rPr>
        <w:t xml:space="preserve">enumerate(..., start=3)</w:t>
      </w:r>
      <w:r>
        <w:t xml:space="preserve"> </w:t>
      </w:r>
      <w:r>
        <w:t xml:space="preserve">agrega una numeración a cada carta.</w:t>
      </w:r>
    </w:p>
    <w:p>
      <w:pPr>
        <w:pStyle w:val="Compact"/>
        <w:numPr>
          <w:ilvl w:val="0"/>
          <w:numId w:val="1051"/>
        </w:numPr>
      </w:pPr>
      <w:r>
        <w:t xml:space="preserve">Dentro del bucle se construye un PDF nuevo para cada fila.</w:t>
      </w:r>
    </w:p>
    <w:p>
      <w:pPr>
        <w:pStyle w:val="Compact"/>
        <w:numPr>
          <w:ilvl w:val="0"/>
          <w:numId w:val="1051"/>
        </w:numPr>
      </w:pPr>
      <w:r>
        <w:t xml:space="preserve">Se usa este patrón porque muchas tareas documentales repiten una misma estructura cambiando solo algunos datos.</w:t>
      </w:r>
    </w:p>
    <w:bookmarkEnd w:id="254"/>
    <w:bookmarkStart w:id="255" w:name="qué-verás-en-la-terminal-31"/>
    <w:p>
      <w:pPr>
        <w:pStyle w:val="Ttulo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55"/>
    <w:bookmarkEnd w:id="256"/>
    <w:bookmarkStart w:id="260" w:name="Xfc3755776dfb7abc53d433fb6d139a5379e6abe"/>
    <w:p>
      <w:pPr>
        <w:pStyle w:val="Ttulo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57" w:name="qué-hace-este-código-32"/>
    <w:p>
      <w:pPr>
        <w:pStyle w:val="Ttulo4"/>
      </w:pPr>
      <w:r>
        <w:t xml:space="preserve">Qué hace este código</w:t>
      </w:r>
    </w:p>
    <w:p>
      <w:pPr>
        <w:pStyle w:val="FirstParagraph"/>
      </w:pPr>
      <w:r>
        <w:t xml:space="preserve">El programa construye un PDF más elaborado que combina fondo, logo, título y un párrafo con ajuste automático de línea.</w:t>
      </w:r>
    </w:p>
    <w:bookmarkEnd w:id="257"/>
    <w:bookmarkStart w:id="258" w:name="qué-hace-cada-parte-32"/>
    <w:p>
      <w:pPr>
        <w:pStyle w:val="Ttulo4"/>
      </w:pPr>
      <w:r>
        <w:t xml:space="preserve">Qué hace cada parte</w:t>
      </w:r>
    </w:p>
    <w:p>
      <w:pPr>
        <w:pStyle w:val="Compact"/>
        <w:numPr>
          <w:ilvl w:val="0"/>
          <w:numId w:val="1052"/>
        </w:numPr>
      </w:pPr>
      <w:r>
        <w:rPr>
          <w:rStyle w:val="VerbatimChar"/>
        </w:rPr>
        <w:t xml:space="preserve">colors.HexColor(...)</w:t>
      </w:r>
      <w:r>
        <w:t xml:space="preserve"> </w:t>
      </w:r>
      <w:r>
        <w:t xml:space="preserve">define colores personalizados.</w:t>
      </w:r>
    </w:p>
    <w:p>
      <w:pPr>
        <w:pStyle w:val="Compact"/>
        <w:numPr>
          <w:ilvl w:val="0"/>
          <w:numId w:val="1052"/>
        </w:numPr>
      </w:pPr>
      <w:r>
        <w:rPr>
          <w:rStyle w:val="VerbatimChar"/>
        </w:rPr>
        <w:t xml:space="preserve">ParagraphStyle(...)</w:t>
      </w:r>
      <w:r>
        <w:t xml:space="preserve"> </w:t>
      </w:r>
      <w:r>
        <w:t xml:space="preserve">crea un estilo de texto reutilizable.</w:t>
      </w:r>
    </w:p>
    <w:p>
      <w:pPr>
        <w:pStyle w:val="Compact"/>
        <w:numPr>
          <w:ilvl w:val="0"/>
          <w:numId w:val="1052"/>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52"/>
        </w:numPr>
      </w:pPr>
      <w:r>
        <w:rPr>
          <w:rStyle w:val="VerbatimChar"/>
        </w:rPr>
        <w:t xml:space="preserve">drawOn(...)</w:t>
      </w:r>
      <w:r>
        <w:t xml:space="preserve"> </w:t>
      </w:r>
      <w:r>
        <w:t xml:space="preserve">coloca ese párrafo en una posición específica de la página.</w:t>
      </w:r>
    </w:p>
    <w:p>
      <w:pPr>
        <w:pStyle w:val="Compact"/>
        <w:numPr>
          <w:ilvl w:val="0"/>
          <w:numId w:val="1052"/>
        </w:numPr>
      </w:pPr>
      <w:r>
        <w:t xml:space="preserve">Este tipo de ejercicio importa porque muestra que la automatización documental no tiene que limitarse a documentos visualmente pobres.</w:t>
      </w:r>
    </w:p>
    <w:bookmarkEnd w:id="258"/>
    <w:bookmarkStart w:id="259" w:name="qué-verás-en-la-terminal-32"/>
    <w:p>
      <w:pPr>
        <w:pStyle w:val="Ttulo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59"/>
    <w:bookmarkEnd w:id="260"/>
    <w:bookmarkStart w:id="264" w:name="X8a75ebf4d7c2897139b2ad4db173176a330f09f"/>
    <w:p>
      <w:pPr>
        <w:pStyle w:val="Ttulo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61" w:name="qué-hace-este-código-33"/>
    <w:p>
      <w:pPr>
        <w:pStyle w:val="Ttulo4"/>
      </w:pPr>
      <w:r>
        <w:t xml:space="preserve">Qué hace este código</w:t>
      </w:r>
    </w:p>
    <w:p>
      <w:pPr>
        <w:pStyle w:val="FirstParagraph"/>
      </w:pPr>
      <w:r>
        <w:t xml:space="preserve">El programa busca todos los PDF dentro de una carpeta, los ordena por nombre y los agrega a un único documento final.</w:t>
      </w:r>
    </w:p>
    <w:bookmarkEnd w:id="261"/>
    <w:bookmarkStart w:id="262" w:name="qué-hace-cada-parte-33"/>
    <w:p>
      <w:pPr>
        <w:pStyle w:val="Ttulo4"/>
      </w:pPr>
      <w:r>
        <w:t xml:space="preserve">Qué hace cada parte</w:t>
      </w:r>
    </w:p>
    <w:p>
      <w:pPr>
        <w:pStyle w:val="Compact"/>
        <w:numPr>
          <w:ilvl w:val="0"/>
          <w:numId w:val="1053"/>
        </w:numPr>
      </w:pPr>
      <w:r>
        <w:rPr>
          <w:rStyle w:val="VerbatimChar"/>
        </w:rPr>
        <w:t xml:space="preserve">glob("*.pdf")</w:t>
      </w:r>
      <w:r>
        <w:t xml:space="preserve"> </w:t>
      </w:r>
      <w:r>
        <w:t xml:space="preserve">busca todos los archivos PDF de la carpeta.</w:t>
      </w:r>
    </w:p>
    <w:p>
      <w:pPr>
        <w:pStyle w:val="Compact"/>
        <w:numPr>
          <w:ilvl w:val="0"/>
          <w:numId w:val="1053"/>
        </w:numPr>
      </w:pPr>
      <w:r>
        <w:rPr>
          <w:rStyle w:val="VerbatimChar"/>
        </w:rPr>
        <w:t xml:space="preserve">sorted(...)</w:t>
      </w:r>
      <w:r>
        <w:t xml:space="preserve"> </w:t>
      </w:r>
      <w:r>
        <w:t xml:space="preserve">los ordena por nombre.</w:t>
      </w:r>
    </w:p>
    <w:p>
      <w:pPr>
        <w:pStyle w:val="Compact"/>
        <w:numPr>
          <w:ilvl w:val="0"/>
          <w:numId w:val="1053"/>
        </w:numPr>
      </w:pPr>
      <w:r>
        <w:rPr>
          <w:rStyle w:val="VerbatimChar"/>
        </w:rPr>
        <w:t xml:space="preserve">PdfWriter()</w:t>
      </w:r>
      <w:r>
        <w:t xml:space="preserve"> </w:t>
      </w:r>
      <w:r>
        <w:t xml:space="preserve">crea el objeto que irá reuniendo los documentos.</w:t>
      </w:r>
    </w:p>
    <w:p>
      <w:pPr>
        <w:pStyle w:val="Compact"/>
        <w:numPr>
          <w:ilvl w:val="0"/>
          <w:numId w:val="1053"/>
        </w:numPr>
      </w:pPr>
      <w:r>
        <w:rPr>
          <w:rStyle w:val="VerbatimChar"/>
        </w:rPr>
        <w:t xml:space="preserve">writer.append(...)</w:t>
      </w:r>
      <w:r>
        <w:t xml:space="preserve"> </w:t>
      </w:r>
      <w:r>
        <w:t xml:space="preserve">agrega cada PDF al resultado final.</w:t>
      </w:r>
    </w:p>
    <w:p>
      <w:pPr>
        <w:pStyle w:val="Compact"/>
        <w:numPr>
          <w:ilvl w:val="0"/>
          <w:numId w:val="1053"/>
        </w:numPr>
      </w:pPr>
      <w:r>
        <w:t xml:space="preserve">El archivo final se escribe en modo binario con</w:t>
      </w:r>
      <w:r>
        <w:t xml:space="preserve"> </w:t>
      </w:r>
      <w:r>
        <w:rPr>
          <w:rStyle w:val="VerbatimChar"/>
        </w:rPr>
        <w:t xml:space="preserve">"wb"</w:t>
      </w:r>
      <w:r>
        <w:t xml:space="preserve">.</w:t>
      </w:r>
    </w:p>
    <w:p>
      <w:pPr>
        <w:pStyle w:val="Compact"/>
        <w:numPr>
          <w:ilvl w:val="0"/>
          <w:numId w:val="1053"/>
        </w:numPr>
      </w:pPr>
      <w:r>
        <w:t xml:space="preserve">Se usa este proceso porque muchas tareas documentales no terminan al crear un archivo: a veces también hace falta consolidar varios insumos en un solo expediente o reporte.</w:t>
      </w:r>
    </w:p>
    <w:bookmarkEnd w:id="262"/>
    <w:bookmarkStart w:id="263" w:name="qué-verás-en-la-terminal-33"/>
    <w:p>
      <w:pPr>
        <w:pStyle w:val="Ttulo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63"/>
    <w:bookmarkEnd w:id="264"/>
    <w:bookmarkStart w:id="268" w:name="Xa81c51b986e4fac45e1664dab4dc57a4a2ba069"/>
    <w:p>
      <w:pPr>
        <w:pStyle w:val="Ttulo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Textoindependiente"/>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65" w:name="qué-hace-este-código-34"/>
    <w:p>
      <w:pPr>
        <w:pStyle w:val="Ttulo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65"/>
    <w:bookmarkStart w:id="266" w:name="qué-hace-cada-parte-34"/>
    <w:p>
      <w:pPr>
        <w:pStyle w:val="Ttulo4"/>
      </w:pPr>
      <w:r>
        <w:t xml:space="preserve">Qué hace cada parte</w:t>
      </w:r>
    </w:p>
    <w:p>
      <w:pPr>
        <w:pStyle w:val="Compact"/>
        <w:numPr>
          <w:ilvl w:val="0"/>
          <w:numId w:val="1054"/>
        </w:numPr>
      </w:pPr>
      <w:r>
        <w:rPr>
          <w:rStyle w:val="VerbatimChar"/>
        </w:rPr>
        <w:t xml:space="preserve">csv.DictReader(...)</w:t>
      </w:r>
      <w:r>
        <w:t xml:space="preserve"> </w:t>
      </w:r>
      <w:r>
        <w:t xml:space="preserve">recupera cada fila como diccionario.</w:t>
      </w:r>
    </w:p>
    <w:p>
      <w:pPr>
        <w:pStyle w:val="Compact"/>
        <w:numPr>
          <w:ilvl w:val="0"/>
          <w:numId w:val="1054"/>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54"/>
        </w:numPr>
      </w:pPr>
      <w:r>
        <w:rPr>
          <w:rStyle w:val="VerbatimChar"/>
        </w:rPr>
        <w:t xml:space="preserve">plt.bar(...)</w:t>
      </w:r>
      <w:r>
        <w:t xml:space="preserve"> </w:t>
      </w:r>
      <w:r>
        <w:t xml:space="preserve">dibuja las barras.</w:t>
      </w:r>
    </w:p>
    <w:p>
      <w:pPr>
        <w:pStyle w:val="Compact"/>
        <w:numPr>
          <w:ilvl w:val="0"/>
          <w:numId w:val="1054"/>
        </w:numPr>
      </w:pPr>
      <w:r>
        <w:rPr>
          <w:rStyle w:val="VerbatimChar"/>
        </w:rPr>
        <w:t xml:space="preserve">plt.text(...)</w:t>
      </w:r>
      <w:r>
        <w:t xml:space="preserve"> </w:t>
      </w:r>
      <w:r>
        <w:t xml:space="preserve">coloca etiquetas numéricas encima de cada barra.</w:t>
      </w:r>
    </w:p>
    <w:p>
      <w:pPr>
        <w:pStyle w:val="Compact"/>
        <w:numPr>
          <w:ilvl w:val="0"/>
          <w:numId w:val="1054"/>
        </w:numPr>
      </w:pPr>
      <w:r>
        <w:rPr>
          <w:rStyle w:val="VerbatimChar"/>
        </w:rPr>
        <w:t xml:space="preserve">plt.savefig(...)</w:t>
      </w:r>
      <w:r>
        <w:t xml:space="preserve"> </w:t>
      </w:r>
      <w:r>
        <w:t xml:space="preserve">guarda una copia del gráfico como archivo PNG.</w:t>
      </w:r>
    </w:p>
    <w:p>
      <w:pPr>
        <w:pStyle w:val="Compact"/>
        <w:numPr>
          <w:ilvl w:val="0"/>
          <w:numId w:val="1054"/>
        </w:numPr>
      </w:pPr>
      <w:r>
        <w:t xml:space="preserve">Se usa este enfoque porque una visualización puede resumir información de un vistazo, algo útil cuando los datos empiezan a crecer.</w:t>
      </w:r>
    </w:p>
    <w:bookmarkEnd w:id="266"/>
    <w:bookmarkStart w:id="267" w:name="qué-verás-en-la-terminal-34"/>
    <w:p>
      <w:pPr>
        <w:pStyle w:val="Ttulo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67"/>
    <w:bookmarkEnd w:id="268"/>
    <w:bookmarkStart w:id="272" w:name="Xd8b5b86b056a792fa60cf3a8065e7820427a10c"/>
    <w:p>
      <w:pPr>
        <w:pStyle w:val="Ttulo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Textoindependiente"/>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69" w:name="qué-hace-este-código-35"/>
    <w:p>
      <w:pPr>
        <w:pStyle w:val="Ttulo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69"/>
    <w:bookmarkStart w:id="270" w:name="qué-hace-cada-parte-35"/>
    <w:p>
      <w:pPr>
        <w:pStyle w:val="Ttulo4"/>
      </w:pPr>
      <w:r>
        <w:t xml:space="preserve">Qué hace cada parte</w:t>
      </w:r>
    </w:p>
    <w:p>
      <w:pPr>
        <w:pStyle w:val="Compact"/>
        <w:numPr>
          <w:ilvl w:val="0"/>
          <w:numId w:val="1055"/>
        </w:numPr>
      </w:pPr>
      <w:r>
        <w:rPr>
          <w:rStyle w:val="VerbatimChar"/>
        </w:rPr>
        <w:t xml:space="preserve">EmailMessage()</w:t>
      </w:r>
      <w:r>
        <w:t xml:space="preserve"> </w:t>
      </w:r>
      <w:r>
        <w:t xml:space="preserve">crea el objeto correo.</w:t>
      </w:r>
    </w:p>
    <w:p>
      <w:pPr>
        <w:pStyle w:val="Compact"/>
        <w:numPr>
          <w:ilvl w:val="0"/>
          <w:numId w:val="1055"/>
        </w:numPr>
      </w:pPr>
      <w:r>
        <w:rPr>
          <w:rStyle w:val="VerbatimChar"/>
        </w:rPr>
        <w:t xml:space="preserve">set_content(...)</w:t>
      </w:r>
      <w:r>
        <w:t xml:space="preserve"> </w:t>
      </w:r>
      <w:r>
        <w:t xml:space="preserve">define el cuerpo del mensaje.</w:t>
      </w:r>
    </w:p>
    <w:p>
      <w:pPr>
        <w:pStyle w:val="Compact"/>
        <w:numPr>
          <w:ilvl w:val="0"/>
          <w:numId w:val="1055"/>
        </w:numPr>
      </w:pPr>
      <w:r>
        <w:rPr>
          <w:rStyle w:val="VerbatimChar"/>
        </w:rPr>
        <w:t xml:space="preserve">csv.DictReader(...)</w:t>
      </w:r>
      <w:r>
        <w:t xml:space="preserve"> </w:t>
      </w:r>
      <w:r>
        <w:t xml:space="preserve">lee los destinatarios desde el archivo.</w:t>
      </w:r>
    </w:p>
    <w:p>
      <w:pPr>
        <w:pStyle w:val="Compact"/>
        <w:numPr>
          <w:ilvl w:val="0"/>
          <w:numId w:val="1055"/>
        </w:numPr>
      </w:pPr>
      <w:r>
        <w:rPr>
          <w:rStyle w:val="VerbatimChar"/>
        </w:rPr>
        <w:t xml:space="preserve">smtplib.SMTP(...)</w:t>
      </w:r>
      <w:r>
        <w:t xml:space="preserve"> </w:t>
      </w:r>
      <w:r>
        <w:t xml:space="preserve">abre la conexión con el servidor de correo.</w:t>
      </w:r>
    </w:p>
    <w:p>
      <w:pPr>
        <w:pStyle w:val="Compact"/>
        <w:numPr>
          <w:ilvl w:val="0"/>
          <w:numId w:val="1055"/>
        </w:numPr>
      </w:pPr>
      <w:r>
        <w:rPr>
          <w:rStyle w:val="VerbatimChar"/>
        </w:rPr>
        <w:t xml:space="preserve">starttls()</w:t>
      </w:r>
      <w:r>
        <w:t xml:space="preserve"> </w:t>
      </w:r>
      <w:r>
        <w:t xml:space="preserve">activa cifrado para la conexión.</w:t>
      </w:r>
    </w:p>
    <w:p>
      <w:pPr>
        <w:pStyle w:val="Compact"/>
        <w:numPr>
          <w:ilvl w:val="0"/>
          <w:numId w:val="1055"/>
        </w:numPr>
      </w:pPr>
      <w:r>
        <w:rPr>
          <w:rStyle w:val="VerbatimChar"/>
        </w:rPr>
        <w:t xml:space="preserve">login(...)</w:t>
      </w:r>
      <w:r>
        <w:t xml:space="preserve"> </w:t>
      </w:r>
      <w:r>
        <w:t xml:space="preserve">autentica la cuenta antes del envío.</w:t>
      </w:r>
    </w:p>
    <w:p>
      <w:pPr>
        <w:pStyle w:val="Compact"/>
        <w:numPr>
          <w:ilvl w:val="0"/>
          <w:numId w:val="1055"/>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70"/>
    <w:bookmarkStart w:id="271" w:name="qué-verás-en-la-terminal-35"/>
    <w:p>
      <w:pPr>
        <w:pStyle w:val="Ttulo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71"/>
    <w:bookmarkEnd w:id="272"/>
    <w:bookmarkStart w:id="276" w:name="X41dad0c42bc1a138604f5847d367981eb05dec0"/>
    <w:p>
      <w:pPr>
        <w:pStyle w:val="Ttulo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73" w:name="qué-hace-este-código-36"/>
    <w:p>
      <w:pPr>
        <w:pStyle w:val="Ttulo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73"/>
    <w:bookmarkStart w:id="274" w:name="qué-hace-cada-parte-36"/>
    <w:p>
      <w:pPr>
        <w:pStyle w:val="Ttulo4"/>
      </w:pPr>
      <w:r>
        <w:t xml:space="preserve">Qué hace cada parte</w:t>
      </w:r>
    </w:p>
    <w:p>
      <w:pPr>
        <w:pStyle w:val="Compact"/>
        <w:numPr>
          <w:ilvl w:val="0"/>
          <w:numId w:val="1056"/>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56"/>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56"/>
        </w:numPr>
      </w:pPr>
      <w:r>
        <w:rPr>
          <w:rStyle w:val="VerbatimChar"/>
        </w:rPr>
        <w:t xml:space="preserve">subprocess.Popen(...)</w:t>
      </w:r>
      <w:r>
        <w:t xml:space="preserve"> </w:t>
      </w:r>
      <w:r>
        <w:t xml:space="preserve">abre una aplicación externa.</w:t>
      </w:r>
    </w:p>
    <w:p>
      <w:pPr>
        <w:pStyle w:val="Compact"/>
        <w:numPr>
          <w:ilvl w:val="0"/>
          <w:numId w:val="1056"/>
        </w:numPr>
      </w:pPr>
      <w:r>
        <w:rPr>
          <w:rStyle w:val="VerbatimChar"/>
        </w:rPr>
        <w:t xml:space="preserve">pyautogui.write(...)</w:t>
      </w:r>
      <w:r>
        <w:t xml:space="preserve"> </w:t>
      </w:r>
      <w:r>
        <w:t xml:space="preserve">simula escritura desde el teclado.</w:t>
      </w:r>
    </w:p>
    <w:p>
      <w:pPr>
        <w:pStyle w:val="Compact"/>
        <w:numPr>
          <w:ilvl w:val="0"/>
          <w:numId w:val="1056"/>
        </w:numPr>
      </w:pPr>
      <w:r>
        <w:rPr>
          <w:rStyle w:val="VerbatimChar"/>
        </w:rPr>
        <w:t xml:space="preserve">pyautogui.press(...)</w:t>
      </w:r>
      <w:r>
        <w:t xml:space="preserve"> </w:t>
      </w:r>
      <w:r>
        <w:t xml:space="preserve">simula pulsaciones concretas.</w:t>
      </w:r>
    </w:p>
    <w:p>
      <w:pPr>
        <w:pStyle w:val="Compact"/>
        <w:numPr>
          <w:ilvl w:val="0"/>
          <w:numId w:val="1056"/>
        </w:numPr>
      </w:pPr>
      <w:r>
        <w:rPr>
          <w:rStyle w:val="VerbatimChar"/>
        </w:rPr>
        <w:t xml:space="preserve">pyautogui.screenshot(...)</w:t>
      </w:r>
      <w:r>
        <w:t xml:space="preserve"> </w:t>
      </w:r>
      <w:r>
        <w:t xml:space="preserve">toma una captura de pantalla.</w:t>
      </w:r>
    </w:p>
    <w:p>
      <w:pPr>
        <w:pStyle w:val="Compact"/>
        <w:numPr>
          <w:ilvl w:val="0"/>
          <w:numId w:val="1056"/>
        </w:numPr>
      </w:pPr>
      <w:r>
        <w:t xml:space="preserve">Este tipo de script importa porque muestra que la automatización no solo transforma datos: también puede interactuar con interfaces.</w:t>
      </w:r>
    </w:p>
    <w:bookmarkEnd w:id="274"/>
    <w:bookmarkStart w:id="275" w:name="qué-verás-en-la-terminal-36"/>
    <w:p>
      <w:pPr>
        <w:pStyle w:val="Ttulo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75"/>
    <w:bookmarkEnd w:id="276"/>
    <w:bookmarkEnd w:id="277"/>
    <w:bookmarkStart w:id="282" w:name="conclusiones-del-capítulo-3"/>
    <w:p>
      <w:pPr>
        <w:pStyle w:val="Ttulo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Textoindependiente"/>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Applications/quarto/share/formats/docx/tip.png" id="2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7"/>
              </w:numPr>
            </w:pPr>
            <w:r>
              <w:t xml:space="preserve">una buena parte de la automatización jurídica básica empieza con reglas simples y tareas repetibles;</w:t>
            </w:r>
          </w:p>
          <w:p>
            <w:pPr>
              <w:pStyle w:val="Compact"/>
              <w:numPr>
                <w:ilvl w:val="0"/>
                <w:numId w:val="1057"/>
              </w:numPr>
            </w:pPr>
            <w:r>
              <w:t xml:space="preserve">listas, diccionarios y texto siguen siendo la base de muchos problemas más avanzados;</w:t>
            </w:r>
          </w:p>
          <w:p>
            <w:pPr>
              <w:pStyle w:val="Compact"/>
              <w:numPr>
                <w:ilvl w:val="0"/>
                <w:numId w:val="1057"/>
              </w:numPr>
            </w:pPr>
            <w:r>
              <w:t xml:space="preserve">generar documentos desde código permite pasar del análisis a la producción de artefactos concretos;</w:t>
            </w:r>
          </w:p>
          <w:p>
            <w:pPr>
              <w:pStyle w:val="Compact"/>
              <w:numPr>
                <w:ilvl w:val="0"/>
                <w:numId w:val="1057"/>
              </w:numPr>
            </w:pPr>
            <w:r>
              <w:t xml:space="preserve">los PDF pueden construirse, personalizarse y unirse automáticamente cuando el flujo está bien organizado;</w:t>
            </w:r>
          </w:p>
          <w:p>
            <w:pPr>
              <w:pStyle w:val="Compact"/>
              <w:numPr>
                <w:ilvl w:val="0"/>
                <w:numId w:val="1057"/>
              </w:numPr>
            </w:pPr>
            <w:r>
              <w:t xml:space="preserve">un CSV puede servir como fuente de datos para cartas, correos, reportes o gráficos;</w:t>
            </w:r>
          </w:p>
          <w:p>
            <w:pPr>
              <w:pStyle w:val="Compact"/>
              <w:numPr>
                <w:ilvl w:val="0"/>
                <w:numId w:val="1057"/>
              </w:numPr>
            </w:pPr>
            <w:r>
              <w:t xml:space="preserve">la visualización de datos también forma parte del ecosistema Legal Tech cuando ayuda a resumir información;</w:t>
            </w:r>
          </w:p>
          <w:p>
            <w:pPr>
              <w:pStyle w:val="Compact"/>
              <w:numPr>
                <w:ilvl w:val="0"/>
                <w:numId w:val="1057"/>
              </w:numPr>
            </w:pPr>
            <w:r>
              <w:t xml:space="preserve">algunas automatizaciones, como el envío de correos o el control de interfaces, requieren mucha más cautela que otras;</w:t>
            </w:r>
          </w:p>
          <w:p>
            <w:pPr>
              <w:pStyle w:val="Compact"/>
              <w:numPr>
                <w:ilvl w:val="0"/>
                <w:numId w:val="1057"/>
              </w:numPr>
            </w:pPr>
            <w:r>
              <w:t xml:space="preserve">automatizar no equivale a reemplazar criterio profesional, sino a estructurar mejor la parte repetible del trabajo;</w:t>
            </w:r>
          </w:p>
          <w:p>
            <w:pPr>
              <w:pStyle w:val="Compact"/>
              <w:numPr>
                <w:ilvl w:val="0"/>
                <w:numId w:val="1057"/>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Applications/quarto/share/formats/docx/caution.png" id="281"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8"/>
              </w:numPr>
            </w:pPr>
            <w:r>
              <w:t xml:space="preserve">¿Qué diferencia notas entre un script que solo analiza información y otro que además produce un documento o un archivo reutilizable?</w:t>
            </w:r>
          </w:p>
          <w:p>
            <w:pPr>
              <w:pStyle w:val="Compact"/>
              <w:numPr>
                <w:ilvl w:val="0"/>
                <w:numId w:val="1058"/>
              </w:numPr>
            </w:pPr>
            <w:r>
              <w:t xml:space="preserve">¿Por qué crees que generar cartas o PDF desde datos puede ser útil en ciertos flujos jurídicos repetitivos?</w:t>
            </w:r>
          </w:p>
          <w:p>
            <w:pPr>
              <w:pStyle w:val="Compact"/>
              <w:numPr>
                <w:ilvl w:val="0"/>
                <w:numId w:val="1058"/>
              </w:numPr>
            </w:pPr>
            <w:r>
              <w:t xml:space="preserve">¿Qué riesgos aparecerían si enviaras correos o automatizaras interfaces sin revisar antes los datos y el contexto?</w:t>
            </w:r>
          </w:p>
          <w:p>
            <w:pPr>
              <w:pStyle w:val="Compact"/>
              <w:numPr>
                <w:ilvl w:val="0"/>
                <w:numId w:val="1058"/>
              </w:numPr>
            </w:pPr>
            <w:r>
              <w:t xml:space="preserve">¿Qué ejercicios de este capítulo te parecen más directamente conectados con Legal Tech y por qué?</w:t>
            </w:r>
          </w:p>
          <w:p>
            <w:pPr>
              <w:pStyle w:val="Compact"/>
              <w:numPr>
                <w:ilvl w:val="0"/>
                <w:numId w:val="1058"/>
              </w:numPr>
            </w:pPr>
            <w:r>
              <w:t xml:space="preserve">Si tuvieras que transformar uno de estos ejemplos en una herramienta más cercana a una oficina legal real, ¿cuál elegirías y qué tendrías que mejorar antes de usarlo?</w:t>
            </w:r>
          </w:p>
          <w:p/>
        </w:tc>
      </w:tr>
    </w:tbl>
    <w:bookmarkEnd w:id="282"/>
    <w:bookmarkEnd w:id="283"/>
    <w:bookmarkStart w:id="296" w:name="ii.-automatización-y-datos-jurídicos"/>
    <w:p>
      <w:pPr>
        <w:pStyle w:val="Ttulo1"/>
      </w:pPr>
      <w:r>
        <w:t xml:space="preserve">II. Automatización y datos jurídicos</w:t>
      </w:r>
    </w:p>
    <w:bookmarkStart w:id="286" w:name="por-qué-importa-este-módulo-1"/>
    <w:p>
      <w:pPr>
        <w:pStyle w:val="Ttulo2"/>
      </w:pPr>
      <w:r>
        <w:t xml:space="preserve">¿Por qué importa este módulo?</w:t>
      </w:r>
    </w:p>
    <w:p>
      <w:pPr>
        <w:pStyle w:val="FirstParagraph"/>
      </w:pPr>
      <w:r>
        <w:t xml:space="preserve">La práctica jurídica trabaja, muchas veces, con procesos repetitivos, documentos estandarizables e información que debe ser organizada con cuidado. Por eso, este módulo se concentra en capacidades especialmente valiosas para el ejercicio profesional contemporáneo: mapear procesos, estructurar datos, leer información útil y automatizar tareas documentales.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Applications/quarto/share/formats/docx/important.png" id="28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No se puede automatizar ni medir bien un proceso que no se entiende. Antes de hablar de herramientas sofisticadas, hay que aprender a describir flujos, ordenar datos y producir evidencia útil.</w:t>
            </w:r>
          </w:p>
          <w:p/>
        </w:tc>
      </w:tr>
    </w:tbl>
    <w:bookmarkEnd w:id="286"/>
    <w:bookmarkStart w:id="287" w:name="qué-aprenderás-1"/>
    <w:p>
      <w:pPr>
        <w:pStyle w:val="Ttulo2"/>
      </w:pPr>
      <w:r>
        <w:t xml:space="preserve">Qué aprenderás</w:t>
      </w:r>
    </w:p>
    <w:p>
      <w:pPr>
        <w:pStyle w:val="FirstParagraph"/>
      </w:pPr>
      <w:r>
        <w:t xml:space="preserve">En este módulo estudiarás:</w:t>
      </w:r>
    </w:p>
    <w:p>
      <w:pPr>
        <w:pStyle w:val="Compact"/>
        <w:numPr>
          <w:ilvl w:val="0"/>
          <w:numId w:val="1059"/>
        </w:numPr>
      </w:pPr>
      <w:r>
        <w:t xml:space="preserve">procesos legales y su representación visual;</w:t>
      </w:r>
    </w:p>
    <w:p>
      <w:pPr>
        <w:pStyle w:val="Compact"/>
        <w:numPr>
          <w:ilvl w:val="0"/>
          <w:numId w:val="1059"/>
        </w:numPr>
      </w:pPr>
      <w:r>
        <w:t xml:space="preserve">datos jurídicos, tablas e indicadores;</w:t>
      </w:r>
    </w:p>
    <w:p>
      <w:pPr>
        <w:pStyle w:val="Compact"/>
        <w:numPr>
          <w:ilvl w:val="0"/>
          <w:numId w:val="1059"/>
        </w:numPr>
      </w:pPr>
      <w:r>
        <w:t xml:space="preserve">visualización y reporte de información;</w:t>
      </w:r>
    </w:p>
    <w:p>
      <w:pPr>
        <w:pStyle w:val="Compact"/>
        <w:numPr>
          <w:ilvl w:val="0"/>
          <w:numId w:val="1059"/>
        </w:numPr>
      </w:pPr>
      <w:r>
        <w:t xml:space="preserve">primeros pasos en automatización documental.</w:t>
      </w:r>
    </w:p>
    <w:bookmarkEnd w:id="287"/>
    <w:bookmarkStart w:id="290" w:name="cómo-se-trabaja-en-este-módulo-1"/>
    <w:p>
      <w:pPr>
        <w:pStyle w:val="Ttulo2"/>
      </w:pPr>
      <w:r>
        <w:t xml:space="preserve">Cómo se trabaja en este módulo</w:t>
      </w:r>
    </w:p>
    <w:p>
      <w:pPr>
        <w:pStyle w:val="FirstParagraph"/>
      </w:pPr>
      <w:r>
        <w:t xml:space="preserve">Aquí se aprende modelando procesos, limpiando tablas, produciendo diagramas, ejecutando scripts sencillos y entregando PSETs en repositorios. La lógica del módulo es pasar de una mirada intuitiva a una mirada estructurada sobre el trabajo legal.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Applications/quarto/share/formats/docx/tip.png" id="2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aprovechar este módulo</w:t>
            </w:r>
          </w:p>
        </w:tc>
      </w:tr>
      <w:tr>
        <w:trPr>
          <w:cantSplit/>
        </w:trPr>
        <w:tc>
          <w:tcPr>
            <w:tcMar>
              <w:top w:w="108" w:type="dxa"/>
              <w:bottom w:w="108" w:type="dxa"/>
            </w:tcMar>
          </w:tcPr>
          <w:p>
            <w:pPr>
              <w:pStyle w:val="Compact"/>
              <w:numPr>
                <w:ilvl w:val="0"/>
                <w:numId w:val="1060"/>
              </w:numPr>
            </w:pPr>
            <w:r>
              <w:t xml:space="preserve">piensa cada trámite como un flujo con etapas, decisiones y responsables;</w:t>
            </w:r>
          </w:p>
          <w:p>
            <w:pPr>
              <w:pStyle w:val="Compact"/>
              <w:numPr>
                <w:ilvl w:val="0"/>
                <w:numId w:val="1060"/>
              </w:numPr>
            </w:pPr>
            <w:r>
              <w:t xml:space="preserve">organiza los datos antes de intentar analizarlos;</w:t>
            </w:r>
          </w:p>
          <w:p>
            <w:pPr>
              <w:pStyle w:val="Compact"/>
              <w:numPr>
                <w:ilvl w:val="0"/>
                <w:numId w:val="1060"/>
              </w:numPr>
            </w:pPr>
            <w:r>
              <w:t xml:space="preserve">documenta tus supuestos;</w:t>
            </w:r>
          </w:p>
          <w:p>
            <w:pPr>
              <w:pStyle w:val="Compact"/>
              <w:numPr>
                <w:ilvl w:val="0"/>
                <w:numId w:val="1060"/>
              </w:numPr>
            </w:pPr>
            <w:r>
              <w:t xml:space="preserve">entrega evidencia reproducible en tu repositorio.</w:t>
            </w:r>
          </w:p>
          <w:p/>
        </w:tc>
      </w:tr>
    </w:tbl>
    <w:bookmarkEnd w:id="290"/>
    <w:bookmarkStart w:id="291" w:name="tabla-de-contenidos-del-módulo-1"/>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5</w:t>
            </w:r>
          </w:p>
        </w:tc>
        <w:tc>
          <w:tcPr/>
          <w:p>
            <w:pPr>
              <w:pStyle w:val="Compact"/>
            </w:pPr>
            <w:r>
              <w:t xml:space="preserve">Entender el negocio</w:t>
            </w:r>
          </w:p>
        </w:tc>
        <w:tc>
          <w:tcPr/>
          <w:p>
            <w:pPr>
              <w:pStyle w:val="Compact"/>
            </w:pPr>
            <w:r>
              <w:t xml:space="preserve">Mermaid, Markdown, Git</w:t>
            </w:r>
          </w:p>
        </w:tc>
        <w:tc>
          <w:tcPr/>
          <w:p>
            <w:pPr>
              <w:pStyle w:val="Compact"/>
            </w:pPr>
            <w:r>
              <w:t xml:space="preserve">modelar un proceso legal</w:t>
            </w:r>
          </w:p>
        </w:tc>
        <w:tc>
          <w:tcPr/>
          <w:p>
            <w:pPr>
              <w:pStyle w:val="Compact"/>
            </w:pPr>
            <w:r>
              <w:t xml:space="preserve">diagrama y justificación del flujo</w:t>
            </w:r>
          </w:p>
        </w:tc>
      </w:tr>
      <w:tr>
        <w:tc>
          <w:tcPr/>
          <w:p>
            <w:pPr>
              <w:pStyle w:val="Compact"/>
            </w:pPr>
            <w:r>
              <w:t xml:space="preserve">6</w:t>
            </w:r>
          </w:p>
        </w:tc>
        <w:tc>
          <w:tcPr/>
          <w:p>
            <w:pPr>
              <w:pStyle w:val="Compact"/>
            </w:pPr>
            <w:r>
              <w:t xml:space="preserve">Explicar y controlar resultados</w:t>
            </w:r>
          </w:p>
        </w:tc>
        <w:tc>
          <w:tcPr/>
          <w:p>
            <w:pPr>
              <w:pStyle w:val="Compact"/>
            </w:pPr>
            <w:r>
              <w:t xml:space="preserve">tablas, Python o SQL básico</w:t>
            </w:r>
          </w:p>
        </w:tc>
        <w:tc>
          <w:tcPr/>
          <w:p>
            <w:pPr>
              <w:pStyle w:val="Compact"/>
            </w:pPr>
            <w:r>
              <w:t xml:space="preserve">organizar y reportar información jurídica</w:t>
            </w:r>
          </w:p>
        </w:tc>
        <w:tc>
          <w:tcPr/>
          <w:p>
            <w:pPr>
              <w:pStyle w:val="Compact"/>
            </w:pPr>
            <w:r>
              <w:t xml:space="preserve">consulta, visualización o reporte reproducible</w:t>
            </w:r>
          </w:p>
        </w:tc>
      </w:tr>
    </w:tbl>
    <w:bookmarkEnd w:id="291"/>
    <w:bookmarkStart w:id="292" w:name="qué-debes-poder-hacer-al-terminar-1"/>
    <w:p>
      <w:pPr>
        <w:pStyle w:val="Ttulo2"/>
      </w:pPr>
      <w:r>
        <w:t xml:space="preserve">Qué debes poder hacer al terminar</w:t>
      </w:r>
    </w:p>
    <w:p>
      <w:pPr>
        <w:pStyle w:val="FirstParagraph"/>
      </w:pPr>
      <w:r>
        <w:t xml:space="preserve">Al finalizar este módulo, deberías poder:</w:t>
      </w:r>
    </w:p>
    <w:p>
      <w:pPr>
        <w:pStyle w:val="Compact"/>
        <w:numPr>
          <w:ilvl w:val="0"/>
          <w:numId w:val="1061"/>
        </w:numPr>
      </w:pPr>
      <w:r>
        <w:t xml:space="preserve">representar procesos legales de forma visual;</w:t>
      </w:r>
    </w:p>
    <w:p>
      <w:pPr>
        <w:pStyle w:val="Compact"/>
        <w:numPr>
          <w:ilvl w:val="0"/>
          <w:numId w:val="1061"/>
        </w:numPr>
      </w:pPr>
      <w:r>
        <w:t xml:space="preserve">distinguir entre documentos, datos, tablas e indicadores;</w:t>
      </w:r>
    </w:p>
    <w:p>
      <w:pPr>
        <w:pStyle w:val="Compact"/>
        <w:numPr>
          <w:ilvl w:val="0"/>
          <w:numId w:val="1061"/>
        </w:numPr>
      </w:pPr>
      <w:r>
        <w:t xml:space="preserve">producir reportes simples y comprensibles;</w:t>
      </w:r>
    </w:p>
    <w:p>
      <w:pPr>
        <w:pStyle w:val="Compact"/>
        <w:numPr>
          <w:ilvl w:val="0"/>
          <w:numId w:val="1061"/>
        </w:numPr>
      </w:pPr>
      <w:r>
        <w:t xml:space="preserve">identificar tareas repetitivas con potencial de automatización.</w:t>
      </w:r>
    </w:p>
    <w:bookmarkEnd w:id="292"/>
    <w:bookmarkStart w:id="295" w:name="cómo-se-conecta-con-el-resto-del-curso-1"/>
    <w:p>
      <w:pPr>
        <w:pStyle w:val="Ttulo2"/>
      </w:pPr>
      <w:r>
        <w:t xml:space="preserve">Cómo se conecta con el resto del curso</w:t>
      </w:r>
    </w:p>
    <w:p>
      <w:pPr>
        <w:pStyle w:val="FirstParagraph"/>
      </w:pPr>
      <w:r>
        <w:t xml:space="preserve">Este módulo toma la base lógica del Módulo I y la convierte en organización de trabajo real. Después de este punto, el curso se desplaza hacia publicación web, infraestructura digital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Applications/quarto/share/formats/docx/warning.png" id="29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Automatizar no significa reemplazar el juicio jurídico. Significa liberar tiempo y atención para que el juicio profesional se concentre en interpretar, argumentar y decidir mejor.</w:t>
            </w:r>
          </w:p>
          <w:p/>
        </w:tc>
      </w:tr>
    </w:tbl>
    <w:bookmarkEnd w:id="295"/>
    <w:bookmarkEnd w:id="296"/>
    <w:bookmarkStart w:id="318" w:name="entender-el-negocio"/>
    <w:p>
      <w:pPr>
        <w:pStyle w:val="Ttulo1"/>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Applications/quarto/share/formats/docx/note.png" id="29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Start w:id="299" w:name="antes-de-mejorar-hay-que-mirar-el-flujo"/>
    <w:p>
      <w:pPr>
        <w:pStyle w:val="Ttulo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Textoindependiente"/>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ipervnculo"/>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w:t>
      </w:r>
    </w:p>
    <w:p>
      <w:pPr>
        <w:pStyle w:val="Textoindependiente"/>
      </w:pPr>
      <w:r>
        <w:t xml:space="preserve">En términos simples, entender el negocio significa entender el proceso. Significa saber quién hace qué, con qué insumos, en qué orden, con qué decisiones críticas y con qué salidas.</w:t>
      </w:r>
    </w:p>
    <w:bookmarkEnd w:id="299"/>
    <w:bookmarkStart w:id="302" w:name="Xabf30bcdd017e38a52c51afacac7ea5ecc1d01c"/>
    <w:p>
      <w:pPr>
        <w:pStyle w:val="Ttulo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Applications/quarto/share/formats/docx/important.png" id="30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302"/>
    <w:bookmarkStart w:id="303" w:name="el-proceso-como-objeto-de-análisis"/>
    <w:p>
      <w:pPr>
        <w:pStyle w:val="Ttulo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Textoindependiente"/>
      </w:pPr>
      <w:r>
        <w:t xml:space="preserve">Pensar en términos de proceso obliga a cambiar la mirada. En lugar de preguntar solo “qué dice la regla”, conviene preguntar también:</w:t>
      </w:r>
    </w:p>
    <w:p>
      <w:pPr>
        <w:pStyle w:val="Compact"/>
        <w:numPr>
          <w:ilvl w:val="0"/>
          <w:numId w:val="1062"/>
        </w:numPr>
      </w:pPr>
      <w:r>
        <w:t xml:space="preserve">quién inicia el flujo;</w:t>
      </w:r>
    </w:p>
    <w:p>
      <w:pPr>
        <w:pStyle w:val="Compact"/>
        <w:numPr>
          <w:ilvl w:val="0"/>
          <w:numId w:val="1062"/>
        </w:numPr>
      </w:pPr>
      <w:r>
        <w:t xml:space="preserve">qué información entra;</w:t>
      </w:r>
    </w:p>
    <w:p>
      <w:pPr>
        <w:pStyle w:val="Compact"/>
        <w:numPr>
          <w:ilvl w:val="0"/>
          <w:numId w:val="1062"/>
        </w:numPr>
      </w:pPr>
      <w:r>
        <w:t xml:space="preserve">qué actividades agregan valor;</w:t>
      </w:r>
    </w:p>
    <w:p>
      <w:pPr>
        <w:pStyle w:val="Compact"/>
        <w:numPr>
          <w:ilvl w:val="0"/>
          <w:numId w:val="1062"/>
        </w:numPr>
      </w:pPr>
      <w:r>
        <w:t xml:space="preserve">qué decisiones desvían o detienen el trámite;</w:t>
      </w:r>
    </w:p>
    <w:p>
      <w:pPr>
        <w:pStyle w:val="Compact"/>
        <w:numPr>
          <w:ilvl w:val="0"/>
          <w:numId w:val="1062"/>
        </w:numPr>
      </w:pPr>
      <w:r>
        <w:t xml:space="preserve">qué documentos se generan;</w:t>
      </w:r>
    </w:p>
    <w:p>
      <w:pPr>
        <w:pStyle w:val="Compact"/>
        <w:numPr>
          <w:ilvl w:val="0"/>
          <w:numId w:val="1062"/>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303"/>
    <w:bookmarkStart w:id="304" w:name="un-flujo-visible-se-vuelve-discutible"/>
    <w:p>
      <w:pPr>
        <w:pStyle w:val="Ttulo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Textoindependiente"/>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304"/>
    <w:bookmarkStart w:id="305" w:name="qué-elementos-conviene-reconocer-primero"/>
    <w:p>
      <w:pPr>
        <w:pStyle w:val="Ttulo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63"/>
        </w:numPr>
      </w:pPr>
      <w:r>
        <w:rPr>
          <w:b/>
          <w:bCs/>
        </w:rPr>
        <w:t xml:space="preserve">actor o responsable</w:t>
      </w:r>
      <w:r>
        <w:t xml:space="preserve">: quién realiza una actividad;</w:t>
      </w:r>
    </w:p>
    <w:p>
      <w:pPr>
        <w:pStyle w:val="Compact"/>
        <w:numPr>
          <w:ilvl w:val="0"/>
          <w:numId w:val="1063"/>
        </w:numPr>
      </w:pPr>
      <w:r>
        <w:rPr>
          <w:b/>
          <w:bCs/>
        </w:rPr>
        <w:t xml:space="preserve">entrada</w:t>
      </w:r>
      <w:r>
        <w:t xml:space="preserve">: qué documento, dato o solicitud ingresa;</w:t>
      </w:r>
    </w:p>
    <w:p>
      <w:pPr>
        <w:pStyle w:val="Compact"/>
        <w:numPr>
          <w:ilvl w:val="0"/>
          <w:numId w:val="1063"/>
        </w:numPr>
      </w:pPr>
      <w:r>
        <w:rPr>
          <w:b/>
          <w:bCs/>
        </w:rPr>
        <w:t xml:space="preserve">actividad</w:t>
      </w:r>
      <w:r>
        <w:t xml:space="preserve">: qué se hace con esa entrada;</w:t>
      </w:r>
    </w:p>
    <w:p>
      <w:pPr>
        <w:pStyle w:val="Compact"/>
        <w:numPr>
          <w:ilvl w:val="0"/>
          <w:numId w:val="1063"/>
        </w:numPr>
      </w:pPr>
      <w:r>
        <w:rPr>
          <w:b/>
          <w:bCs/>
        </w:rPr>
        <w:t xml:space="preserve">decisión</w:t>
      </w:r>
      <w:r>
        <w:t xml:space="preserve">: qué criterio permite seguir, observar, devolver o rechazar;</w:t>
      </w:r>
    </w:p>
    <w:p>
      <w:pPr>
        <w:pStyle w:val="Compact"/>
        <w:numPr>
          <w:ilvl w:val="0"/>
          <w:numId w:val="1063"/>
        </w:numPr>
      </w:pPr>
      <w:r>
        <w:rPr>
          <w:b/>
          <w:bCs/>
        </w:rPr>
        <w:t xml:space="preserve">salida</w:t>
      </w:r>
      <w:r>
        <w:t xml:space="preserve">: qué resultado se produce;</w:t>
      </w:r>
    </w:p>
    <w:p>
      <w:pPr>
        <w:pStyle w:val="Compact"/>
        <w:numPr>
          <w:ilvl w:val="0"/>
          <w:numId w:val="1063"/>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305"/>
    <w:bookmarkStart w:id="306" w:name="Xecb8f5242735855ad81e421f66ddfd6ee8ffff8"/>
    <w:p>
      <w:pPr>
        <w:pStyle w:val="Ttulo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Textoindependiente"/>
      </w:pPr>
      <w:r>
        <w:t xml:space="preserve">En entornos jurídicos, eso puede verse en escenas muy comunes:</w:t>
      </w:r>
    </w:p>
    <w:p>
      <w:pPr>
        <w:pStyle w:val="Compact"/>
        <w:numPr>
          <w:ilvl w:val="0"/>
          <w:numId w:val="1064"/>
        </w:numPr>
      </w:pPr>
      <w:r>
        <w:t xml:space="preserve">expedientes que regresan varias veces por la misma observación;</w:t>
      </w:r>
    </w:p>
    <w:p>
      <w:pPr>
        <w:pStyle w:val="Compact"/>
        <w:numPr>
          <w:ilvl w:val="0"/>
          <w:numId w:val="1064"/>
        </w:numPr>
      </w:pPr>
      <w:r>
        <w:t xml:space="preserve">contratos que se revisan de nuevo porque los anexos nunca llegaron completos;</w:t>
      </w:r>
    </w:p>
    <w:p>
      <w:pPr>
        <w:pStyle w:val="Compact"/>
        <w:numPr>
          <w:ilvl w:val="0"/>
          <w:numId w:val="1064"/>
        </w:numPr>
      </w:pPr>
      <w:r>
        <w:t xml:space="preserve">solicitudes que se registran en varios lugares distintos sin un criterio uniforme;</w:t>
      </w:r>
    </w:p>
    <w:p>
      <w:pPr>
        <w:pStyle w:val="Compact"/>
        <w:numPr>
          <w:ilvl w:val="0"/>
          <w:numId w:val="1064"/>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306"/>
    <w:bookmarkStart w:id="307" w:name="X845279eead60d5e543aee5fc101482c11cc7121"/>
    <w:p>
      <w:pPr>
        <w:pStyle w:val="Ttulo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ipervnculo"/>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ipervnculo"/>
          </w:rPr>
          <w:t xml:space="preserve">Mermaid Documentation 2026</w:t>
        </w:r>
      </w:hyperlink>
      <w:r>
        <w:t xml:space="preserve">)</w:t>
      </w:r>
      <w:r>
        <w:t xml:space="preserve">.</w:t>
      </w:r>
    </w:p>
    <w:p>
      <w:pPr>
        <w:pStyle w:val="Textoindependiente"/>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Por eso, Mermaid no es solo una forma “bonita” de dibujar cajas y flechas. Es una herramienta compatible con una forma disciplinada de pensar y revisar procesos.</w:t>
      </w:r>
    </w:p>
    <w:bookmarkEnd w:id="307"/>
    <w:bookmarkStart w:id="308" w:name="X039ce7a4c4a0bc9b62671c5f1ade33117addfad"/>
    <w:p>
      <w:pPr>
        <w:pStyle w:val="Ttulo2"/>
      </w:pPr>
      <w:r>
        <w:t xml:space="preserve">Ejemplo 1. Admisión preliminar de una solicitud</w:t>
      </w:r>
    </w:p>
    <w:p>
      <w:pPr>
        <w:pStyle w:val="FirstParagraph"/>
      </w:pPr>
      <w:r>
        <w:t xml:space="preserve">Un flujo jurídico sencillo puede expresarse así:</w:t>
      </w:r>
    </w:p>
    <w:p>
      <w:pPr>
        <w:pStyle w:val="SourceCode"/>
      </w:pPr>
      <w:r>
        <w:rPr>
          <w:rStyle w:val="VerbatimChar"/>
        </w:rPr>
        <w:t xml:space="preserve">flowchart TD</w:t>
      </w:r>
      <w:r>
        <w:br/>
      </w:r>
      <w:r>
        <w:rPr>
          <w:rStyle w:val="VerbatimChar"/>
        </w:rPr>
        <w:t xml:space="preserve">  A[Recibir solicitud] --&gt; B{Tiene firma y documento?}</w:t>
      </w:r>
      <w:r>
        <w:br/>
      </w:r>
      <w:r>
        <w:rPr>
          <w:rStyle w:val="VerbatimChar"/>
        </w:rPr>
        <w:t xml:space="preserve">  B -- Si --&gt; C[Registrar ingreso]</w:t>
      </w:r>
      <w:r>
        <w:br/>
      </w:r>
      <w:r>
        <w:rPr>
          <w:rStyle w:val="VerbatimChar"/>
        </w:rPr>
        <w:t xml:space="preserve">  B -- No --&gt; D[Formular observacion]</w:t>
      </w:r>
      <w:r>
        <w:br/>
      </w:r>
      <w:r>
        <w:rPr>
          <w:rStyle w:val="VerbatimChar"/>
        </w:rPr>
        <w:t xml:space="preserve">  C --&gt; E{Corresponde a la unidad?}</w:t>
      </w:r>
      <w:r>
        <w:br/>
      </w:r>
      <w:r>
        <w:rPr>
          <w:rStyle w:val="VerbatimChar"/>
        </w:rPr>
        <w:t xml:space="preserve">  E -- Si --&gt; F[Admitir a tramite]</w:t>
      </w:r>
      <w:r>
        <w:br/>
      </w:r>
      <w:r>
        <w:rPr>
          <w:rStyle w:val="VerbatimChar"/>
        </w:rPr>
        <w:t xml:space="preserve">  E -- No --&gt; G[Derivar a unidad competente]</w:t>
      </w:r>
      <w:r>
        <w:br/>
      </w:r>
      <w:r>
        <w:rPr>
          <w:rStyle w:val="VerbatimChar"/>
        </w:rPr>
        <w:t xml:space="preserve">  D --&gt; H[Esperar subsanacion]</w:t>
      </w:r>
    </w:p>
    <w:p>
      <w:pPr>
        <w:pStyle w:val="FirstParagraph"/>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308"/>
    <w:bookmarkStart w:id="309" w:name="ejemplo-2.-revisión-contractual"/>
    <w:p>
      <w:pPr>
        <w:pStyle w:val="Ttulo2"/>
      </w:pPr>
      <w:r>
        <w:t xml:space="preserve">Ejemplo 2. Revisión contractual</w:t>
      </w:r>
    </w:p>
    <w:p>
      <w:pPr>
        <w:pStyle w:val="FirstParagraph"/>
      </w:pPr>
      <w:r>
        <w:t xml:space="preserve">Un segundo caso, más cercano a una práctica profesional de estudio o asesoría, podría verse así:</w:t>
      </w:r>
    </w:p>
    <w:p>
      <w:pPr>
        <w:pStyle w:val="SourceCode"/>
      </w:pPr>
      <w:r>
        <w:rPr>
          <w:rStyle w:val="VerbatimChar"/>
        </w:rPr>
        <w:t xml:space="preserve">flowchart TD</w:t>
      </w:r>
      <w:r>
        <w:br/>
      </w:r>
      <w:r>
        <w:rPr>
          <w:rStyle w:val="VerbatimChar"/>
        </w:rPr>
        <w:t xml:space="preserve">  A[Recibir borrador de contrato] --&gt; B{Anexos completos?}</w:t>
      </w:r>
      <w:r>
        <w:br/>
      </w:r>
      <w:r>
        <w:rPr>
          <w:rStyle w:val="VerbatimChar"/>
        </w:rPr>
        <w:t xml:space="preserve">  B -- Si --&gt; C[Revisar clausulas criticas]</w:t>
      </w:r>
      <w:r>
        <w:br/>
      </w:r>
      <w:r>
        <w:rPr>
          <w:rStyle w:val="VerbatimChar"/>
        </w:rPr>
        <w:t xml:space="preserve">  B -- No --&gt; D[Solicitar anexos faltantes]</w:t>
      </w:r>
      <w:r>
        <w:br/>
      </w:r>
      <w:r>
        <w:rPr>
          <w:rStyle w:val="VerbatimChar"/>
        </w:rPr>
        <w:t xml:space="preserve">  C --&gt; E{Hay observaciones?}</w:t>
      </w:r>
      <w:r>
        <w:br/>
      </w:r>
      <w:r>
        <w:rPr>
          <w:rStyle w:val="VerbatimChar"/>
        </w:rPr>
        <w:t xml:space="preserve">  E -- Si --&gt; F[Devolver para ajustes]</w:t>
      </w:r>
      <w:r>
        <w:br/>
      </w:r>
      <w:r>
        <w:rPr>
          <w:rStyle w:val="VerbatimChar"/>
        </w:rPr>
        <w:t xml:space="preserve">  E -- No --&gt; G[Aprobar version]</w:t>
      </w:r>
      <w:r>
        <w:br/>
      </w:r>
      <w:r>
        <w:rPr>
          <w:rStyle w:val="VerbatimChar"/>
        </w:rPr>
        <w:t xml:space="preserve">  D --&gt; H[Esperar nueva version]</w:t>
      </w:r>
      <w:r>
        <w:br/>
      </w:r>
      <w:r>
        <w:rPr>
          <w:rStyle w:val="VerbatimChar"/>
        </w:rPr>
        <w:t xml:space="preserve">  F --&gt; H</w:t>
      </w:r>
    </w:p>
    <w:p>
      <w:pPr>
        <w:pStyle w:val="FirstParagraph"/>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309"/>
    <w:bookmarkStart w:id="310" w:name="qué-vuelve-útil-a-un-diagrama"/>
    <w:p>
      <w:pPr>
        <w:pStyle w:val="Ttulo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65"/>
        </w:numPr>
      </w:pPr>
      <w:r>
        <w:t xml:space="preserve">¿distingue bien actividades y decisiones?;</w:t>
      </w:r>
    </w:p>
    <w:p>
      <w:pPr>
        <w:pStyle w:val="Compact"/>
        <w:numPr>
          <w:ilvl w:val="0"/>
          <w:numId w:val="1065"/>
        </w:numPr>
      </w:pPr>
      <w:r>
        <w:t xml:space="preserve">¿permite ubicar responsables?;</w:t>
      </w:r>
    </w:p>
    <w:p>
      <w:pPr>
        <w:pStyle w:val="Compact"/>
        <w:numPr>
          <w:ilvl w:val="0"/>
          <w:numId w:val="1065"/>
        </w:numPr>
      </w:pPr>
      <w:r>
        <w:t xml:space="preserve">¿muestra entradas y salidas relevantes?;</w:t>
      </w:r>
    </w:p>
    <w:p>
      <w:pPr>
        <w:pStyle w:val="Compact"/>
        <w:numPr>
          <w:ilvl w:val="0"/>
          <w:numId w:val="1065"/>
        </w:numPr>
      </w:pPr>
      <w:r>
        <w:t xml:space="preserve">¿hace visibles cuellos de botella o reprocesos?;</w:t>
      </w:r>
    </w:p>
    <w:p>
      <w:pPr>
        <w:pStyle w:val="Compact"/>
        <w:numPr>
          <w:ilvl w:val="0"/>
          <w:numId w:val="1065"/>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310"/>
    <w:bookmarkStart w:id="311" w:name="del-modelado-a-la-mejora"/>
    <w:p>
      <w:pPr>
        <w:pStyle w:val="Ttulo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Textoindependiente"/>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311"/>
    <w:bookmarkStart w:id="312" w:name="práctica-en-editor-1"/>
    <w:p>
      <w:pPr>
        <w:pStyle w:val="Ttulo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66"/>
        </w:numPr>
      </w:pPr>
      <w:r>
        <w:t xml:space="preserve">admisión de un escrito;</w:t>
      </w:r>
    </w:p>
    <w:p>
      <w:pPr>
        <w:pStyle w:val="Compact"/>
        <w:numPr>
          <w:ilvl w:val="0"/>
          <w:numId w:val="1066"/>
        </w:numPr>
      </w:pPr>
      <w:r>
        <w:t xml:space="preserve">atención de una denuncia;</w:t>
      </w:r>
    </w:p>
    <w:p>
      <w:pPr>
        <w:pStyle w:val="Compact"/>
        <w:numPr>
          <w:ilvl w:val="0"/>
          <w:numId w:val="1066"/>
        </w:numPr>
      </w:pPr>
      <w:r>
        <w:t xml:space="preserve">revisión de un contrato;</w:t>
      </w:r>
    </w:p>
    <w:p>
      <w:pPr>
        <w:pStyle w:val="Compact"/>
        <w:numPr>
          <w:ilvl w:val="0"/>
          <w:numId w:val="1066"/>
        </w:numPr>
      </w:pPr>
      <w:r>
        <w:t xml:space="preserve">derivación interna de un expediente;</w:t>
      </w:r>
    </w:p>
    <w:p>
      <w:pPr>
        <w:pStyle w:val="Compact"/>
        <w:numPr>
          <w:ilvl w:val="0"/>
          <w:numId w:val="1066"/>
        </w:numPr>
      </w:pPr>
      <w:r>
        <w:t xml:space="preserve">validación de requisitos de una solicitud.</w:t>
      </w:r>
    </w:p>
    <w:p>
      <w:pPr>
        <w:pStyle w:val="FirstParagraph"/>
      </w:pPr>
      <w:r>
        <w:t xml:space="preserve">Procura que el diagrama incluya:</w:t>
      </w:r>
    </w:p>
    <w:p>
      <w:pPr>
        <w:pStyle w:val="Compact"/>
        <w:numPr>
          <w:ilvl w:val="0"/>
          <w:numId w:val="1067"/>
        </w:numPr>
      </w:pPr>
      <w:r>
        <w:t xml:space="preserve">al menos un punto de decisión;</w:t>
      </w:r>
    </w:p>
    <w:p>
      <w:pPr>
        <w:pStyle w:val="Compact"/>
        <w:numPr>
          <w:ilvl w:val="0"/>
          <w:numId w:val="1067"/>
        </w:numPr>
      </w:pPr>
      <w:r>
        <w:t xml:space="preserve">una entrada identificable;</w:t>
      </w:r>
    </w:p>
    <w:p>
      <w:pPr>
        <w:pStyle w:val="Compact"/>
        <w:numPr>
          <w:ilvl w:val="0"/>
          <w:numId w:val="1067"/>
        </w:numPr>
      </w:pPr>
      <w:r>
        <w:t xml:space="preserve">una salida final;</w:t>
      </w:r>
    </w:p>
    <w:p>
      <w:pPr>
        <w:pStyle w:val="Compact"/>
        <w:numPr>
          <w:ilvl w:val="0"/>
          <w:numId w:val="1067"/>
        </w:numPr>
      </w:pPr>
      <w:r>
        <w:t xml:space="preserve">un posible cuello de botella o punto de control.</w:t>
      </w:r>
    </w:p>
    <w:bookmarkEnd w:id="312"/>
    <w:bookmarkStart w:id="317" w:name="conclusiones-del-capítulo-4"/>
    <w:p>
      <w:pPr>
        <w:pStyle w:val="Ttulo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Applications/quarto/share/formats/docx/tip.png" id="31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8"/>
              </w:numPr>
            </w:pPr>
            <w:r>
              <w:t xml:space="preserve">Entender el negocio significa entender el proceso, no solo la herramienta.</w:t>
            </w:r>
          </w:p>
          <w:p>
            <w:pPr>
              <w:pStyle w:val="Compact"/>
              <w:numPr>
                <w:ilvl w:val="0"/>
                <w:numId w:val="1068"/>
              </w:numPr>
            </w:pPr>
            <w:r>
              <w:t xml:space="preserve">Un flujo visible se vuelve discutible, corregible y mejorable.</w:t>
            </w:r>
          </w:p>
          <w:p>
            <w:pPr>
              <w:pStyle w:val="Compact"/>
              <w:numPr>
                <w:ilvl w:val="0"/>
                <w:numId w:val="1068"/>
              </w:numPr>
            </w:pPr>
            <w:r>
              <w:t xml:space="preserve">Modelar procesos permite detectar cuellos de botella, reprocesos y trabajo invisible.</w:t>
            </w:r>
          </w:p>
          <w:p>
            <w:pPr>
              <w:pStyle w:val="Compact"/>
              <w:numPr>
                <w:ilvl w:val="0"/>
                <w:numId w:val="1068"/>
              </w:numPr>
            </w:pPr>
            <w:r>
              <w:t xml:space="preserve">Mermaid resulta útil porque integra diagramación y versionado dentro del mismo entorno de trabajo.</w:t>
            </w:r>
          </w:p>
          <w:p>
            <w:pPr>
              <w:pStyle w:val="Compact"/>
              <w:numPr>
                <w:ilvl w:val="0"/>
                <w:numId w:val="1068"/>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Applications/quarto/share/formats/docx/caution.png" id="316"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bookmarkEnd w:id="317"/>
    <w:bookmarkEnd w:id="318"/>
    <w:bookmarkStart w:id="344" w:name="explicar-y-controlar-los-resultados"/>
    <w:p>
      <w:pPr>
        <w:pStyle w:val="Ttulo1"/>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Applications/quarto/share/formats/docx/note.png" id="32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Start w:id="321" w:name="los-datos-no-hablan-solos"/>
    <w:p>
      <w:pPr>
        <w:pStyle w:val="Ttulo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Textoindependiente"/>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w:t>
      </w:r>
    </w:p>
    <w:p>
      <w:pPr>
        <w:pStyle w:val="Textoindependiente"/>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ipervnculo"/>
          </w:rPr>
          <w:t xml:space="preserve">Cairo 2017</w:t>
        </w:r>
      </w:hyperlink>
      <w:r>
        <w:t xml:space="preserve">)</w:t>
      </w:r>
      <w:r>
        <w:t xml:space="preserve">. Por eso, el objetivo de esta sesión no es enseñar a decorar información. Es enseñar a explicarla y controlarla con mayor rigor.</w:t>
      </w:r>
    </w:p>
    <w:bookmarkEnd w:id="321"/>
    <w:bookmarkStart w:id="324" w:name="Xac30d45be165df830c13b2d315805c4986298ef"/>
    <w:p>
      <w:pPr>
        <w:pStyle w:val="Ttulo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Applications/quarto/share/formats/docx/important.png" id="32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324"/>
    <w:bookmarkStart w:id="325" w:name="del-documento-al-dato"/>
    <w:p>
      <w:pPr>
        <w:pStyle w:val="Ttulo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69"/>
        </w:numPr>
      </w:pPr>
      <w:r>
        <w:t xml:space="preserve">el</w:t>
      </w:r>
      <w:r>
        <w:t xml:space="preserve"> </w:t>
      </w:r>
      <w:r>
        <w:rPr>
          <w:b/>
          <w:bCs/>
        </w:rPr>
        <w:t xml:space="preserve">documento</w:t>
      </w:r>
      <w:r>
        <w:t xml:space="preserve"> </w:t>
      </w:r>
      <w:r>
        <w:t xml:space="preserve">es la pieza completa;</w:t>
      </w:r>
    </w:p>
    <w:p>
      <w:pPr>
        <w:pStyle w:val="Compact"/>
        <w:numPr>
          <w:ilvl w:val="0"/>
          <w:numId w:val="1069"/>
        </w:numPr>
      </w:pPr>
      <w:r>
        <w:t xml:space="preserve">el</w:t>
      </w:r>
      <w:r>
        <w:t xml:space="preserve"> </w:t>
      </w:r>
      <w:r>
        <w:rPr>
          <w:b/>
          <w:bCs/>
        </w:rPr>
        <w:t xml:space="preserve">dato</w:t>
      </w:r>
      <w:r>
        <w:t xml:space="preserve"> </w:t>
      </w:r>
      <w:r>
        <w:t xml:space="preserve">es una unidad puntual de información;</w:t>
      </w:r>
    </w:p>
    <w:p>
      <w:pPr>
        <w:pStyle w:val="Compact"/>
        <w:numPr>
          <w:ilvl w:val="0"/>
          <w:numId w:val="1069"/>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69"/>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Textoindependiente"/>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bookmarkEnd w:id="325"/>
    <w:bookmarkStart w:id="326" w:name="X35550d7331ca440f8eeed284cb74e2a9072f8fa"/>
    <w:p>
      <w:pPr>
        <w:pStyle w:val="Ttulo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70"/>
        </w:numPr>
      </w:pPr>
      <w:r>
        <w:t xml:space="preserve">una misma columna mezcla fecha, observación y responsable;</w:t>
      </w:r>
    </w:p>
    <w:p>
      <w:pPr>
        <w:pStyle w:val="Compact"/>
        <w:numPr>
          <w:ilvl w:val="0"/>
          <w:numId w:val="1070"/>
        </w:numPr>
      </w:pPr>
      <w:r>
        <w:t xml:space="preserve">el mismo estado aparece escrito de tres maneras distintas;</w:t>
      </w:r>
    </w:p>
    <w:p>
      <w:pPr>
        <w:pStyle w:val="Compact"/>
        <w:numPr>
          <w:ilvl w:val="0"/>
          <w:numId w:val="1070"/>
        </w:numPr>
      </w:pPr>
      <w:r>
        <w:t xml:space="preserve">faltan criterios para los vacíos;</w:t>
      </w:r>
    </w:p>
    <w:p>
      <w:pPr>
        <w:pStyle w:val="Compact"/>
        <w:numPr>
          <w:ilvl w:val="0"/>
          <w:numId w:val="1070"/>
        </w:numPr>
      </w:pPr>
      <w:r>
        <w:t xml:space="preserve">se repiten registros sin saber cuál es la versión válida;</w:t>
      </w:r>
    </w:p>
    <w:p>
      <w:pPr>
        <w:pStyle w:val="Compact"/>
        <w:numPr>
          <w:ilvl w:val="0"/>
          <w:numId w:val="1070"/>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326"/>
    <w:bookmarkStart w:id="327" w:name="preguntar-antes-de-medir"/>
    <w:p>
      <w:pPr>
        <w:pStyle w:val="Ttulo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71"/>
        </w:numPr>
      </w:pPr>
      <w:r>
        <w:t xml:space="preserve">¿cuántos expedientes siguen pendientes?;</w:t>
      </w:r>
    </w:p>
    <w:p>
      <w:pPr>
        <w:pStyle w:val="Compact"/>
        <w:numPr>
          <w:ilvl w:val="0"/>
          <w:numId w:val="1071"/>
        </w:numPr>
      </w:pPr>
      <w:r>
        <w:t xml:space="preserve">¿qué observación se repite más?;</w:t>
      </w:r>
    </w:p>
    <w:p>
      <w:pPr>
        <w:pStyle w:val="Compact"/>
        <w:numPr>
          <w:ilvl w:val="0"/>
          <w:numId w:val="1071"/>
        </w:numPr>
      </w:pPr>
      <w:r>
        <w:t xml:space="preserve">¿qué contratos vencen este mes?;</w:t>
      </w:r>
    </w:p>
    <w:p>
      <w:pPr>
        <w:pStyle w:val="Compact"/>
        <w:numPr>
          <w:ilvl w:val="0"/>
          <w:numId w:val="1071"/>
        </w:numPr>
      </w:pPr>
      <w:r>
        <w:t xml:space="preserve">¿qué unidad concentra la mayor demora?;</w:t>
      </w:r>
    </w:p>
    <w:p>
      <w:pPr>
        <w:pStyle w:val="Compact"/>
        <w:numPr>
          <w:ilvl w:val="0"/>
          <w:numId w:val="1071"/>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327"/>
    <w:bookmarkStart w:id="328" w:name="un-ejemplo-mínimo-con-registros"/>
    <w:p>
      <w:pPr>
        <w:pStyle w:val="Ttulo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328"/>
    <w:bookmarkStart w:id="331" w:name="qué-es-un-indicador-y-qué-no"/>
    <w:p>
      <w:pPr>
        <w:pStyle w:val="Ttulo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72"/>
        </w:numPr>
      </w:pPr>
      <w:r>
        <w:t xml:space="preserve">expedientes pendientes por unidad;</w:t>
      </w:r>
    </w:p>
    <w:p>
      <w:pPr>
        <w:pStyle w:val="Compact"/>
        <w:numPr>
          <w:ilvl w:val="0"/>
          <w:numId w:val="1072"/>
        </w:numPr>
      </w:pPr>
      <w:r>
        <w:t xml:space="preserve">tiempo promedio de revisión;</w:t>
      </w:r>
    </w:p>
    <w:p>
      <w:pPr>
        <w:pStyle w:val="Compact"/>
        <w:numPr>
          <w:ilvl w:val="0"/>
          <w:numId w:val="1072"/>
        </w:numPr>
      </w:pPr>
      <w:r>
        <w:t xml:space="preserve">porcentaje de casos observados;</w:t>
      </w:r>
    </w:p>
    <w:p>
      <w:pPr>
        <w:pStyle w:val="Compact"/>
        <w:numPr>
          <w:ilvl w:val="0"/>
          <w:numId w:val="1072"/>
        </w:numPr>
      </w:pPr>
      <w:r>
        <w:t xml:space="preserve">cantidad de trámites urgentes sin respuesta;</w:t>
      </w:r>
    </w:p>
    <w:p>
      <w:pPr>
        <w:pStyle w:val="Compact"/>
        <w:numPr>
          <w:ilvl w:val="0"/>
          <w:numId w:val="1072"/>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Applications/quarto/share/formats/docx/note.png" id="33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 indicador vale menos por su complejidad que por su capacidad de volver visible algo que importa.</w:t>
            </w:r>
          </w:p>
          <w:p/>
        </w:tc>
      </w:tr>
    </w:tbl>
    <w:bookmarkEnd w:id="331"/>
    <w:bookmarkStart w:id="332" w:name="del-dato-al-reporte"/>
    <w:p>
      <w:pPr>
        <w:pStyle w:val="Ttulo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Textoindependiente"/>
      </w:pPr>
      <w:r>
        <w:t xml:space="preserve">Por ejemplo, un reporte breve puede decir:</w:t>
      </w:r>
    </w:p>
    <w:p>
      <w:pPr>
        <w:pStyle w:val="Textodebloque"/>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73"/>
        </w:numPr>
      </w:pPr>
      <w:r>
        <w:t xml:space="preserve">información organizada;</w:t>
      </w:r>
    </w:p>
    <w:p>
      <w:pPr>
        <w:pStyle w:val="Compact"/>
        <w:numPr>
          <w:ilvl w:val="0"/>
          <w:numId w:val="1073"/>
        </w:numPr>
      </w:pPr>
      <w:r>
        <w:t xml:space="preserve">pregunta clara;</w:t>
      </w:r>
    </w:p>
    <w:p>
      <w:pPr>
        <w:pStyle w:val="Compact"/>
        <w:numPr>
          <w:ilvl w:val="0"/>
          <w:numId w:val="1073"/>
        </w:numPr>
      </w:pPr>
      <w:r>
        <w:t xml:space="preserve">resultado legible;</w:t>
      </w:r>
    </w:p>
    <w:p>
      <w:pPr>
        <w:pStyle w:val="Compact"/>
        <w:numPr>
          <w:ilvl w:val="0"/>
          <w:numId w:val="1073"/>
        </w:numPr>
      </w:pPr>
      <w:r>
        <w:t xml:space="preserve">interpretación de su relevancia.</w:t>
      </w:r>
    </w:p>
    <w:bookmarkEnd w:id="332"/>
    <w:bookmarkStart w:id="333" w:name="visualizar-no-es-decorar"/>
    <w:p>
      <w:pPr>
        <w:pStyle w:val="Ttulo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ipervnculo"/>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ipervnculo"/>
          </w:rPr>
          <w:t xml:space="preserve">Cairo 2017</w:t>
        </w:r>
      </w:hyperlink>
      <w:r>
        <w:t xml:space="preserve">)</w:t>
      </w:r>
      <w:r>
        <w:t xml:space="preserve">.</w:t>
      </w:r>
    </w:p>
    <w:p>
      <w:pPr>
        <w:pStyle w:val="Textoindependiente"/>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74"/>
        </w:numPr>
      </w:pPr>
      <w:r>
        <w:t xml:space="preserve">¿qué quiero mostrar?;</w:t>
      </w:r>
    </w:p>
    <w:p>
      <w:pPr>
        <w:pStyle w:val="Compact"/>
        <w:numPr>
          <w:ilvl w:val="0"/>
          <w:numId w:val="1074"/>
        </w:numPr>
      </w:pPr>
      <w:r>
        <w:t xml:space="preserve">¿a quién necesito explicárselo?;</w:t>
      </w:r>
    </w:p>
    <w:p>
      <w:pPr>
        <w:pStyle w:val="Compact"/>
        <w:numPr>
          <w:ilvl w:val="0"/>
          <w:numId w:val="1074"/>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33"/>
    <w:bookmarkStart w:id="334" w:name="ejemplo-1.-un-resumen-simple-con-python"/>
    <w:p>
      <w:pPr>
        <w:pStyle w:val="Ttulo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34"/>
    <w:bookmarkStart w:id="336" w:name="Xd6f955a96709ec8203cbc69d01c93d6369f1cde"/>
    <w:p>
      <w:pPr>
        <w:pStyle w:val="Ttulo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Textoindependiente"/>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ipervnculo"/>
          </w:rPr>
          <w:t xml:space="preserve">SQLite Documentation 2026</w:t>
        </w:r>
      </w:hyperlink>
      <w:r>
        <w:t xml:space="preserve">)</w:t>
      </w:r>
      <w:r>
        <w:t xml:space="preserve">. Ese detalle importa porque el trabajo con información jurídica y administrativa requiere a menudo distinguir entre lectura, edición y transformación.</w:t>
      </w:r>
    </w:p>
    <w:bookmarkStart w:id="335" w:name="ejemplo-2.-intuición-de-consulta"/>
    <w:p>
      <w:pPr>
        <w:pStyle w:val="Ttulo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35"/>
    <w:bookmarkEnd w:id="336"/>
    <w:bookmarkStart w:id="337" w:name="abrir-reutilizar-interpretar"/>
    <w:p>
      <w:pPr>
        <w:pStyle w:val="Ttulo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ipervnculo"/>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37"/>
    <w:bookmarkStart w:id="338" w:name="práctica-en-editor-2"/>
    <w:p>
      <w:pPr>
        <w:pStyle w:val="Ttulo2"/>
      </w:pPr>
      <w:r>
        <w:t xml:space="preserve">Práctica en editor</w:t>
      </w:r>
    </w:p>
    <w:p>
      <w:pPr>
        <w:pStyle w:val="FirstParagraph"/>
      </w:pPr>
      <w:r>
        <w:t xml:space="preserve">Trabaja con una tabla pequeña de registros jurídicos y produce tres cosas:</w:t>
      </w:r>
    </w:p>
    <w:p>
      <w:pPr>
        <w:pStyle w:val="Compact"/>
        <w:numPr>
          <w:ilvl w:val="0"/>
          <w:numId w:val="1075"/>
        </w:numPr>
      </w:pPr>
      <w:r>
        <w:t xml:space="preserve">una limpieza mínima de campos o categorías;</w:t>
      </w:r>
    </w:p>
    <w:p>
      <w:pPr>
        <w:pStyle w:val="Compact"/>
        <w:numPr>
          <w:ilvl w:val="0"/>
          <w:numId w:val="1075"/>
        </w:numPr>
      </w:pPr>
      <w:r>
        <w:t xml:space="preserve">un resultado resumido;</w:t>
      </w:r>
    </w:p>
    <w:p>
      <w:pPr>
        <w:pStyle w:val="Compact"/>
        <w:numPr>
          <w:ilvl w:val="0"/>
          <w:numId w:val="1075"/>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38"/>
    <w:bookmarkStart w:id="343" w:name="conclusiones-del-capítulo-5"/>
    <w:p>
      <w:pPr>
        <w:pStyle w:val="Ttulo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Applications/quarto/share/formats/docx/tip.png" id="34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6"/>
              </w:numPr>
            </w:pPr>
            <w:r>
              <w:t xml:space="preserve">Un dato aislado rara vez explica algo por sí solo.</w:t>
            </w:r>
          </w:p>
          <w:p>
            <w:pPr>
              <w:pStyle w:val="Compact"/>
              <w:numPr>
                <w:ilvl w:val="0"/>
                <w:numId w:val="1076"/>
              </w:numPr>
            </w:pPr>
            <w:r>
              <w:t xml:space="preserve">Ordenar información es una forma de pensar el problema con mayor precisión.</w:t>
            </w:r>
          </w:p>
          <w:p>
            <w:pPr>
              <w:pStyle w:val="Compact"/>
              <w:numPr>
                <w:ilvl w:val="0"/>
                <w:numId w:val="1076"/>
              </w:numPr>
            </w:pPr>
            <w:r>
              <w:t xml:space="preserve">Los indicadores sirven cuando hacen visible algo accionable, no cuando solo acumulan números.</w:t>
            </w:r>
          </w:p>
          <w:p>
            <w:pPr>
              <w:pStyle w:val="Compact"/>
              <w:numPr>
                <w:ilvl w:val="0"/>
                <w:numId w:val="1076"/>
              </w:numPr>
            </w:pPr>
            <w:r>
              <w:t xml:space="preserve">Visualizar ayuda, pero no reemplaza el contexto ni la interpretación.</w:t>
            </w:r>
          </w:p>
          <w:p>
            <w:pPr>
              <w:pStyle w:val="Compact"/>
              <w:numPr>
                <w:ilvl w:val="0"/>
                <w:numId w:val="1076"/>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Applications/quarto/share/formats/docx/caution.png" id="342"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bookmarkEnd w:id="343"/>
    <w:bookmarkEnd w:id="344"/>
    <w:bookmarkStart w:id="357" w:name="Xb55540e60b9464b51daf7ff5068e81d2e335396"/>
    <w:p>
      <w:pPr>
        <w:pStyle w:val="Ttulo1"/>
      </w:pPr>
      <w:r>
        <w:t xml:space="preserve">III. Web, nube y seguridad para el sector legal</w:t>
      </w:r>
    </w:p>
    <w:bookmarkStart w:id="347" w:name="por-qué-importa-este-módulo-2"/>
    <w:p>
      <w:pPr>
        <w:pStyle w:val="Ttulo2"/>
      </w:pPr>
      <w:r>
        <w:t xml:space="preserve">¿Por qué importa este módulo?</w:t>
      </w:r>
    </w:p>
    <w:p>
      <w:pPr>
        <w:pStyle w:val="FirstParagraph"/>
      </w:pPr>
      <w:r>
        <w:t xml:space="preserve">Buena parte de los servicios legales ya operan sobre infraestructura digital: páginas web, formularios, repositorios, plataformas, nubes y sistemas con distintos niveles de exposición pública. Por eso, comprender la web y la seguridad ya no es una rareza técnica; es parte de la alfabetización profesional básica.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Applications/quarto/share/formats/docx/important.png" id="34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Entender internet no consiste solo en saber publicar una página. También implica comprender cómo circula la información, qué riesgos aparecen y cómo se cuida la trazabilidad de lo que se expone.</w:t>
            </w:r>
          </w:p>
          <w:p/>
        </w:tc>
      </w:tr>
    </w:tbl>
    <w:bookmarkEnd w:id="347"/>
    <w:bookmarkStart w:id="348" w:name="qué-aprenderás-2"/>
    <w:p>
      <w:pPr>
        <w:pStyle w:val="Ttulo2"/>
      </w:pPr>
      <w:r>
        <w:t xml:space="preserve">Qué aprenderás</w:t>
      </w:r>
    </w:p>
    <w:p>
      <w:pPr>
        <w:pStyle w:val="FirstParagraph"/>
      </w:pPr>
      <w:r>
        <w:t xml:space="preserve">En este módulo trabajarás:</w:t>
      </w:r>
    </w:p>
    <w:p>
      <w:pPr>
        <w:pStyle w:val="Compact"/>
        <w:numPr>
          <w:ilvl w:val="0"/>
          <w:numId w:val="1077"/>
        </w:numPr>
      </w:pPr>
      <w:r>
        <w:t xml:space="preserve">conceptos básicos de internet, web y nube;</w:t>
      </w:r>
    </w:p>
    <w:p>
      <w:pPr>
        <w:pStyle w:val="Compact"/>
        <w:numPr>
          <w:ilvl w:val="0"/>
          <w:numId w:val="1077"/>
        </w:numPr>
      </w:pPr>
      <w:r>
        <w:t xml:space="preserve">estructura mínima de una página web;</w:t>
      </w:r>
    </w:p>
    <w:p>
      <w:pPr>
        <w:pStyle w:val="Compact"/>
        <w:numPr>
          <w:ilvl w:val="0"/>
          <w:numId w:val="1077"/>
        </w:numPr>
      </w:pPr>
      <w:r>
        <w:t xml:space="preserve">publicación con GitHub Pages;</w:t>
      </w:r>
    </w:p>
    <w:p>
      <w:pPr>
        <w:pStyle w:val="Compact"/>
        <w:numPr>
          <w:ilvl w:val="0"/>
          <w:numId w:val="1077"/>
        </w:numPr>
      </w:pPr>
      <w:r>
        <w:t xml:space="preserve">riesgos básicos de ciberseguridad en contextos legales.</w:t>
      </w:r>
    </w:p>
    <w:bookmarkEnd w:id="348"/>
    <w:bookmarkStart w:id="351" w:name="cómo-se-trabaja-en-este-módulo-2"/>
    <w:p>
      <w:pPr>
        <w:pStyle w:val="Ttulo2"/>
      </w:pPr>
      <w:r>
        <w:t xml:space="preserve">Cómo se trabaja en este módulo</w:t>
      </w:r>
    </w:p>
    <w:p>
      <w:pPr>
        <w:pStyle w:val="FirstParagraph"/>
      </w:pPr>
      <w:r>
        <w:t xml:space="preserve">Aquí se aprende construyendo y publicando artefactos reales. Abrirás tu editor, crearás archivos HTML/CSS/JS sencillos, trabajarás con repositorios y documentarás riesgos o medidas de seguridad en PSETs.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Applications/quarto/share/formats/docx/tip.png" id="35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Enfoque recomendado</w:t>
            </w:r>
          </w:p>
        </w:tc>
      </w:tr>
      <w:tr>
        <w:trPr>
          <w:cantSplit/>
        </w:trPr>
        <w:tc>
          <w:tcPr>
            <w:tcMar>
              <w:top w:w="108" w:type="dxa"/>
              <w:bottom w:w="108" w:type="dxa"/>
            </w:tcMar>
          </w:tcPr>
          <w:p>
            <w:pPr>
              <w:pStyle w:val="Textoindependiente"/>
            </w:pPr>
            <w:pPr>
              <w:spacing w:before="16" w:after="16"/>
            </w:pPr>
            <w:r>
              <w:t xml:space="preserve">No pienses la web solo como diseño. Piénsala como infraestructura de comunicación, reputación, servicio y riesgo.</w:t>
            </w:r>
          </w:p>
          <w:p/>
        </w:tc>
      </w:tr>
    </w:tbl>
    <w:bookmarkEnd w:id="351"/>
    <w:bookmarkStart w:id="352" w:name="tabla-de-contenidos-del-módulo-2"/>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7</w:t>
            </w:r>
          </w:p>
        </w:tc>
        <w:tc>
          <w:tcPr/>
          <w:p>
            <w:pPr>
              <w:pStyle w:val="Compact"/>
            </w:pPr>
            <w:r>
              <w:t xml:space="preserve">Internet y nube</w:t>
            </w:r>
          </w:p>
        </w:tc>
        <w:tc>
          <w:tcPr/>
          <w:p>
            <w:pPr>
              <w:pStyle w:val="Compact"/>
            </w:pPr>
            <w:r>
              <w:t xml:space="preserve">HTML, CSS, GitHub Pages</w:t>
            </w:r>
          </w:p>
        </w:tc>
        <w:tc>
          <w:tcPr/>
          <w:p>
            <w:pPr>
              <w:pStyle w:val="Compact"/>
            </w:pPr>
            <w:r>
              <w:t xml:space="preserve">crear y publicar una página simple</w:t>
            </w:r>
          </w:p>
        </w:tc>
        <w:tc>
          <w:tcPr/>
          <w:p>
            <w:pPr>
              <w:pStyle w:val="Compact"/>
            </w:pPr>
            <w:r>
              <w:t xml:space="preserve">sitio mínimo funcional</w:t>
            </w:r>
          </w:p>
        </w:tc>
      </w:tr>
      <w:tr>
        <w:tc>
          <w:tcPr/>
          <w:p>
            <w:pPr>
              <w:pStyle w:val="Compact"/>
            </w:pPr>
            <w:r>
              <w:t xml:space="preserve">8</w:t>
            </w:r>
          </w:p>
        </w:tc>
        <w:tc>
          <w:tcPr/>
          <w:p>
            <w:pPr>
              <w:pStyle w:val="Compact"/>
            </w:pPr>
            <w:r>
              <w:t xml:space="preserve">Ciberseguridad</w:t>
            </w:r>
          </w:p>
        </w:tc>
        <w:tc>
          <w:tcPr/>
          <w:p>
            <w:pPr>
              <w:pStyle w:val="Compact"/>
            </w:pPr>
            <w:r>
              <w:t xml:space="preserve">checklists, repositorios, documentación</w:t>
            </w:r>
          </w:p>
        </w:tc>
        <w:tc>
          <w:tcPr/>
          <w:p>
            <w:pPr>
              <w:pStyle w:val="Compact"/>
            </w:pPr>
            <w:r>
              <w:t xml:space="preserve">analizar riesgos y controles</w:t>
            </w:r>
          </w:p>
        </w:tc>
        <w:tc>
          <w:tcPr/>
          <w:p>
            <w:pPr>
              <w:pStyle w:val="Compact"/>
            </w:pPr>
            <w:r>
              <w:t xml:space="preserve">informe breve de mitigación</w:t>
            </w:r>
          </w:p>
        </w:tc>
      </w:tr>
    </w:tbl>
    <w:bookmarkEnd w:id="352"/>
    <w:bookmarkStart w:id="353" w:name="qué-debes-poder-hacer-al-terminar-2"/>
    <w:p>
      <w:pPr>
        <w:pStyle w:val="Ttulo2"/>
      </w:pPr>
      <w:r>
        <w:t xml:space="preserve">Qué debes poder hacer al terminar</w:t>
      </w:r>
    </w:p>
    <w:p>
      <w:pPr>
        <w:pStyle w:val="FirstParagraph"/>
      </w:pPr>
      <w:r>
        <w:t xml:space="preserve">Al finalizar este módulo, deberías poder:</w:t>
      </w:r>
    </w:p>
    <w:p>
      <w:pPr>
        <w:pStyle w:val="Compact"/>
        <w:numPr>
          <w:ilvl w:val="0"/>
          <w:numId w:val="1078"/>
        </w:numPr>
      </w:pPr>
      <w:r>
        <w:t xml:space="preserve">explicar qué es la web y cómo se publica un sitio sencillo;</w:t>
      </w:r>
    </w:p>
    <w:p>
      <w:pPr>
        <w:pStyle w:val="Compact"/>
        <w:numPr>
          <w:ilvl w:val="0"/>
          <w:numId w:val="1078"/>
        </w:numPr>
      </w:pPr>
      <w:r>
        <w:t xml:space="preserve">distinguir elementos básicos de una página y de la infraestructura que la sostiene;</w:t>
      </w:r>
    </w:p>
    <w:p>
      <w:pPr>
        <w:pStyle w:val="Compact"/>
        <w:numPr>
          <w:ilvl w:val="0"/>
          <w:numId w:val="1078"/>
        </w:numPr>
      </w:pPr>
      <w:r>
        <w:t xml:space="preserve">identificar riesgos de seguridad frecuentes en trabajo jurídico digital;</w:t>
      </w:r>
    </w:p>
    <w:p>
      <w:pPr>
        <w:pStyle w:val="Compact"/>
        <w:numPr>
          <w:ilvl w:val="0"/>
          <w:numId w:val="1078"/>
        </w:numPr>
      </w:pPr>
      <w:r>
        <w:t xml:space="preserve">documentar medidas mínimas de prevención.</w:t>
      </w:r>
    </w:p>
    <w:bookmarkEnd w:id="353"/>
    <w:bookmarkStart w:id="356" w:name="cómo-se-conecta-con-el-resto-del-curso-2"/>
    <w:p>
      <w:pPr>
        <w:pStyle w:val="Ttulo2"/>
      </w:pPr>
      <w:r>
        <w:t xml:space="preserve">Cómo se conecta con el resto del curso</w:t>
      </w:r>
    </w:p>
    <w:p>
      <w:pPr>
        <w:pStyle w:val="FirstParagraph"/>
      </w:pPr>
      <w:r>
        <w:t xml:space="preserve">Este módulo convierte la lógica de procesos y datos en presencia digital y gestión de riesgo. Sobre esa base, el curso puede entrar luego en IA con una mejor comprensión de infraestructura, exposición y control.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Applications/quarto/share/formats/docx/warning.png" id="3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Publicar no es solo subir archivos. Es asumir que la información queda expuesta a personas, sistemas y errores. Esa conciencia importa mucho en derecho.</w:t>
            </w:r>
          </w:p>
          <w:p/>
        </w:tc>
      </w:tr>
    </w:tbl>
    <w:bookmarkEnd w:id="356"/>
    <w:bookmarkEnd w:id="357"/>
    <w:bookmarkStart w:id="380" w:name="el-internet-y-la-nube"/>
    <w:p>
      <w:pPr>
        <w:pStyle w:val="Ttulo1"/>
      </w:pPr>
      <w:r>
        <w:t xml:space="preserve">7. El internet y la nube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Applications/quarto/share/formats/docx/note.png" id="35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capa de infraestructura que suele permanecer invisible cuando solo usamos plataformas y páginas ya hechas. El objetivo es distinguir internet, web, dominio, servidor, hosting y nube; entender la estructura mínima de una página; y advertir por qué publicar información digital también implica exposición, mantenimiento y criterio profesional.</w:t>
            </w:r>
          </w:p>
          <w:p/>
        </w:tc>
      </w:tr>
    </w:tbl>
    <w:bookmarkStart w:id="360" w:name="X4d84ccc8f665ac36923e1c948f380953323af6b"/>
    <w:p>
      <w:pPr>
        <w:pStyle w:val="Ttulo2"/>
      </w:pPr>
      <w:r>
        <w:t xml:space="preserve">La web también es infraestructura jurídica</w:t>
      </w:r>
    </w:p>
    <w:p>
      <w:pPr>
        <w:pStyle w:val="FirstParagraph"/>
      </w:pPr>
      <w:r>
        <w:t xml:space="preserve">Muchos servicios jurídicos actuales se prestan, difunden o documentan a través de la web. Portales institucionales, formularios de atención, publicaciones regulatorias, sitios profesionales y sistemas de consulta conviven hoy con el trabajo legal cotidiano. Entender esa infraestructura no convierte a un jurista en ingeniero, pero sí le permite leer con más precisión el entorno donde circulan documentos, reputación y servicios.</w:t>
      </w:r>
    </w:p>
    <w:bookmarkEnd w:id="360"/>
    <w:bookmarkStart w:id="361" w:name="internet-web-y-nube-no-son-lo-mismo"/>
    <w:p>
      <w:pPr>
        <w:pStyle w:val="Ttulo2"/>
      </w:pPr>
      <w:r>
        <w:t xml:space="preserve">Internet, web y nube no son lo mismo</w:t>
      </w:r>
    </w:p>
    <w:p>
      <w:pPr>
        <w:pStyle w:val="FirstParagraph"/>
      </w:pPr>
      <w:r>
        <w:t xml:space="preserve">En conversación cotidiana solemos mezclar estos términos como si fueran equivalentes, pero no lo son. Internet es la red general de comunicación; la web es uno de los servicios que funciona sobre esa red; el navegador es la herramienta de acceso; el servidor aloja el contenido; el dominio lo vuelve localizable; y el hosting o la nube hacen posible que ese contenido permanezca disponible desde infraestructura remota. Separar estas ideas importa porque publicar no es un acto abstracto: implica soporte técnico, acceso, exposición y dependencia de servicios concretos.</w:t>
      </w:r>
    </w:p>
    <w:bookmarkEnd w:id="361"/>
    <w:bookmarkStart w:id="364" w:name="publicar-también-es-asumir-exposición"/>
    <w:p>
      <w:pPr>
        <w:pStyle w:val="Ttulo2"/>
      </w:pPr>
      <w:r>
        <w:t xml:space="preserve">Publicar también es asumir exposición</w:t>
      </w:r>
    </w:p>
    <w:p>
      <w:pPr>
        <w:pStyle w:val="FirstParagraph"/>
      </w:pPr>
      <w:r>
        <w:t xml:space="preserve">Para una facultad de Derecho, este tema importa por dos razones. La primera es profesional: una parte creciente de la actividad jurídica se presenta, organiza o consulta desde entornos web. La segunda es formativa: entender cómo se publica algo ayuda a pensar mejor disponibilidad, reputación, control y seguridad de la información. Una página sencilla puede ser una pieza menor en términos técnicos y, al mismo tiempo, una pieza muy relevante en términos públicos.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Applications/quarto/share/formats/docx/important.png" id="3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Para esta sesión basta con una carpeta de trabajo simple, un archivo</w:t>
            </w:r>
            <w:r>
              <w:t xml:space="preserve"> </w:t>
            </w:r>
            <w:r>
              <w:rPr>
                <w:rStyle w:val="VerbatimChar"/>
              </w:rPr>
              <w:t xml:space="preserve">index.html</w:t>
            </w:r>
            <w:r>
              <w:t xml:space="preserve"> </w:t>
            </w:r>
            <w:r>
              <w:t xml:space="preserve">y, si quieres separar estilos, un archivo</w:t>
            </w:r>
            <w:r>
              <w:t xml:space="preserve"> </w:t>
            </w:r>
            <w:r>
              <w:rPr>
                <w:rStyle w:val="VerbatimChar"/>
              </w:rPr>
              <w:t xml:space="preserve">style.css</w:t>
            </w:r>
            <w:r>
              <w:t xml:space="preserve">. La meta no es construir un sitio complejo, sino entender la relación entre estructura, apariencia y publicación. Si más adelante decides usar GitHub Pages, ese paso tendrá más sentido si primero comprendes qué estás publicando y cómo está organizado.</w:t>
            </w:r>
          </w:p>
          <w:p/>
        </w:tc>
      </w:tr>
    </w:tbl>
    <w:bookmarkEnd w:id="364"/>
    <w:bookmarkStart w:id="365" w:name="estructura-mínima-de-una-página-web"/>
    <w:p>
      <w:pPr>
        <w:pStyle w:val="Ttulo2"/>
      </w:pPr>
      <w:r>
        <w:t xml:space="preserve">Estructura mínima de una página web</w:t>
      </w:r>
    </w:p>
    <w:p>
      <w:pPr>
        <w:pStyle w:val="FirstParagraph"/>
      </w:pPr>
      <w:r>
        <w:t xml:space="preserve">Una página simple suele combinar tres capas:</w:t>
      </w:r>
    </w:p>
    <w:p>
      <w:pPr>
        <w:pStyle w:val="Compact"/>
        <w:numPr>
          <w:ilvl w:val="0"/>
          <w:numId w:val="1079"/>
        </w:numPr>
      </w:pPr>
      <w:r>
        <w:rPr>
          <w:b/>
          <w:bCs/>
        </w:rPr>
        <w:t xml:space="preserve">HTML</w:t>
      </w:r>
      <w:r>
        <w:t xml:space="preserve">: estructura del contenido;</w:t>
      </w:r>
    </w:p>
    <w:p>
      <w:pPr>
        <w:pStyle w:val="Compact"/>
        <w:numPr>
          <w:ilvl w:val="0"/>
          <w:numId w:val="1079"/>
        </w:numPr>
      </w:pPr>
      <w:r>
        <w:rPr>
          <w:b/>
          <w:bCs/>
        </w:rPr>
        <w:t xml:space="preserve">CSS</w:t>
      </w:r>
      <w:r>
        <w:t xml:space="preserve">: apariencia y estilo;</w:t>
      </w:r>
    </w:p>
    <w:p>
      <w:pPr>
        <w:pStyle w:val="Compact"/>
        <w:numPr>
          <w:ilvl w:val="0"/>
          <w:numId w:val="1079"/>
        </w:numPr>
      </w:pPr>
      <w:r>
        <w:rPr>
          <w:b/>
          <w:bCs/>
        </w:rPr>
        <w:t xml:space="preserve">JavaScript</w:t>
      </w:r>
      <w:r>
        <w:t xml:space="preserve">: comportamiento o interacción cuando hace falta.</w:t>
      </w:r>
    </w:p>
    <w:p>
      <w:pPr>
        <w:pStyle w:val="FirstParagraph"/>
      </w:pPr>
      <w:r>
        <w:t xml:space="preserve">HTML dice qué cosa es cada parte: un título, un párrafo, una lista o un enlace. CSS define cómo se ve: colores, márgenes, tipografía y disposición. JavaScript permite comportamiento dinámico, aunque en una sesión introductoria puede mantenerse al mínimo.</w:t>
      </w:r>
    </w:p>
    <w:bookmarkEnd w:id="365"/>
    <w:bookmarkStart w:id="366" w:name="un-ejemplo-muy-básico-con-html"/>
    <w:p>
      <w:pPr>
        <w:pStyle w:val="Ttulo2"/>
      </w:pPr>
      <w:r>
        <w:t xml:space="preserve">Un ejemplo muy básico con HTML</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Perfil Legal Tech</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Ana Perez</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Estudiante de Derecho interesada en tecnologia y regulacion.</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"https://github.com/"</w:t>
      </w:r>
      <w:r>
        <w:rPr>
          <w:rStyle w:val="DataTypeTok"/>
        </w:rPr>
        <w:t xml:space="preserve">&gt;</w:t>
      </w:r>
      <w:r>
        <w:rPr>
          <w:rStyle w:val="NormalTok"/>
        </w:rPr>
        <w:t xml:space="preserve">Mi GitHub</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ya es, en sentido estricto, una página web muy simple.</w:t>
      </w:r>
    </w:p>
    <w:bookmarkEnd w:id="366"/>
    <w:bookmarkStart w:id="367" w:name="qué-hace-css-en-este-contexto"/>
    <w:p>
      <w:pPr>
        <w:pStyle w:val="Ttulo2"/>
      </w:pPr>
      <w:r>
        <w:t xml:space="preserve">Qué hace CSS en este contexto</w:t>
      </w:r>
    </w:p>
    <w:p>
      <w:pPr>
        <w:pStyle w:val="FirstParagraph"/>
      </w:pPr>
      <w:r>
        <w:t xml:space="preserve">Si agregamos CSS, la página puede verse más legible y ordenada:</w:t>
      </w:r>
    </w:p>
    <w:p>
      <w:pPr>
        <w:pStyle w:val="SourceCode"/>
      </w:pPr>
      <w:r>
        <w:rPr>
          <w:rStyle w:val="NormalTok"/>
        </w:rPr>
        <w:t xml:space="preserve">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Georgia</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720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w:t>
      </w:r>
      <w:r>
        <w:rPr>
          <w:rStyle w:val="DataTypeTok"/>
        </w:rPr>
        <w:t xml:space="preserve">rem</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w:t>
      </w:r>
      <w:r>
        <w:br/>
      </w:r>
      <w:r>
        <w:br/>
      </w:r>
      <w:r>
        <w:rPr>
          <w:rStyle w:val="NormalTok"/>
        </w:rPr>
        <w:t xml:space="preserve">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#1f3c88</w:t>
      </w:r>
      <w:r>
        <w:rPr>
          <w:rStyle w:val="OperatorTok"/>
        </w:rPr>
        <w:t xml:space="preserve">;</w:t>
      </w:r>
      <w:r>
        <w:br/>
      </w:r>
      <w:r>
        <w:rPr>
          <w:rStyle w:val="NormalTok"/>
        </w:rPr>
        <w:t xml:space="preserve">}</w:t>
      </w:r>
    </w:p>
    <w:p>
      <w:pPr>
        <w:pStyle w:val="FirstParagraph"/>
      </w:pPr>
      <w:r>
        <w:t xml:space="preserve">No hace falta buscar complejidad visual de inmediato. Una página sobria, clara y profesional suele ser mucho más útil para el curso.</w:t>
      </w:r>
    </w:p>
    <w:bookmarkEnd w:id="367"/>
    <w:bookmarkStart w:id="368" w:name="páginas-estáticas-y-dinámicas"/>
    <w:p>
      <w:pPr>
        <w:pStyle w:val="Ttulo2"/>
      </w:pPr>
      <w:r>
        <w:t xml:space="preserve">Páginas estáticas y dinámicas</w:t>
      </w:r>
    </w:p>
    <w:p>
      <w:pPr>
        <w:pStyle w:val="FirstParagraph"/>
      </w:pPr>
      <w:r>
        <w:t xml:space="preserve">También conviene distinguir dos ideas:</w:t>
      </w:r>
    </w:p>
    <w:p>
      <w:pPr>
        <w:pStyle w:val="Compact"/>
        <w:numPr>
          <w:ilvl w:val="0"/>
          <w:numId w:val="1080"/>
        </w:numPr>
      </w:pPr>
      <w:r>
        <w:rPr>
          <w:b/>
          <w:bCs/>
        </w:rPr>
        <w:t xml:space="preserve">página estática</w:t>
      </w:r>
      <w:r>
        <w:t xml:space="preserve">: su contenido se sirve tal como fue escrito en archivos;</w:t>
      </w:r>
    </w:p>
    <w:p>
      <w:pPr>
        <w:pStyle w:val="Compact"/>
        <w:numPr>
          <w:ilvl w:val="0"/>
          <w:numId w:val="1080"/>
        </w:numPr>
      </w:pPr>
      <w:r>
        <w:rPr>
          <w:b/>
          <w:bCs/>
        </w:rPr>
        <w:t xml:space="preserve">página dinámica</w:t>
      </w:r>
      <w:r>
        <w:t xml:space="preserve">: su contenido puede construirse o cambiar en tiempo real según base de datos, usuario u otras condiciones.</w:t>
      </w:r>
    </w:p>
    <w:p>
      <w:pPr>
        <w:pStyle w:val="FirstParagraph"/>
      </w:pPr>
      <w:r>
        <w:t xml:space="preserve">Para este curso, una página estática es ideal como punto de partida porque obliga a entender estructura, es fácil de publicar y permite concentrarse en fundamentos sin complejidad innecesaria.</w:t>
      </w:r>
    </w:p>
    <w:bookmarkEnd w:id="368"/>
    <w:bookmarkStart w:id="371" w:name="la-nube-en-términos-simples"/>
    <w:p>
      <w:pPr>
        <w:pStyle w:val="Ttulo2"/>
      </w:pPr>
      <w:r>
        <w:t xml:space="preserve">La nube, en términos simples</w:t>
      </w:r>
    </w:p>
    <w:p>
      <w:pPr>
        <w:pStyle w:val="FirstParagraph"/>
      </w:pPr>
      <w:r>
        <w:t xml:space="preserve">Cuando hablamos de nube, muchas veces nos referimos a servicios que corren en infraestructura remota accesible por internet. No es magia: son servidores, almacenamiento y aplicaciones que no viven necesariamente en tu computadora personal. Desde una mirada pedagógica, basta con advertir tres cosas:</w:t>
      </w:r>
    </w:p>
    <w:p>
      <w:pPr>
        <w:pStyle w:val="Compact"/>
        <w:numPr>
          <w:ilvl w:val="0"/>
          <w:numId w:val="1081"/>
        </w:numPr>
      </w:pPr>
      <w:r>
        <w:t xml:space="preserve">publicar un sitio suele implicar usar infraestructura ajena;</w:t>
      </w:r>
    </w:p>
    <w:p>
      <w:pPr>
        <w:pStyle w:val="Compact"/>
        <w:numPr>
          <w:ilvl w:val="0"/>
          <w:numId w:val="1081"/>
        </w:numPr>
      </w:pPr>
      <w:r>
        <w:t xml:space="preserve">guardar archivos en plataformas también implica confiar en servicios remotos;</w:t>
      </w:r>
    </w:p>
    <w:p>
      <w:pPr>
        <w:pStyle w:val="Compact"/>
        <w:numPr>
          <w:ilvl w:val="0"/>
          <w:numId w:val="1081"/>
        </w:numPr>
      </w:pPr>
      <w:r>
        <w:t xml:space="preserve">trabajar en la nube supone pensar en acceso, disponibilidad y seguridad.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Applications/quarto/share/formats/docx/tip.png" id="3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Una buena página para este curso no necesita ser compleja. Necesita ser clara, legible, propia y públicamente accesible cuando decidas publicarla.</w:t>
            </w:r>
          </w:p>
          <w:p/>
        </w:tc>
      </w:tr>
    </w:tbl>
    <w:bookmarkEnd w:id="371"/>
    <w:bookmarkStart w:id="372" w:name="github-pages-como-herramienta-pedagógica"/>
    <w:p>
      <w:pPr>
        <w:pStyle w:val="Ttulo2"/>
      </w:pPr>
      <w:r>
        <w:t xml:space="preserve">GitHub Pages como herramienta pedagógica</w:t>
      </w:r>
    </w:p>
    <w:p>
      <w:pPr>
        <w:pStyle w:val="FirstParagraph"/>
      </w:pPr>
      <w:r>
        <w:t xml:space="preserve">GitHub Pages resulta especialmente útil porque conecta varias dimensiones a la vez:</w:t>
      </w:r>
    </w:p>
    <w:p>
      <w:pPr>
        <w:pStyle w:val="Compact"/>
        <w:numPr>
          <w:ilvl w:val="0"/>
          <w:numId w:val="1082"/>
        </w:numPr>
      </w:pPr>
      <w:r>
        <w:t xml:space="preserve">repositorio;</w:t>
      </w:r>
    </w:p>
    <w:p>
      <w:pPr>
        <w:pStyle w:val="Compact"/>
        <w:numPr>
          <w:ilvl w:val="0"/>
          <w:numId w:val="1082"/>
        </w:numPr>
      </w:pPr>
      <w:r>
        <w:t xml:space="preserve">control de versiones;</w:t>
      </w:r>
    </w:p>
    <w:p>
      <w:pPr>
        <w:pStyle w:val="Compact"/>
        <w:numPr>
          <w:ilvl w:val="0"/>
          <w:numId w:val="1082"/>
        </w:numPr>
      </w:pPr>
      <w:r>
        <w:t xml:space="preserve">publicación;</w:t>
      </w:r>
    </w:p>
    <w:p>
      <w:pPr>
        <w:pStyle w:val="Compact"/>
        <w:numPr>
          <w:ilvl w:val="0"/>
          <w:numId w:val="1082"/>
        </w:numPr>
      </w:pPr>
      <w:r>
        <w:t xml:space="preserve">evidencia de trabajo.</w:t>
      </w:r>
    </w:p>
    <w:p>
      <w:pPr>
        <w:pStyle w:val="FirstParagraph"/>
      </w:pPr>
      <w:r>
        <w:t xml:space="preserve">Eso lo vuelve adecuado para el curso, ya que el producto final no queda separado del proceso que lo produjo. El mismo entorno donde editas y versionas puede servir también para publicar.</w:t>
      </w:r>
    </w:p>
    <w:bookmarkEnd w:id="372"/>
    <w:bookmarkStart w:id="373" w:name="qué-se-gana-al-publicar-algo-propio"/>
    <w:p>
      <w:pPr>
        <w:pStyle w:val="Ttulo2"/>
      </w:pPr>
      <w:r>
        <w:t xml:space="preserve">Qué se gana al publicar algo propio</w:t>
      </w:r>
    </w:p>
    <w:p>
      <w:pPr>
        <w:pStyle w:val="FirstParagraph"/>
      </w:pPr>
      <w:r>
        <w:t xml:space="preserve">Publicar una página simple deja ver varias competencias al mismo tiempo:</w:t>
      </w:r>
    </w:p>
    <w:p>
      <w:pPr>
        <w:pStyle w:val="Compact"/>
        <w:numPr>
          <w:ilvl w:val="0"/>
          <w:numId w:val="1083"/>
        </w:numPr>
      </w:pPr>
      <w:r>
        <w:t xml:space="preserve">organización de contenido;</w:t>
      </w:r>
    </w:p>
    <w:p>
      <w:pPr>
        <w:pStyle w:val="Compact"/>
        <w:numPr>
          <w:ilvl w:val="0"/>
          <w:numId w:val="1083"/>
        </w:numPr>
      </w:pPr>
      <w:r>
        <w:t xml:space="preserve">escritura con propósito;</w:t>
      </w:r>
    </w:p>
    <w:p>
      <w:pPr>
        <w:pStyle w:val="Compact"/>
        <w:numPr>
          <w:ilvl w:val="0"/>
          <w:numId w:val="1083"/>
        </w:numPr>
      </w:pPr>
      <w:r>
        <w:t xml:space="preserve">estructura básica de HTML;</w:t>
      </w:r>
    </w:p>
    <w:p>
      <w:pPr>
        <w:pStyle w:val="Compact"/>
        <w:numPr>
          <w:ilvl w:val="0"/>
          <w:numId w:val="1083"/>
        </w:numPr>
      </w:pPr>
      <w:r>
        <w:t xml:space="preserve">comprensión elemental de infraestructura web.</w:t>
      </w:r>
    </w:p>
    <w:p>
      <w:pPr>
        <w:pStyle w:val="FirstParagraph"/>
      </w:pPr>
      <w:r>
        <w:t xml:space="preserve">No se trata de formar diseñadores web en una sesión. Se trata de que el estudiante entienda cómo funciona una publicación digital básica y la use con sentido profesional.</w:t>
      </w:r>
    </w:p>
    <w:bookmarkEnd w:id="373"/>
    <w:bookmarkStart w:id="374" w:name="práctica-en-editor-3"/>
    <w:p>
      <w:pPr>
        <w:pStyle w:val="Ttulo2"/>
      </w:pPr>
      <w:r>
        <w:t xml:space="preserve">Práctica en editor</w:t>
      </w:r>
    </w:p>
    <w:p>
      <w:pPr>
        <w:pStyle w:val="FirstParagraph"/>
      </w:pPr>
      <w:r>
        <w:t xml:space="preserve">Crea una página mínima con:</w:t>
      </w:r>
    </w:p>
    <w:p>
      <w:pPr>
        <w:pStyle w:val="Compact"/>
        <w:numPr>
          <w:ilvl w:val="0"/>
          <w:numId w:val="1084"/>
        </w:numPr>
      </w:pPr>
      <w:r>
        <w:t xml:space="preserve">un título;</w:t>
      </w:r>
    </w:p>
    <w:p>
      <w:pPr>
        <w:pStyle w:val="Compact"/>
        <w:numPr>
          <w:ilvl w:val="0"/>
          <w:numId w:val="1084"/>
        </w:numPr>
      </w:pPr>
      <w:r>
        <w:t xml:space="preserve">una breve presentación;</w:t>
      </w:r>
    </w:p>
    <w:p>
      <w:pPr>
        <w:pStyle w:val="Compact"/>
        <w:numPr>
          <w:ilvl w:val="0"/>
          <w:numId w:val="1084"/>
        </w:numPr>
      </w:pPr>
      <w:r>
        <w:t xml:space="preserve">una sección sobre intereses o experiencia;</w:t>
      </w:r>
    </w:p>
    <w:p>
      <w:pPr>
        <w:pStyle w:val="Compact"/>
        <w:numPr>
          <w:ilvl w:val="0"/>
          <w:numId w:val="1084"/>
        </w:numPr>
      </w:pPr>
      <w:r>
        <w:t xml:space="preserve">un enlace;</w:t>
      </w:r>
    </w:p>
    <w:p>
      <w:pPr>
        <w:pStyle w:val="Compact"/>
        <w:numPr>
          <w:ilvl w:val="0"/>
          <w:numId w:val="1084"/>
        </w:numPr>
      </w:pPr>
      <w:r>
        <w:t xml:space="preserve">un archivo HTML y, si es posible, un archivo CSS separado.</w:t>
      </w:r>
    </w:p>
    <w:bookmarkEnd w:id="374"/>
    <w:bookmarkStart w:id="379" w:name="conclusiones-del-capítulo-6"/>
    <w:p>
      <w:pPr>
        <w:pStyle w:val="Ttulo2"/>
      </w:pPr>
      <w:r>
        <w:t xml:space="preserve">Conclusiones del capítulo</w:t>
      </w:r>
    </w:p>
    <w:p>
      <w:pPr>
        <w:pStyle w:val="FirstParagraph"/>
      </w:pPr>
      <w:r>
        <w:t xml:space="preserve">Entender la web desde dentro cambia la relación con las plataformas que usamos todos los días. Lo que antes parecía un espacio abstracto empieza a verse como una combinación concreta de estructura, infraestructura y decisiones de publicación. Para una formación jurídica, esa mirada importa porque aclara dónde circula la información y bajo qué condiciones se vuelve visible.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Applications/quarto/share/formats/docx/tip.png" id="37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5"/>
              </w:numPr>
            </w:pPr>
            <w:r>
              <w:t xml:space="preserve">internet, web y nube no son sinónimos;</w:t>
            </w:r>
          </w:p>
          <w:p>
            <w:pPr>
              <w:pStyle w:val="Compact"/>
              <w:numPr>
                <w:ilvl w:val="0"/>
                <w:numId w:val="1085"/>
              </w:numPr>
            </w:pPr>
            <w:r>
              <w:t xml:space="preserve">una página web combina estructura, estilo y, cuando hace falta, comportamiento;</w:t>
            </w:r>
          </w:p>
          <w:p>
            <w:pPr>
              <w:pStyle w:val="Compact"/>
              <w:numPr>
                <w:ilvl w:val="0"/>
                <w:numId w:val="1085"/>
              </w:numPr>
            </w:pPr>
            <w:r>
              <w:t xml:space="preserve">publicar información digital también implica exposición e infraestructura;</w:t>
            </w:r>
          </w:p>
          <w:p>
            <w:pPr>
              <w:pStyle w:val="Compact"/>
              <w:numPr>
                <w:ilvl w:val="0"/>
                <w:numId w:val="1085"/>
              </w:numPr>
            </w:pPr>
            <w:r>
              <w:t xml:space="preserve">una página estática es un buen punto de entrada para aprender a publicar con criterio.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Applications/quarto/share/formats/docx/caution.png" id="378"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Buena parte del trabajo jurídico contemporáneo ocurre en entornos que alguien diseñó, alojó y puso en línea. Entender esa materialidad técnica ayuda no solo a publicar mejor, sino también a evaluar con más criterio qué significa confiar información, identidad profesional o servicios a una plataforma.</w:t>
            </w:r>
          </w:p>
          <w:p/>
        </w:tc>
      </w:tr>
    </w:tbl>
    <w:bookmarkEnd w:id="379"/>
    <w:bookmarkEnd w:id="380"/>
    <w:bookmarkStart w:id="406" w:name="ciberseguridad"/>
    <w:p>
      <w:pPr>
        <w:pStyle w:val="Ttulo1"/>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1" name="Picture"/>
                  <a:graphic>
                    <a:graphicData uri="http://schemas.openxmlformats.org/drawingml/2006/picture">
                      <pic:pic>
                        <pic:nvPicPr>
                          <pic:cNvPr descr="/Applications/quarto/share/formats/docx/note.png" id="38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Start w:id="383" w:name="X86dc9e37cfc4dfa42b6bd2172eab3a3b2b2d4f2"/>
    <w:p>
      <w:pPr>
        <w:pStyle w:val="Ttulo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w:t>
      </w:r>
    </w:p>
    <w:bookmarkEnd w:id="383"/>
    <w:bookmarkStart w:id="384" w:name="Xf60a6946064e29a9aaaad223a6c45c22b8d4591"/>
    <w:p>
      <w:pPr>
        <w:pStyle w:val="Ttulo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384"/>
    <w:bookmarkStart w:id="387" w:name="X22add36c65c21b892f879f6e7d5e79d993732bd"/>
    <w:p>
      <w:pPr>
        <w:pStyle w:val="Ttulo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Applications/quarto/share/formats/docx/important.png" id="38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387"/>
    <w:bookmarkStart w:id="390" w:name="X8757b6c01b4aead4a1e28349289980574030a25"/>
    <w:p>
      <w:pPr>
        <w:pStyle w:val="Ttulo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086"/>
        </w:numPr>
      </w:pPr>
      <w:r>
        <w:rPr>
          <w:b/>
          <w:bCs/>
        </w:rPr>
        <w:t xml:space="preserve">confidencialidad</w:t>
      </w:r>
      <w:r>
        <w:t xml:space="preserve">: que la información solo sea accesible para quien corresponde;</w:t>
      </w:r>
    </w:p>
    <w:p>
      <w:pPr>
        <w:pStyle w:val="Compact"/>
        <w:numPr>
          <w:ilvl w:val="0"/>
          <w:numId w:val="1086"/>
        </w:numPr>
      </w:pPr>
      <w:r>
        <w:rPr>
          <w:b/>
          <w:bCs/>
        </w:rPr>
        <w:t xml:space="preserve">integridad</w:t>
      </w:r>
      <w:r>
        <w:t xml:space="preserve">: que la información no sea alterada indebidamente;</w:t>
      </w:r>
    </w:p>
    <w:p>
      <w:pPr>
        <w:pStyle w:val="Compact"/>
        <w:numPr>
          <w:ilvl w:val="0"/>
          <w:numId w:val="1086"/>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087"/>
        </w:numPr>
      </w:pPr>
      <w:r>
        <w:t xml:space="preserve">si un expediente reservado se comparte indebidamente, se afecta la confidencialidad;</w:t>
      </w:r>
    </w:p>
    <w:p>
      <w:pPr>
        <w:pStyle w:val="Compact"/>
        <w:numPr>
          <w:ilvl w:val="0"/>
          <w:numId w:val="1087"/>
        </w:numPr>
      </w:pPr>
      <w:r>
        <w:t xml:space="preserve">si una versión de contrato cambia sin control, se afecta la integridad;</w:t>
      </w:r>
    </w:p>
    <w:p>
      <w:pPr>
        <w:pStyle w:val="Compact"/>
        <w:numPr>
          <w:ilvl w:val="0"/>
          <w:numId w:val="1087"/>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Applications/quarto/share/formats/docx/note.png" id="38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Textoindependiente"/>
            </w:pPr>
            <w:pPr>
              <w:spacing w:before="16" w:after="16"/>
            </w:pPr>
            <w:r>
              <w:t xml:space="preserve">La seguridad no consiste solo en evitar hackeos. Consiste en proteger acceso, confiabilidad y continuidad.</w:t>
            </w:r>
          </w:p>
          <w:p/>
        </w:tc>
      </w:tr>
    </w:tbl>
    <w:bookmarkEnd w:id="390"/>
    <w:bookmarkStart w:id="391" w:name="riesgos-frecuentes-en-contextos-legales"/>
    <w:p>
      <w:pPr>
        <w:pStyle w:val="Ttulo2"/>
      </w:pPr>
      <w:r>
        <w:t xml:space="preserve">Riesgos frecuentes en contextos legales</w:t>
      </w:r>
    </w:p>
    <w:p>
      <w:pPr>
        <w:pStyle w:val="FirstParagraph"/>
      </w:pPr>
      <w:r>
        <w:t xml:space="preserve">Entre los riesgos más frecuentes en trabajo digital jurídico están:</w:t>
      </w:r>
    </w:p>
    <w:p>
      <w:pPr>
        <w:pStyle w:val="Compact"/>
        <w:numPr>
          <w:ilvl w:val="0"/>
          <w:numId w:val="1088"/>
        </w:numPr>
      </w:pPr>
      <w:r>
        <w:t xml:space="preserve">phishing;</w:t>
      </w:r>
    </w:p>
    <w:p>
      <w:pPr>
        <w:pStyle w:val="Compact"/>
        <w:numPr>
          <w:ilvl w:val="0"/>
          <w:numId w:val="1088"/>
        </w:numPr>
      </w:pPr>
      <w:r>
        <w:t xml:space="preserve">contraseñas débiles o reutilizadas;</w:t>
      </w:r>
    </w:p>
    <w:p>
      <w:pPr>
        <w:pStyle w:val="Compact"/>
        <w:numPr>
          <w:ilvl w:val="0"/>
          <w:numId w:val="1088"/>
        </w:numPr>
      </w:pPr>
      <w:r>
        <w:t xml:space="preserve">pérdida de laptops o USB;</w:t>
      </w:r>
    </w:p>
    <w:p>
      <w:pPr>
        <w:pStyle w:val="Compact"/>
        <w:numPr>
          <w:ilvl w:val="0"/>
          <w:numId w:val="1088"/>
        </w:numPr>
      </w:pPr>
      <w:r>
        <w:t xml:space="preserve">apertura de enlaces o adjuntos sospechosos;</w:t>
      </w:r>
    </w:p>
    <w:p>
      <w:pPr>
        <w:pStyle w:val="Compact"/>
        <w:numPr>
          <w:ilvl w:val="0"/>
          <w:numId w:val="1088"/>
        </w:numPr>
      </w:pPr>
      <w:r>
        <w:t xml:space="preserve">uso de canales inseguros para documentos sensibles;</w:t>
      </w:r>
    </w:p>
    <w:p>
      <w:pPr>
        <w:pStyle w:val="Compact"/>
        <w:numPr>
          <w:ilvl w:val="0"/>
          <w:numId w:val="1088"/>
        </w:numPr>
      </w:pPr>
      <w:r>
        <w:t xml:space="preserve">accesos no controlados a carpetas compartidas o repositorios;</w:t>
      </w:r>
    </w:p>
    <w:p>
      <w:pPr>
        <w:pStyle w:val="Compact"/>
        <w:numPr>
          <w:ilvl w:val="0"/>
          <w:numId w:val="1088"/>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391"/>
    <w:bookmarkStart w:id="392" w:name="contraseñas-y-autenticación"/>
    <w:p>
      <w:pPr>
        <w:pStyle w:val="Ttulo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089"/>
        </w:numPr>
      </w:pPr>
      <w:r>
        <w:t xml:space="preserve">usar contraseñas robustas y distintas;</w:t>
      </w:r>
    </w:p>
    <w:p>
      <w:pPr>
        <w:pStyle w:val="Compact"/>
        <w:numPr>
          <w:ilvl w:val="0"/>
          <w:numId w:val="1089"/>
        </w:numPr>
      </w:pPr>
      <w:r>
        <w:t xml:space="preserve">no reutilizar la misma clave para todo;</w:t>
      </w:r>
    </w:p>
    <w:p>
      <w:pPr>
        <w:pStyle w:val="Compact"/>
        <w:numPr>
          <w:ilvl w:val="0"/>
          <w:numId w:val="1089"/>
        </w:numPr>
      </w:pPr>
      <w:r>
        <w:t xml:space="preserve">activar autenticación de dos factores cuando sea posible;</w:t>
      </w:r>
    </w:p>
    <w:p>
      <w:pPr>
        <w:pStyle w:val="Compact"/>
        <w:numPr>
          <w:ilvl w:val="0"/>
          <w:numId w:val="1089"/>
        </w:numPr>
      </w:pPr>
      <w:r>
        <w:t xml:space="preserve">no compartir credenciales por mensajería informal;</w:t>
      </w:r>
    </w:p>
    <w:p>
      <w:pPr>
        <w:pStyle w:val="Compact"/>
        <w:numPr>
          <w:ilvl w:val="0"/>
          <w:numId w:val="1089"/>
        </w:numPr>
      </w:pPr>
      <w:r>
        <w:t xml:space="preserve">usar un gestor de contraseñas si el contexto lo permite.</w:t>
      </w:r>
    </w:p>
    <w:p>
      <w:pPr>
        <w:pStyle w:val="FirstParagraph"/>
      </w:pPr>
      <w:r>
        <w:t xml:space="preserve">Parece básico, y justamente por eso suele descuidarse.</w:t>
      </w:r>
    </w:p>
    <w:bookmarkEnd w:id="392"/>
    <w:bookmarkStart w:id="395" w:name="phishing-y-errores-de-confianza"/>
    <w:p>
      <w:pPr>
        <w:pStyle w:val="Ttulo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Textoindependiente"/>
      </w:pPr>
      <w:r>
        <w:t xml:space="preserve">Señales que conviene revisar:</w:t>
      </w:r>
    </w:p>
    <w:p>
      <w:pPr>
        <w:pStyle w:val="Compact"/>
        <w:numPr>
          <w:ilvl w:val="0"/>
          <w:numId w:val="1090"/>
        </w:numPr>
      </w:pPr>
      <w:r>
        <w:t xml:space="preserve">remitentes sospechosos;</w:t>
      </w:r>
    </w:p>
    <w:p>
      <w:pPr>
        <w:pStyle w:val="Compact"/>
        <w:numPr>
          <w:ilvl w:val="0"/>
          <w:numId w:val="1090"/>
        </w:numPr>
      </w:pPr>
      <w:r>
        <w:t xml:space="preserve">enlaces extraños;</w:t>
      </w:r>
    </w:p>
    <w:p>
      <w:pPr>
        <w:pStyle w:val="Compact"/>
        <w:numPr>
          <w:ilvl w:val="0"/>
          <w:numId w:val="1090"/>
        </w:numPr>
      </w:pPr>
      <w:r>
        <w:t xml:space="preserve">presión artificial por actuar de inmediato;</w:t>
      </w:r>
    </w:p>
    <w:p>
      <w:pPr>
        <w:pStyle w:val="Compact"/>
        <w:numPr>
          <w:ilvl w:val="0"/>
          <w:numId w:val="1090"/>
        </w:numPr>
      </w:pPr>
      <w:r>
        <w:t xml:space="preserve">solicitudes de credenciales;</w:t>
      </w:r>
    </w:p>
    <w:p>
      <w:pPr>
        <w:pStyle w:val="Compact"/>
        <w:numPr>
          <w:ilvl w:val="0"/>
          <w:numId w:val="1090"/>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Applications/quarto/share/formats/docx/warning.png" id="39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Pensar que seguridad equivale a software sofisticado. En muchos casos, el problema real es una rutina descuidada.</w:t>
            </w:r>
          </w:p>
          <w:p/>
        </w:tc>
      </w:tr>
    </w:tbl>
    <w:bookmarkEnd w:id="395"/>
    <w:bookmarkStart w:id="396" w:name="repositorios-y-exposición-de-información"/>
    <w:p>
      <w:pPr>
        <w:pStyle w:val="Ttulo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091"/>
        </w:numPr>
      </w:pPr>
      <w:r>
        <w:t xml:space="preserve">¿el repositorio es público o privado?;</w:t>
      </w:r>
    </w:p>
    <w:p>
      <w:pPr>
        <w:pStyle w:val="Compact"/>
        <w:numPr>
          <w:ilvl w:val="0"/>
          <w:numId w:val="1091"/>
        </w:numPr>
      </w:pPr>
      <w:r>
        <w:t xml:space="preserve">¿contiene información que no debería exponerse?;</w:t>
      </w:r>
    </w:p>
    <w:p>
      <w:pPr>
        <w:pStyle w:val="Compact"/>
        <w:numPr>
          <w:ilvl w:val="0"/>
          <w:numId w:val="1091"/>
        </w:numPr>
      </w:pPr>
      <w:r>
        <w:t xml:space="preserve">¿se subieron credenciales por error?;</w:t>
      </w:r>
    </w:p>
    <w:p>
      <w:pPr>
        <w:pStyle w:val="Compact"/>
        <w:numPr>
          <w:ilvl w:val="0"/>
          <w:numId w:val="1091"/>
        </w:numPr>
      </w:pPr>
      <w:r>
        <w:t xml:space="preserve">¿hay archivos sensibles que no deberían estar versionados?;</w:t>
      </w:r>
    </w:p>
    <w:p>
      <w:pPr>
        <w:pStyle w:val="Compact"/>
        <w:numPr>
          <w:ilvl w:val="0"/>
          <w:numId w:val="1091"/>
        </w:numPr>
      </w:pPr>
      <w:r>
        <w:t xml:space="preserve">¿la estructura del proyecto distingue bien qué se comparte y qué no?</w:t>
      </w:r>
    </w:p>
    <w:p>
      <w:pPr>
        <w:pStyle w:val="FirstParagraph"/>
      </w:pPr>
      <w:r>
        <w:t xml:space="preserve">No todo lo que puede subirse a un repositorio debería subirse.</w:t>
      </w:r>
    </w:p>
    <w:bookmarkEnd w:id="396"/>
    <w:bookmarkStart w:id="399" w:name="cómo-pensar-medidas-de-mitigación"/>
    <w:p>
      <w:pPr>
        <w:pStyle w:val="Ttulo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092"/>
        </w:numPr>
      </w:pPr>
      <w:r>
        <w:t xml:space="preserve">separar información sensible de materiales públicos;</w:t>
      </w:r>
    </w:p>
    <w:p>
      <w:pPr>
        <w:pStyle w:val="Compact"/>
        <w:numPr>
          <w:ilvl w:val="0"/>
          <w:numId w:val="1092"/>
        </w:numPr>
      </w:pPr>
      <w:r>
        <w:t xml:space="preserve">usar doble factor;</w:t>
      </w:r>
    </w:p>
    <w:p>
      <w:pPr>
        <w:pStyle w:val="Compact"/>
        <w:numPr>
          <w:ilvl w:val="0"/>
          <w:numId w:val="1092"/>
        </w:numPr>
      </w:pPr>
      <w:r>
        <w:t xml:space="preserve">revisar permisos de acceso;</w:t>
      </w:r>
    </w:p>
    <w:p>
      <w:pPr>
        <w:pStyle w:val="Compact"/>
        <w:numPr>
          <w:ilvl w:val="0"/>
          <w:numId w:val="1092"/>
        </w:numPr>
      </w:pPr>
      <w:r>
        <w:t xml:space="preserve">evitar compartir documentos críticos por canales inseguros;</w:t>
      </w:r>
    </w:p>
    <w:p>
      <w:pPr>
        <w:pStyle w:val="Compact"/>
        <w:numPr>
          <w:ilvl w:val="0"/>
          <w:numId w:val="1092"/>
        </w:numPr>
      </w:pPr>
      <w:r>
        <w:t xml:space="preserve">nombrar archivos y versiones de manera ordenada;</w:t>
      </w:r>
    </w:p>
    <w:p>
      <w:pPr>
        <w:pStyle w:val="Compact"/>
        <w:numPr>
          <w:ilvl w:val="0"/>
          <w:numId w:val="1092"/>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97" name="Picture"/>
                  <a:graphic>
                    <a:graphicData uri="http://schemas.openxmlformats.org/drawingml/2006/picture">
                      <pic:pic>
                        <pic:nvPicPr>
                          <pic:cNvPr descr="/Applications/quarto/share/formats/docx/tip.png" id="3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La mejor política de seguridad escrita sirve poco si el equipo no puede convertirla en hábito.</w:t>
            </w:r>
          </w:p>
          <w:p/>
        </w:tc>
      </w:tr>
    </w:tbl>
    <w:bookmarkEnd w:id="399"/>
    <w:bookmarkStart w:id="400" w:name="práctica-en-editor-4"/>
    <w:p>
      <w:pPr>
        <w:pStyle w:val="Ttulo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093"/>
        </w:numPr>
      </w:pPr>
      <w:r>
        <w:t xml:space="preserve">estudio pequeño;</w:t>
      </w:r>
    </w:p>
    <w:p>
      <w:pPr>
        <w:pStyle w:val="Compact"/>
        <w:numPr>
          <w:ilvl w:val="0"/>
          <w:numId w:val="1093"/>
        </w:numPr>
      </w:pPr>
      <w:r>
        <w:t xml:space="preserve">oficina pública;</w:t>
      </w:r>
    </w:p>
    <w:p>
      <w:pPr>
        <w:pStyle w:val="Compact"/>
        <w:numPr>
          <w:ilvl w:val="0"/>
          <w:numId w:val="1093"/>
        </w:numPr>
      </w:pPr>
      <w:r>
        <w:t xml:space="preserve">equipo de práctica académica;</w:t>
      </w:r>
    </w:p>
    <w:p>
      <w:pPr>
        <w:pStyle w:val="Compact"/>
        <w:numPr>
          <w:ilvl w:val="0"/>
          <w:numId w:val="1093"/>
        </w:numPr>
      </w:pPr>
      <w:r>
        <w:t xml:space="preserve">proyecto con documentos sensibles.</w:t>
      </w:r>
    </w:p>
    <w:p>
      <w:pPr>
        <w:pStyle w:val="FirstParagraph"/>
      </w:pPr>
      <w:r>
        <w:t xml:space="preserve">La checklist debe distinguir al menos:</w:t>
      </w:r>
    </w:p>
    <w:p>
      <w:pPr>
        <w:pStyle w:val="Compact"/>
        <w:numPr>
          <w:ilvl w:val="0"/>
          <w:numId w:val="1094"/>
        </w:numPr>
      </w:pPr>
      <w:r>
        <w:t xml:space="preserve">riesgo;</w:t>
      </w:r>
    </w:p>
    <w:p>
      <w:pPr>
        <w:pStyle w:val="Compact"/>
        <w:numPr>
          <w:ilvl w:val="0"/>
          <w:numId w:val="1094"/>
        </w:numPr>
      </w:pPr>
      <w:r>
        <w:t xml:space="preserve">impacto posible;</w:t>
      </w:r>
    </w:p>
    <w:p>
      <w:pPr>
        <w:pStyle w:val="Compact"/>
        <w:numPr>
          <w:ilvl w:val="0"/>
          <w:numId w:val="1094"/>
        </w:numPr>
      </w:pPr>
      <w:r>
        <w:t xml:space="preserve">medida básica de mitigación.</w:t>
      </w:r>
    </w:p>
    <w:bookmarkEnd w:id="400"/>
    <w:bookmarkStart w:id="405" w:name="conclusiones-del-capítulo-7"/>
    <w:p>
      <w:pPr>
        <w:pStyle w:val="Ttulo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tip.png" id="40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5"/>
              </w:numPr>
            </w:pPr>
            <w:r>
              <w:t xml:space="preserve">seguridad es también cultura de trabajo;</w:t>
            </w:r>
          </w:p>
          <w:p>
            <w:pPr>
              <w:pStyle w:val="Compact"/>
              <w:numPr>
                <w:ilvl w:val="0"/>
                <w:numId w:val="1095"/>
              </w:numPr>
            </w:pPr>
            <w:r>
              <w:t xml:space="preserve">la tríada de confidencialidad, integridad y disponibilidad ayuda a leer riesgos con más precisión;</w:t>
            </w:r>
          </w:p>
          <w:p>
            <w:pPr>
              <w:pStyle w:val="Compact"/>
              <w:numPr>
                <w:ilvl w:val="0"/>
                <w:numId w:val="1095"/>
              </w:numPr>
            </w:pPr>
            <w:r>
              <w:t xml:space="preserve">muchos incidentes nacen en hábitos descuidados, no en ataques extraordinarios;</w:t>
            </w:r>
          </w:p>
          <w:p>
            <w:pPr>
              <w:pStyle w:val="Compact"/>
              <w:numPr>
                <w:ilvl w:val="0"/>
                <w:numId w:val="1095"/>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caution.png" id="404"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bookmarkEnd w:id="405"/>
    <w:bookmarkEnd w:id="406"/>
    <w:bookmarkStart w:id="419" w:name="Xa9a22dd01a7c4416711ba1dc488d3ad5ae1cc3d"/>
    <w:p>
      <w:pPr>
        <w:pStyle w:val="Ttulo1"/>
      </w:pPr>
      <w:r>
        <w:t xml:space="preserve">IV. Inteligencia Artificial aplicada al Derecho</w:t>
      </w:r>
    </w:p>
    <w:bookmarkStart w:id="409" w:name="por-qué-importa-este-módulo-3"/>
    <w:p>
      <w:pPr>
        <w:pStyle w:val="Ttulo2"/>
      </w:pPr>
      <w:r>
        <w:t xml:space="preserve">¿Por qué importa este módulo?</w:t>
      </w:r>
    </w:p>
    <w:p>
      <w:pPr>
        <w:pStyle w:val="FirstParagraph"/>
      </w:pPr>
      <w:r>
        <w:t xml:space="preserve">La inteligencia artificial ya interviene en búsqueda, clasificación, redacción, análisis y toma de decisiones preliminares en muchos entornos jurídicos. Por eso, un jurista necesita evaluar sus capacidades, límites, riesgos y condiciones de uso responsable.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Applications/quarto/share/formats/docx/important.png" id="40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La IA debe evaluarse como herramienta, no como autoridad. Puede asistir, acelerar o ampliar ciertas tareas, pero nunca elimina la necesidad de juicio jurídico, verificación y responsabilidad.</w:t>
            </w:r>
          </w:p>
          <w:p/>
        </w:tc>
      </w:tr>
    </w:tbl>
    <w:bookmarkEnd w:id="409"/>
    <w:bookmarkStart w:id="410" w:name="qué-aprenderás-3"/>
    <w:p>
      <w:pPr>
        <w:pStyle w:val="Ttulo2"/>
      </w:pPr>
      <w:r>
        <w:t xml:space="preserve">Qué aprenderás</w:t>
      </w:r>
    </w:p>
    <w:p>
      <w:pPr>
        <w:pStyle w:val="FirstParagraph"/>
      </w:pPr>
      <w:r>
        <w:t xml:space="preserve">En este módulo estudiarás:</w:t>
      </w:r>
    </w:p>
    <w:p>
      <w:pPr>
        <w:pStyle w:val="Compact"/>
        <w:numPr>
          <w:ilvl w:val="0"/>
          <w:numId w:val="1096"/>
        </w:numPr>
      </w:pPr>
      <w:r>
        <w:t xml:space="preserve">fundamentos introductorios de IA y modelos generativos;</w:t>
      </w:r>
    </w:p>
    <w:p>
      <w:pPr>
        <w:pStyle w:val="Compact"/>
        <w:numPr>
          <w:ilvl w:val="0"/>
          <w:numId w:val="1096"/>
        </w:numPr>
      </w:pPr>
      <w:r>
        <w:t xml:space="preserve">límites, sesgos, alucinaciones y validación humana;</w:t>
      </w:r>
    </w:p>
    <w:p>
      <w:pPr>
        <w:pStyle w:val="Compact"/>
        <w:numPr>
          <w:ilvl w:val="0"/>
          <w:numId w:val="1096"/>
        </w:numPr>
      </w:pPr>
      <w:r>
        <w:t xml:space="preserve">criterios de evaluación y gobernanza;</w:t>
      </w:r>
    </w:p>
    <w:p>
      <w:pPr>
        <w:pStyle w:val="Compact"/>
        <w:numPr>
          <w:ilvl w:val="0"/>
          <w:numId w:val="1096"/>
        </w:numPr>
      </w:pPr>
      <w:r>
        <w:t xml:space="preserve">diseño de proyectos legaltech con IA.</w:t>
      </w:r>
    </w:p>
    <w:bookmarkEnd w:id="410"/>
    <w:bookmarkStart w:id="413" w:name="cómo-se-trabaja-en-este-módulo-3"/>
    <w:p>
      <w:pPr>
        <w:pStyle w:val="Ttulo2"/>
      </w:pPr>
      <w:r>
        <w:t xml:space="preserve">Cómo se trabaja en este módulo</w:t>
      </w:r>
    </w:p>
    <w:p>
      <w:pPr>
        <w:pStyle w:val="FirstParagraph"/>
      </w:pPr>
      <w:r>
        <w:t xml:space="preserve">El trabajo del módulo combina lectura crítica, pruebas controladas, registro de prompts o scripts introductorios, documentación de hallazgos y PSETs orientados a evaluar herramientas o flujos de IA.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Applications/quarto/share/formats/docx/tip.png" id="4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práctica del módulo</w:t>
            </w:r>
          </w:p>
        </w:tc>
      </w:tr>
      <w:tr>
        <w:trPr>
          <w:cantSplit/>
        </w:trPr>
        <w:tc>
          <w:tcPr>
            <w:tcMar>
              <w:top w:w="108" w:type="dxa"/>
              <w:bottom w:w="108" w:type="dxa"/>
            </w:tcMar>
          </w:tcPr>
          <w:p>
            <w:pPr>
              <w:pStyle w:val="Textoindependiente"/>
            </w:pPr>
            <w:pPr>
              <w:spacing w:before="16" w:after="16"/>
            </w:pPr>
            <w:r>
              <w:t xml:space="preserve">No basta con obtener una respuesta convincente. Hay que poder explicar cómo se probó, qué se verificó y por qué sería razonable confiar o no confiar en ese resultado.</w:t>
            </w:r>
          </w:p>
          <w:p/>
        </w:tc>
      </w:tr>
    </w:tbl>
    <w:bookmarkEnd w:id="413"/>
    <w:bookmarkStart w:id="414" w:name="tabla-de-contenidos-del-módulo-3"/>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9</w:t>
            </w:r>
          </w:p>
        </w:tc>
        <w:tc>
          <w:tcPr/>
          <w:p>
            <w:pPr>
              <w:pStyle w:val="Compact"/>
            </w:pPr>
            <w:r>
              <w:t xml:space="preserve">Fundamentos de IA</w:t>
            </w:r>
          </w:p>
        </w:tc>
        <w:tc>
          <w:tcPr/>
          <w:p>
            <w:pPr>
              <w:pStyle w:val="Compact"/>
            </w:pPr>
            <w:r>
              <w:t xml:space="preserve">prompts, bitácoras, editor</w:t>
            </w:r>
          </w:p>
        </w:tc>
        <w:tc>
          <w:tcPr/>
          <w:p>
            <w:pPr>
              <w:pStyle w:val="Compact"/>
            </w:pPr>
            <w:r>
              <w:t xml:space="preserve">comparar respuestas y detectar límites</w:t>
            </w:r>
          </w:p>
        </w:tc>
        <w:tc>
          <w:tcPr/>
          <w:p>
            <w:pPr>
              <w:pStyle w:val="Compact"/>
            </w:pPr>
            <w:r>
              <w:t xml:space="preserve">análisis crítico de salidas</w:t>
            </w:r>
          </w:p>
        </w:tc>
      </w:tr>
      <w:tr>
        <w:tc>
          <w:tcPr/>
          <w:p>
            <w:pPr>
              <w:pStyle w:val="Compact"/>
            </w:pPr>
            <w:r>
              <w:t xml:space="preserve">10</w:t>
            </w:r>
          </w:p>
        </w:tc>
        <w:tc>
          <w:tcPr/>
          <w:p>
            <w:pPr>
              <w:pStyle w:val="Compact"/>
            </w:pPr>
            <w:r>
              <w:t xml:space="preserve">Evaluar y gobernar IA</w:t>
            </w:r>
          </w:p>
        </w:tc>
        <w:tc>
          <w:tcPr/>
          <w:p>
            <w:pPr>
              <w:pStyle w:val="Compact"/>
            </w:pPr>
            <w:r>
              <w:t xml:space="preserve">matrices, prompts, Python opcional</w:t>
            </w:r>
          </w:p>
        </w:tc>
        <w:tc>
          <w:tcPr/>
          <w:p>
            <w:pPr>
              <w:pStyle w:val="Compact"/>
            </w:pPr>
            <w:r>
              <w:t xml:space="preserve">construir bitácora de evaluación</w:t>
            </w:r>
          </w:p>
        </w:tc>
        <w:tc>
          <w:tcPr/>
          <w:p>
            <w:pPr>
              <w:pStyle w:val="Compact"/>
            </w:pPr>
            <w:r>
              <w:t xml:space="preserve">evaluación básica de una herramienta</w:t>
            </w:r>
          </w:p>
        </w:tc>
      </w:tr>
      <w:tr>
        <w:tc>
          <w:tcPr/>
          <w:p>
            <w:pPr>
              <w:pStyle w:val="Compact"/>
            </w:pPr>
            <w:r>
              <w:t xml:space="preserve">11</w:t>
            </w:r>
          </w:p>
        </w:tc>
        <w:tc>
          <w:tcPr/>
          <w:p>
            <w:pPr>
              <w:pStyle w:val="Compact"/>
            </w:pPr>
            <w:r>
              <w:t xml:space="preserve">Proyectos legaltech</w:t>
            </w:r>
          </w:p>
        </w:tc>
        <w:tc>
          <w:tcPr/>
          <w:p>
            <w:pPr>
              <w:pStyle w:val="Compact"/>
            </w:pPr>
            <w:r>
              <w:t xml:space="preserve">repositorio, documentación, presentación</w:t>
            </w:r>
          </w:p>
        </w:tc>
        <w:tc>
          <w:tcPr/>
          <w:p>
            <w:pPr>
              <w:pStyle w:val="Compact"/>
            </w:pPr>
            <w:r>
              <w:t xml:space="preserve">bosquejar propuesta final</w:t>
            </w:r>
          </w:p>
        </w:tc>
        <w:tc>
          <w:tcPr/>
          <w:p>
            <w:pPr>
              <w:pStyle w:val="Compact"/>
            </w:pPr>
            <w:r>
              <w:t xml:space="preserve">avance verificable del proyecto</w:t>
            </w:r>
          </w:p>
        </w:tc>
      </w:tr>
    </w:tbl>
    <w:bookmarkEnd w:id="414"/>
    <w:bookmarkStart w:id="415" w:name="qué-debes-poder-hacer-al-terminar-3"/>
    <w:p>
      <w:pPr>
        <w:pStyle w:val="Ttulo2"/>
      </w:pPr>
      <w:r>
        <w:t xml:space="preserve">Qué debes poder hacer al terminar</w:t>
      </w:r>
    </w:p>
    <w:p>
      <w:pPr>
        <w:pStyle w:val="FirstParagraph"/>
      </w:pPr>
      <w:r>
        <w:t xml:space="preserve">Al finalizar este módulo, deberías poder:</w:t>
      </w:r>
    </w:p>
    <w:p>
      <w:pPr>
        <w:pStyle w:val="Compact"/>
        <w:numPr>
          <w:ilvl w:val="0"/>
          <w:numId w:val="1097"/>
        </w:numPr>
      </w:pPr>
      <w:r>
        <w:t xml:space="preserve">distinguir entre automatización, IA, machine learning y LLMs;</w:t>
      </w:r>
    </w:p>
    <w:p>
      <w:pPr>
        <w:pStyle w:val="Compact"/>
        <w:numPr>
          <w:ilvl w:val="0"/>
          <w:numId w:val="1097"/>
        </w:numPr>
      </w:pPr>
      <w:r>
        <w:t xml:space="preserve">detectar límites, alucinaciones y riesgos relevantes;</w:t>
      </w:r>
    </w:p>
    <w:p>
      <w:pPr>
        <w:pStyle w:val="Compact"/>
        <w:numPr>
          <w:ilvl w:val="0"/>
          <w:numId w:val="1097"/>
        </w:numPr>
      </w:pPr>
      <w:r>
        <w:t xml:space="preserve">aplicar criterios básicos de evaluación y control;</w:t>
      </w:r>
    </w:p>
    <w:p>
      <w:pPr>
        <w:pStyle w:val="Compact"/>
        <w:numPr>
          <w:ilvl w:val="0"/>
          <w:numId w:val="1097"/>
        </w:numPr>
      </w:pPr>
      <w:r>
        <w:t xml:space="preserve">proponer una solución legaltech razonable y bien sustentada.</w:t>
      </w:r>
    </w:p>
    <w:bookmarkEnd w:id="415"/>
    <w:bookmarkStart w:id="418" w:name="cómo-se-conecta-con-el-resto-del-curso-3"/>
    <w:p>
      <w:pPr>
        <w:pStyle w:val="Ttulo2"/>
      </w:pPr>
      <w:r>
        <w:t xml:space="preserve">Cómo se conecta con el resto del curso</w:t>
      </w:r>
    </w:p>
    <w:p>
      <w:pPr>
        <w:pStyle w:val="FirstParagraph"/>
      </w:pPr>
      <w:r>
        <w:t xml:space="preserve">Este módulo cierra el recorrido del manual. Toma la lógica, los datos, la infraestructura web y la disciplina de trabajo en repositorios para pensar soluciones más sofisticadas sin perder rigor.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Applications/quarto/share/formats/docx/warning.png" id="41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La IA puede acelerar errores, sesgos o malas prácticas con la misma facilidad con la que acelera tareas útiles. Por eso, aquí importa tanto aprender a frenar como aprender a usar.</w:t>
            </w:r>
          </w:p>
          <w:p/>
        </w:tc>
      </w:tr>
    </w:tbl>
    <w:bookmarkEnd w:id="418"/>
    <w:bookmarkEnd w:id="419"/>
    <w:bookmarkStart w:id="440" w:name="fundamentos-de-inteligencia-artificial"/>
    <w:p>
      <w:pPr>
        <w:pStyle w:val="Ttulo1"/>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Applications/quarto/share/formats/docx/note.png" id="42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ofrece un mapa más preciso para hablar de inteligencia artificial sin mezclar automatización, aprendizaje automático, IA generativa y modelos de lenguaje. El objetivo es entender qué hace realmente un LLM, por qué una respuesta plausible puede seguir siendo errónea, qué riesgos se vuelven especialmente delicados en Derecho y cómo probar estas herramientas sin caer en confianza ingenua</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Start w:id="422" w:name="X65ea50c2f6af8d4c896fcef239c1e2bdf615092"/>
    <w:p>
      <w:pPr>
        <w:pStyle w:val="Ttulo2"/>
      </w:pPr>
      <w:r>
        <w:t xml:space="preserve">La IA llegó antes que el vocabulario para discutirla</w:t>
      </w:r>
    </w:p>
    <w:p>
      <w:pPr>
        <w:pStyle w:val="FirstParagraph"/>
      </w:pPr>
      <w:r>
        <w:t xml:space="preserve">La inteligencia artificial se volvió visible para el gran público cuando empezó a escribir, resumir y conversar con una fluidez que parecía reservada al lenguaje humano. Sin embargo, la dificultad no comenzó con esas herramientas, sino con la pobreza de las categorías con las que solemos hablar de ellas. Muy pronto se volvió habitual llamar “IA” a cualquier proceso digital más o menos sofisticado, como si automatizar, clasificar, predecir y generar texto fueran operaciones equivalentes. Esa simplificación vuelve más torpe el análisis jurídico, porque impide distinguir entre tareas, riesgos y niveles de control que no son iguales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w:t>
      </w:r>
    </w:p>
    <w:p>
      <w:pPr>
        <w:pStyle w:val="Textoindependiente"/>
      </w:pPr>
      <w:r>
        <w:t xml:space="preserve">Por eso conviene empezar por una advertencia de método. En este capítulo no interesa decidir si la IA impresiona o decepciona, sino volverla intelectualmente legible. Para un estudiante de Derecho, entender una tecnología no significa solo aprender qué promete, sino también en qué tipo de operación descansa, qué errores produce, qué derechos puede comprometer y qué clase de supervisión exige</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bookmarkEnd w:id="422"/>
    <w:bookmarkStart w:id="423" w:name="Xb165517129c46fb02fe9c6f0855bf0814edca09"/>
    <w:p>
      <w:pPr>
        <w:pStyle w:val="Ttulo2"/>
      </w:pPr>
      <w:r>
        <w:t xml:space="preserve">Separar conceptos evita entusiasmos confusos</w:t>
      </w:r>
    </w:p>
    <w:p>
      <w:pPr>
        <w:pStyle w:val="FirstParagraph"/>
      </w:pPr>
      <w:r>
        <w:t xml:space="preserve">La primera distinción importante es entre automatización e inteligencia artificial. Si un sistema aplica reglas explícitas del tipo “si falta firma, observar” o “si el plazo venció, alertar”, estamos ante una automatización basada en reglas. Esa clase de herramienta puede ser extraordinariamente útil y, de hecho, gran parte del valor práctico del legaltech sigue estando allí: en ordenar secuencias, reducir fricción, recuperar información y ejecutar criterios previamente definidos. No toda solución útil necesita aprender por sí misma ni producir lenguaje natural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El aprendizaje automático aparece cuando un sistema ya no depende solo de reglas escritas una por una, sino que identifica patrones a partir de datos. Sobre esa base, algunos sistemas clasifican, recomiendan, priorizan o predicen. La IA generativa da un paso adicional: produce contenido nuevo, como texto, imagen, audio o código, a partir de patrones aprendidos en grandes corpus. Los modelos de lenguaje de gran escala, o LLM, pertenecen a esta última familia y son especialmente relevantes para el trabajo jurídico porque operan justamente sobre el material con el que el Derecho piensa y decide: lenguaje, documentos, narrativas, citas y argumentos</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bookmarkEnd w:id="423"/>
    <w:bookmarkStart w:id="426" w:name="X093c37240ee3c5fbbc306266900e1105df9ed28"/>
    <w:p>
      <w:pPr>
        <w:pStyle w:val="Ttulo2"/>
      </w:pPr>
      <w:r>
        <w:t xml:space="preserve">¿Qué hace un modelo de lenguaje y qué no hace?</w:t>
      </w:r>
    </w:p>
    <w:p>
      <w:pPr>
        <w:pStyle w:val="FirstParagraph"/>
      </w:pPr>
      <w:r>
        <w:t xml:space="preserve">El perfil del NIST para IA generativa resulta útil porque ofrece una definición suficientemente sobria. Allí se presenta la IA generativa como una clase de modelos capaces de emular la estructura y las características de datos de entrada para producir contenido sintético derivado, y se explica que, en el caso de los LLM, buena parte del funcionamiento depende de predicción estadística sobre secuencias de texto</w:t>
      </w:r>
      <w:r>
        <w:t xml:space="preserve"> </w:t>
      </w:r>
      <w:r>
        <w:t xml:space="preserve">(</w:t>
      </w:r>
      <w:hyperlink w:anchor="ref-nistgaiprofile2024">
        <w:r>
          <w:rPr>
            <w:rStyle w:val="Hipervnculo"/>
          </w:rPr>
          <w:t xml:space="preserve">Autio et al. 2024</w:t>
        </w:r>
      </w:hyperlink>
      <w:r>
        <w:t xml:space="preserve">)</w:t>
      </w:r>
      <w:r>
        <w:t xml:space="preserve">. Esta observación importa mucho más de lo que parece. Significa que el modelo no “piensa” una norma como la piensa un jurista, ni “comprende” una controversia en sentido institucional fuerte. Lo que hace es generar una continuación lingüística plausible bajo ciertas regularidades aprendidas.</w:t>
      </w:r>
    </w:p>
    <w:p>
      <w:pPr>
        <w:pStyle w:val="Textoindependiente"/>
      </w:pPr>
      <w:r>
        <w:t xml:space="preserve">Ese mecanismo basta para producir efectos impresionantes. Un LLM puede resumir, reformular, clasificar, sugerir estructuras, traducir registros de lenguaje y construir borradores iniciales con gran rapidez. En el trabajo jurídico, eso explica por qué estas herramientas resultan atractivas para revisar documentos extensos, organizar consultas o producir primeras versiones de escritos. Pero la misma base estadística explica también su límite. Una respuesta puede estar bien escrita y mal fundada. Puede sonar jurídica sin haber controlado realmente la fuente, el contexto ni el alcance normativo del problema</w:t>
      </w:r>
      <w:r>
        <w:t xml:space="preserve"> </w:t>
      </w:r>
      <w:r>
        <w:t xml:space="preserve">(</w:t>
      </w:r>
      <w:hyperlink w:anchor="ref-nistgaiprofile2024">
        <w:r>
          <w:rPr>
            <w:rStyle w:val="Hipervnculo"/>
          </w:rPr>
          <w:t xml:space="preserve">Autio et al. 2024</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Applications/quarto/share/formats/docx/important.png" id="42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Derecho, una respuesta convincente no basta. Cada uso de IA generativa debería plantearse con una pregunta previa: ¿esta tarea admite una salida probable que luego revisaré, o exige desde el inicio exactitud, fuente verificable y control fino de contexto? La diferencia entre ambos escenarios cambia por completo la prudencia con la que conviene usar la herramienta</w:t>
            </w:r>
            <w:r>
              <w:t xml:space="preserve"> </w:t>
            </w:r>
            <w:r>
              <w:t xml:space="preserve">(</w:t>
            </w:r>
            <w:hyperlink w:anchor="ref-oecdaiprinciples2026">
              <w:r>
                <w:rPr>
                  <w:rStyle w:val="Hipervnculo"/>
                </w:rPr>
                <w:t xml:space="preserve">OECD 2026</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End w:id="426"/>
    <w:bookmarkStart w:id="427" w:name="X762727f3a574942deaf3a73dd336aba92121cfb"/>
    <w:p>
      <w:pPr>
        <w:pStyle w:val="Ttulo2"/>
      </w:pPr>
      <w:r>
        <w:t xml:space="preserve">Por qué el problema de las alucinaciones está mal nombrado y bien orientado</w:t>
      </w:r>
    </w:p>
    <w:p>
      <w:pPr>
        <w:pStyle w:val="FirstParagraph"/>
      </w:pPr>
      <w:r>
        <w:t xml:space="preserve">En la conversación cotidiana se habla de “alucinaciones”, pero el NIST propone un término más útil:</w:t>
      </w:r>
      <w:r>
        <w:t xml:space="preserve"> </w:t>
      </w:r>
      <w:r>
        <w:rPr>
          <w:rStyle w:val="VerbatimChar"/>
        </w:rPr>
        <w:t xml:space="preserve">confabulation</w:t>
      </w:r>
      <w:r>
        <w:t xml:space="preserve">. Se trata de la producción de contenido falso o erróneo expresado con confianza, incluyendo respuestas que contradicen el propio prompt, el contexto previo o hechos verificables</w:t>
      </w:r>
      <w:r>
        <w:t xml:space="preserve"> </w:t>
      </w:r>
      <w:r>
        <w:t xml:space="preserve">(</w:t>
      </w:r>
      <w:hyperlink w:anchor="ref-nistgaiprofile2024">
        <w:r>
          <w:rPr>
            <w:rStyle w:val="Hipervnculo"/>
          </w:rPr>
          <w:t xml:space="preserve">Autio et al. 2024</w:t>
        </w:r>
      </w:hyperlink>
      <w:r>
        <w:t xml:space="preserve">)</w:t>
      </w:r>
      <w:r>
        <w:t xml:space="preserve">. La ventaja de este lenguaje es doble. Primero, evita atribuir al sistema un estado mental humano. Segundo, subraya que no estamos ante un accidente extravagante, sino ante un riesgo estructural de modelos que generan texto aproximando distribuciones estadísticas de entrenamiento</w:t>
      </w:r>
      <w:r>
        <w:t xml:space="preserve"> </w:t>
      </w:r>
      <w:r>
        <w:t xml:space="preserve">(</w:t>
      </w:r>
      <w:hyperlink w:anchor="ref-nistgaiprofile2024">
        <w:r>
          <w:rPr>
            <w:rStyle w:val="Hipervnculo"/>
          </w:rPr>
          <w:t xml:space="preserve">Autio et al. 2024</w:t>
        </w:r>
      </w:hyperlink>
      <w:r>
        <w:t xml:space="preserve">)</w:t>
      </w:r>
      <w:r>
        <w:t xml:space="preserve">.</w:t>
      </w:r>
    </w:p>
    <w:p>
      <w:pPr>
        <w:pStyle w:val="Textoindependiente"/>
      </w:pPr>
      <w:r>
        <w:t xml:space="preserve">Esto adquiere una gravedad particular en Derecho. Una confabulación no siempre aparece como disparate visible. A veces se manifiesta como una cita plausible pero inexistente, una interpretación demasiado segura, una omisión decisiva o una cadena argumentativa internamente elegante y normativamente falsa. El problema no es solo que el modelo se equivoque, sino que lo haga con una seguridad verbal que puede inducir confianza indebida, sobre todo en tareas abiertas y dependientes de fuerte experticia contextual</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bookmarkEnd w:id="427"/>
    <w:bookmarkStart w:id="428" w:name="Xa121962da2646d7a8ed829686b24114ff0cb751"/>
    <w:p>
      <w:pPr>
        <w:pStyle w:val="Ttulo2"/>
      </w:pPr>
      <w:r>
        <w:t xml:space="preserve">Sesgos, sobreconfianza e integridad de la información</w:t>
      </w:r>
    </w:p>
    <w:p>
      <w:pPr>
        <w:pStyle w:val="FirstParagraph"/>
      </w:pPr>
      <w:r>
        <w:t xml:space="preserve">El riesgo de la IA generativa no se agota en fabricar datos falsos. El mismo perfil del NIST agrupa otros peligros que ayudan a pensar mejor el problema: sesgos perjudiciales, riesgos de privacidad, degradación de la integridad de la información, seguridad y formas de sobredependencia humana frente al sistema</w:t>
      </w:r>
      <w:r>
        <w:t xml:space="preserve"> </w:t>
      </w:r>
      <w:r>
        <w:t xml:space="preserve">(</w:t>
      </w:r>
      <w:hyperlink w:anchor="ref-nistgaiprofile2024">
        <w:r>
          <w:rPr>
            <w:rStyle w:val="Hipervnculo"/>
          </w:rPr>
          <w:t xml:space="preserve">Autio et al. 2024</w:t>
        </w:r>
      </w:hyperlink>
      <w:r>
        <w:t xml:space="preserve">)</w:t>
      </w:r>
      <w:r>
        <w:t xml:space="preserve">. La OECD refuerza ese panorama al insistir en que una IA confiable debe respetar derechos humanos y valores democráticos, incorporar supervisión humana adecuada al contexto y dejar trazabilidad suficiente para someter sus resultados a control</w:t>
      </w:r>
      <w:r>
        <w:t xml:space="preserve"> </w:t>
      </w:r>
      <w:r>
        <w:t xml:space="preserve">(</w:t>
      </w:r>
      <w:hyperlink w:anchor="ref-oecdaiprinciples2026">
        <w:r>
          <w:rPr>
            <w:rStyle w:val="Hipervnculo"/>
          </w:rPr>
          <w:t xml:space="preserve">OECD 2026</w:t>
        </w:r>
      </w:hyperlink>
      <w:r>
        <w:t xml:space="preserve">)</w:t>
      </w:r>
      <w:r>
        <w:t xml:space="preserve">.</w:t>
      </w:r>
    </w:p>
    <w:p>
      <w:pPr>
        <w:pStyle w:val="Textoindependiente"/>
      </w:pPr>
      <w:r>
        <w:t xml:space="preserve">Aquí aparece un desplazamiento importante para el análisis jurídico. La pregunta no es solo si el sistema acierta mucho, sino qué tipo de daño produce cuando falla, a quién perjudica, qué información oculta sobre su funcionamiento y qué grado de revisión humana sigue siendo posible. Páez, Gutiérrez y Acosta-Navas insisten, desde una perspectiva centrada en las ciencias sociales, en que evaluar IA únicamente por rendimiento técnico deja fuera dimensiones humanas e institucionales decisivas, como desigualdad, reconfiguración de relaciones y efectos sobre burocracias y regímenes políticos</w:t>
      </w:r>
      <w:r>
        <w:t xml:space="preserve"> </w:t>
      </w:r>
      <w:r>
        <w:t xml:space="preserve">(</w:t>
      </w:r>
      <w:hyperlink w:anchor="ref-paez2025humancentered">
        <w:r>
          <w:rPr>
            <w:rStyle w:val="Hipervnculo"/>
          </w:rPr>
          <w:t xml:space="preserve">Páez et al. 2025</w:t>
        </w:r>
      </w:hyperlink>
      <w:r>
        <w:t xml:space="preserve">)</w:t>
      </w:r>
      <w:r>
        <w:t xml:space="preserve">.</w:t>
      </w:r>
    </w:p>
    <w:bookmarkEnd w:id="428"/>
    <w:bookmarkStart w:id="429" w:name="el-derecho-no-usa-lenguaje-en-abstracto"/>
    <w:p>
      <w:pPr>
        <w:pStyle w:val="Ttulo2"/>
      </w:pPr>
      <w:r>
        <w:t xml:space="preserve">El Derecho no usa lenguaje en abstracto</w:t>
      </w:r>
    </w:p>
    <w:p>
      <w:pPr>
        <w:pStyle w:val="FirstParagraph"/>
      </w:pPr>
      <w:r>
        <w:t xml:space="preserve">La razón por la que estos riesgos importan tanto en Derecho es sencilla: el lenguaje jurídico no funciona como un texto cualquiera. No basta con sonar correcto. Hay que distinguir hechos, identificar fuentes, ponderar efectos, respetar garantías y entender que una palabra cambia de sentido según el procedimiento, la materia o el órgano que decide. El problema de la IA generativa no es solo que pueda equivocarse, sino que puede ocultar muy bien el punto exacto en el que empezó a equivocarse</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p>
      <w:pPr>
        <w:pStyle w:val="Textoindependiente"/>
      </w:pPr>
      <w:r>
        <w:t xml:space="preserve">Por eso la discusión sobre IA en justicia y decisión pública no puede reducirse a eficiencia. La figura del “juez robot”, por ejemplo, funciona menos como proyecto inmediato que como experimento intelectual para recordar algo elemental: una decisión jurídicamente sensible incorpora motivación, interpretación, independencia y responsabilidad institucional que no se dejan traducir sin pérdida a una mera salida computable</w:t>
      </w:r>
      <w:r>
        <w:t xml:space="preserve"> </w:t>
      </w:r>
      <w:r>
        <w:t xml:space="preserve">(</w:t>
      </w:r>
      <w:hyperlink w:anchor="ref-pinerospolo2024juezrobot">
        <w:r>
          <w:rPr>
            <w:rStyle w:val="Hipervnculo"/>
          </w:rPr>
          <w:t xml:space="preserve">Pineros Polo 2024</w:t>
        </w:r>
      </w:hyperlink>
      <w:r>
        <w:t xml:space="preserve">)</w:t>
      </w:r>
      <w:r>
        <w:t xml:space="preserve">. Dicho en términos más sobrios, la IA parece mucho más defendible como apoyo operativo o documental que como sustitución integral del juicio jurídico.</w:t>
      </w:r>
    </w:p>
    <w:bookmarkEnd w:id="429"/>
    <w:bookmarkStart w:id="432" w:name="Xe540cb96f46071595c65df290e2f897a60a32ac"/>
    <w:p>
      <w:pPr>
        <w:pStyle w:val="Ttulo2"/>
      </w:pPr>
      <w:r>
        <w:t xml:space="preserve">RAG y el problema de la fuente verificable</w:t>
      </w:r>
    </w:p>
    <w:p>
      <w:pPr>
        <w:pStyle w:val="FirstParagraph"/>
      </w:pPr>
      <w:r>
        <w:t xml:space="preserve">Uno de los desarrollos más interesantes para el mundo jurídico es RAG, esto es, la combinación entre recuperación de información y generación de respuesta. La lógica es simple: antes de responder, el sistema busca documentos relevantes y usa ese material como apoyo para producir una salida</w:t>
      </w:r>
      <w:r>
        <w:t xml:space="preserve"> </w:t>
      </w:r>
      <w:r>
        <w:t xml:space="preserve">(</w:t>
      </w:r>
      <w:hyperlink w:anchor="ref-nistairmf2026">
        <w:r>
          <w:rPr>
            <w:rStyle w:val="Hipervnculo"/>
          </w:rPr>
          <w:t xml:space="preserve">NIST 2026</w:t>
        </w:r>
      </w:hyperlink>
      <w:r>
        <w:t xml:space="preserve">)</w:t>
      </w:r>
      <w:r>
        <w:t xml:space="preserve">. No elimina los riesgos, pero sí permite reducir parte de la deriva puramente inventiva del modelo cuando la base documental está bien curada y la respuesta conserva trazabilidad.</w:t>
      </w:r>
    </w:p>
    <w:p>
      <w:pPr>
        <w:pStyle w:val="Textoindependiente"/>
      </w:pPr>
      <w:r>
        <w:t xml:space="preserve">El ecosistema legaltech peruano ofrece un ejemplo útil para pensar esto. Según el</w:t>
      </w:r>
      <w:r>
        <w:t xml:space="preserve"> </w:t>
      </w:r>
      <w:r>
        <w:rPr>
          <w:i/>
          <w:iCs/>
        </w:rPr>
        <w:t xml:space="preserve">Mapeo LegalTech Perú 2025</w:t>
      </w:r>
      <w:r>
        <w:t xml:space="preserve">, Juztina organiza la consulta jurídica como una conversación apoyada en fuentes oficiales curadas y técnicas de RAG, con la promesa de reducir horas de búsqueda sin renunciar a la trazabilidad de la respuesta</w:t>
      </w:r>
      <w:r>
        <w:t xml:space="preserve"> </w:t>
      </w:r>
      <w:r>
        <w:t xml:space="preserve">(</w:t>
      </w:r>
      <w:hyperlink w:anchor="ref-mapeolegaltechperu2025">
        <w:r>
          <w:rPr>
            <w:rStyle w:val="Hipervnculo"/>
          </w:rPr>
          <w:t xml:space="preserve">Iniciativa Tech &amp; Law 2025</w:t>
        </w:r>
      </w:hyperlink>
      <w:r>
        <w:t xml:space="preserve">)</w:t>
      </w:r>
      <w:r>
        <w:t xml:space="preserve">. Lo importante aquí no es solo el brillo del producto, sino la intuición metodológica: en Derecho, generar mejor muchas veces significa antes recuperar mejor. La calidad de la respuesta depende en buena medida de la calidad, delimitación y control del corpus sobre el que el sistema trabaja.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Applications/quarto/share/formats/docx/note.png" id="43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Un LLM aislado puede redactar con soltura. Un sistema jurídicamente útil necesita, además, fuente curada, contexto delimitado y una revisión humana capaz de detectar lo que el modelo no sabe que ignora</w:t>
            </w:r>
            <w:r>
              <w:t xml:space="preserve"> </w:t>
            </w:r>
            <w:r>
              <w:t xml:space="preserve">(</w:t>
            </w:r>
            <w:hyperlink w:anchor="ref-nistgaiprofile2024">
              <w:r>
                <w:rPr>
                  <w:rStyle w:val="Hipervnculo"/>
                </w:rPr>
                <w:t xml:space="preserve">Autio et al. 2024</w:t>
              </w:r>
            </w:hyperlink>
            <w:r>
              <w:t xml:space="preserve">;</w:t>
            </w:r>
            <w:r>
              <w:t xml:space="preserve"> </w:t>
            </w:r>
            <w:hyperlink w:anchor="ref-mapeolegaltechperu2025">
              <w:r>
                <w:rPr>
                  <w:rStyle w:val="Hipervnculo"/>
                </w:rPr>
                <w:t xml:space="preserve">Iniciativa Tech &amp; Law 2025</w:t>
              </w:r>
            </w:hyperlink>
            <w:r>
              <w:t xml:space="preserve">)</w:t>
            </w:r>
            <w:r>
              <w:t xml:space="preserve">.</w:t>
            </w:r>
          </w:p>
          <w:p/>
        </w:tc>
      </w:tr>
    </w:tbl>
    <w:bookmarkEnd w:id="432"/>
    <w:bookmarkStart w:id="433" w:name="Xcc63fb89a7f5c959810ddd735301d1885ad5c8e"/>
    <w:p>
      <w:pPr>
        <w:pStyle w:val="Ttulo2"/>
      </w:pPr>
      <w:r>
        <w:t xml:space="preserve">Cómo probar una herramienta sin autoengañarse</w:t>
      </w:r>
    </w:p>
    <w:p>
      <w:pPr>
        <w:pStyle w:val="FirstParagraph"/>
      </w:pPr>
      <w:r>
        <w:t xml:space="preserve">La mejor forma de empezar a usar estas herramientas no es pedirles “algo jurídico” y dejarse impresionar por el tono. Conviene construir pruebas pequeñas, repetibles y comparables. El mismo caso, dos o tres prompts distintos, una consigna clara de citación, una fuente conocida y una revisión posterior que anote aciertos, errores, omisiones y cambios de criterio. Ese registro convierte una intuición difusa en observación más seria</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Un buen experimento de aula puede ser este: tomar una resolución breve o una norma conocida, pedir al sistema un resumen, luego un cuadro de problemas jurídicos y finalmente una explicación para público no especializado. Lo que interesa no es solo si el resultado “sirve”, sino en qué punto exagera, simplifica demasiado, inventa, pierde matices o cambia de tono sin razón visible. Cuando esa observación se documenta, el estudiante deja de usar la herramienta como oráculo y empieza a tratarla como objeto de evaluación.</w:t>
      </w:r>
    </w:p>
    <w:bookmarkEnd w:id="433"/>
    <w:bookmarkStart w:id="434" w:name="práctica-en-editor-5"/>
    <w:p>
      <w:pPr>
        <w:pStyle w:val="Ttulo2"/>
      </w:pPr>
      <w:r>
        <w:t xml:space="preserve">Práctica en editor</w:t>
      </w:r>
    </w:p>
    <w:p>
      <w:pPr>
        <w:pStyle w:val="FirstParagraph"/>
      </w:pPr>
      <w:r>
        <w:t xml:space="preserve">Registra en un archivo de texto o Markdown tres pruebas controladas sobre una misma fuente jurídica breve. Anota para cada una:</w:t>
      </w:r>
    </w:p>
    <w:p>
      <w:pPr>
        <w:pStyle w:val="Compact"/>
        <w:numPr>
          <w:ilvl w:val="0"/>
          <w:numId w:val="1098"/>
        </w:numPr>
      </w:pPr>
      <w:r>
        <w:t xml:space="preserve">el prompt utilizado;</w:t>
      </w:r>
    </w:p>
    <w:p>
      <w:pPr>
        <w:pStyle w:val="Compact"/>
        <w:numPr>
          <w:ilvl w:val="0"/>
          <w:numId w:val="1098"/>
        </w:numPr>
      </w:pPr>
      <w:r>
        <w:t xml:space="preserve">la salida obtenida;</w:t>
      </w:r>
    </w:p>
    <w:p>
      <w:pPr>
        <w:pStyle w:val="Compact"/>
        <w:numPr>
          <w:ilvl w:val="0"/>
          <w:numId w:val="1098"/>
        </w:numPr>
      </w:pPr>
      <w:r>
        <w:t xml:space="preserve">qué parte parecía útil;</w:t>
      </w:r>
    </w:p>
    <w:p>
      <w:pPr>
        <w:pStyle w:val="Compact"/>
        <w:numPr>
          <w:ilvl w:val="0"/>
          <w:numId w:val="1098"/>
        </w:numPr>
      </w:pPr>
      <w:r>
        <w:t xml:space="preserve">qué parte exigía verificación;</w:t>
      </w:r>
    </w:p>
    <w:p>
      <w:pPr>
        <w:pStyle w:val="Compact"/>
        <w:numPr>
          <w:ilvl w:val="0"/>
          <w:numId w:val="1098"/>
        </w:numPr>
      </w:pPr>
      <w:r>
        <w:t xml:space="preserve">qué errores, vacíos o invenciones aparecieron.</w:t>
      </w:r>
    </w:p>
    <w:p>
      <w:pPr>
        <w:pStyle w:val="FirstParagraph"/>
      </w:pPr>
      <w:r>
        <w:t xml:space="preserve">Si quieres profundizar, añade una sexta columna o sección donde indiques si el problema fue de fuente, de contexto, de lenguaje o de confianza excesiva de la respuesta.</w:t>
      </w:r>
    </w:p>
    <w:bookmarkEnd w:id="434"/>
    <w:bookmarkStart w:id="439" w:name="conclusiones-del-capítulo-8"/>
    <w:p>
      <w:pPr>
        <w:pStyle w:val="Ttulo2"/>
      </w:pPr>
      <w:r>
        <w:t xml:space="preserve">Conclusiones del capítulo</w:t>
      </w:r>
    </w:p>
    <w:p>
      <w:pPr>
        <w:pStyle w:val="FirstParagraph"/>
      </w:pPr>
      <w:r>
        <w:t xml:space="preserve">Comprender la IA en un manual de Legal Tech no significa adorarlas ni temerlas, sino distinguir operaciones y riesgos con suficiente claridad como para usarlas con criterio. La automatización basada en reglas, el aprendizaje automático, la IA generativa y los LLM no son lo mismo. Tampoco comprometen las mismas garantías. En Derecho, esa diferencia importa porque el material de trabajo no es solo información, sino lenguaje normativo, justificación, responsabilidad y efectos sobre personas concretas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w:t>
      </w:r>
    </w:p>
    <w:p>
      <w:pPr>
        <w:pStyle w:val="Textoindependiente"/>
      </w:pPr>
      <w:r>
        <w:t xml:space="preserve">La lección más importante de esta sesión puede formularse así: los modelos de lenguaje son herramientas poderosas para reorganizar, resumir y producir borradores, pero siguen siendo inseguros allí donde una apariencia de corrección puede ocultar un error de fuente, de contexto o de juicio. Por eso la competencia básica del jurista frente a IA no es la fascinación, sino la capacidad de probar, contrastar y decidir cuándo una salida puede servir como apoyo y cuándo debe ser descartada.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Applications/quarto/share/formats/docx/tip.png" id="4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9"/>
              </w:numPr>
            </w:pPr>
            <w:r>
              <w:t xml:space="preserve">no toda automatización es inteligencia artificial, y no toda IA es generativa;</w:t>
            </w:r>
          </w:p>
          <w:p>
            <w:pPr>
              <w:pStyle w:val="Compact"/>
              <w:numPr>
                <w:ilvl w:val="0"/>
                <w:numId w:val="1099"/>
              </w:numPr>
            </w:pPr>
            <w:r>
              <w:t xml:space="preserve">un LLM produce texto plausible, no comprensión jurídica en sentido fuerte;</w:t>
            </w:r>
          </w:p>
          <w:p>
            <w:pPr>
              <w:pStyle w:val="Compact"/>
              <w:numPr>
                <w:ilvl w:val="0"/>
                <w:numId w:val="1099"/>
              </w:numPr>
            </w:pPr>
            <w:r>
              <w:t xml:space="preserve">las</w:t>
            </w:r>
            <w:r>
              <w:t xml:space="preserve"> </w:t>
            </w:r>
            <w:r>
              <w:rPr>
                <w:rStyle w:val="VerbatimChar"/>
              </w:rPr>
              <w:t xml:space="preserve">confabulaciones</w:t>
            </w:r>
            <w:r>
              <w:t xml:space="preserve"> </w:t>
            </w:r>
            <w:r>
              <w:t xml:space="preserve">son un riesgo estructural, no una rareza anecdótica;</w:t>
            </w:r>
          </w:p>
          <w:p>
            <w:pPr>
              <w:pStyle w:val="Compact"/>
              <w:numPr>
                <w:ilvl w:val="0"/>
                <w:numId w:val="1099"/>
              </w:numPr>
            </w:pPr>
            <w:r>
              <w:t xml:space="preserve">en Derecho, fuente, contexto y revisión humana importan tanto como la fluidez de la respuesta;</w:t>
            </w:r>
          </w:p>
          <w:p>
            <w:pPr>
              <w:pStyle w:val="Compact"/>
              <w:numPr>
                <w:ilvl w:val="0"/>
                <w:numId w:val="1099"/>
              </w:numPr>
            </w:pPr>
            <w:r>
              <w:t xml:space="preserve">sistemas como RAG pueden mejorar trazabilidad, pero no eliminan la necesidad de control.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Applications/quarto/share/formats/docx/caution.png" id="438"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Cuando una herramienta responde con tono seguro, la tentación es evaluar solo su utilidad inmediata. El problema más serio empieza cuando dejamos de preguntarnos de dónde salió la respuesta, qué omitió y quién responderá por ella si se usa en una decisión con consecuencias jurídicas reales.</w:t>
            </w:r>
          </w:p>
          <w:p/>
        </w:tc>
      </w:tr>
    </w:tbl>
    <w:bookmarkEnd w:id="439"/>
    <w:bookmarkEnd w:id="440"/>
    <w:bookmarkStart w:id="464" w:name="Xaed86ce744810788c6386e25049642e275d0cba"/>
    <w:p>
      <w:pPr>
        <w:pStyle w:val="Ttulo1"/>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Applications/quarto/share/formats/docx/note.png" id="44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interés inicial por la IA: cómo evaluarla, gobernarla e integrarla en flujos jurídicos sin convertir la novedad técnica en una fuente nueva de opacidad. El objetivo es construir criterios de evaluación, pensar el control humano, documentar pruebas, graduar controles según el riesgo y distinguir entre integraciones razonables y delegaciones imprudentes</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Start w:id="443" w:name="Xd4c703f01a8b311cb54ca7a378a648d0ce73730"/>
    <w:p>
      <w:pPr>
        <w:pStyle w:val="Ttulo2"/>
      </w:pPr>
      <w:r>
        <w:t xml:space="preserve">La pregunta relevante no es solo si funciona</w:t>
      </w:r>
    </w:p>
    <w:p>
      <w:pPr>
        <w:pStyle w:val="FirstParagraph"/>
      </w:pPr>
      <w:r>
        <w:t xml:space="preserve">Una herramienta puede producir una demostración brillante y seguir siendo una mala candidata para el trabajo jurídico cotidiano. El entusiasmo tecnológico suele fijarse en la velocidad, el estilo o la comodidad de la interfaz. Pero el Derecho obliga a formular preguntas más incómodas: de dónde sale la respuesta, qué daño puede producir un error, quién revisa el resultado, con qué criterios se corrige y cómo queda trazado todo el proceso. Evaluar IA con seriedad significa desplazar la atención desde la espectacularidad del output hacia la calidad institucional de su uso</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p>
      <w:pPr>
        <w:pStyle w:val="Textoindependiente"/>
      </w:pPr>
      <w:r>
        <w:t xml:space="preserve">Ese desplazamiento es fundamental porque la integración de IA no es una cuestión puramente instrumental. Cada vez que una organización adopta una herramienta para resumir expedientes, clasificar consultas, priorizar alertas o asistir decisiones, está rediseñando relaciones entre personas, procesos, tiempos y responsabilidades. El problema jurídico no aparece al final, cuando algo falla. Aparece desde el inicio, cuando se decide cómo se usará la herramienta, qué tarea tocará, qué datos circularán y qué margen quedará para la revisión humana</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bookmarkEnd w:id="443"/>
    <w:bookmarkStart w:id="446" w:name="X5f6af0f11f5e985e449863b817f9653947e47a5"/>
    <w:p>
      <w:pPr>
        <w:pStyle w:val="Ttulo2"/>
      </w:pPr>
      <w:r>
        <w:t xml:space="preserve">Gobernar también significa diseñar la prueba</w:t>
      </w:r>
    </w:p>
    <w:p>
      <w:pPr>
        <w:pStyle w:val="FirstParagraph"/>
      </w:pPr>
      <w:r>
        <w:t xml:space="preserve">El AI Risk Management Framework del NIST propone una idea especialmente útil para este capítulo: la pregunta responsable sobre IA no es solo si el sistema acierta, sino cómo se gestionan sus riesgos antes, durante y después del uso</w:t>
      </w:r>
      <w:r>
        <w:t xml:space="preserve"> </w:t>
      </w:r>
      <w:r>
        <w:t xml:space="preserve">(</w:t>
      </w:r>
      <w:hyperlink w:anchor="ref-nistairmf2026">
        <w:r>
          <w:rPr>
            <w:rStyle w:val="Hipervnculo"/>
          </w:rPr>
          <w:t xml:space="preserve">NIST 2026</w:t>
        </w:r>
      </w:hyperlink>
      <w:r>
        <w:t xml:space="preserve">)</w:t>
      </w:r>
      <w:r>
        <w:t xml:space="preserve">. Su Playbook aterriza ese principio en cuatro funciones que sirven mucho para pensar un flujo jurídico real:</w:t>
      </w:r>
      <w:r>
        <w:t xml:space="preserve"> </w:t>
      </w:r>
      <w:r>
        <w:rPr>
          <w:rStyle w:val="VerbatimChar"/>
        </w:rPr>
        <w:t xml:space="preserve">Govern</w:t>
      </w:r>
      <w:r>
        <w:t xml:space="preserve">,</w:t>
      </w:r>
      <w:r>
        <w:t xml:space="preserve"> </w:t>
      </w:r>
      <w:r>
        <w:rPr>
          <w:rStyle w:val="VerbatimChar"/>
        </w:rPr>
        <w:t xml:space="preserve">Map</w:t>
      </w:r>
      <w:r>
        <w:t xml:space="preserve">,</w:t>
      </w:r>
      <w:r>
        <w:t xml:space="preserve"> </w:t>
      </w:r>
      <w:r>
        <w:rPr>
          <w:rStyle w:val="VerbatimChar"/>
        </w:rPr>
        <w:t xml:space="preserve">Measure</w:t>
      </w:r>
      <w:r>
        <w:t xml:space="preserve"> </w:t>
      </w:r>
      <w:r>
        <w:t xml:space="preserve">y</w:t>
      </w:r>
      <w:r>
        <w:t xml:space="preserve"> </w:t>
      </w:r>
      <w:r>
        <w:rPr>
          <w:rStyle w:val="VerbatimChar"/>
        </w:rPr>
        <w:t xml:space="preserve">Manage</w:t>
      </w:r>
      <w:r>
        <w:t xml:space="preserve"> </w:t>
      </w:r>
      <w:r>
        <w:t xml:space="preserve">(</w:t>
      </w:r>
      <w:hyperlink w:anchor="ref-nistplaybook2026">
        <w:r>
          <w:rPr>
            <w:rStyle w:val="Hipervnculo"/>
          </w:rPr>
          <w:t xml:space="preserve">NIST AI Resource Center 2026</w:t>
        </w:r>
      </w:hyperlink>
      <w:r>
        <w:t xml:space="preserve">)</w:t>
      </w:r>
      <w:r>
        <w:t xml:space="preserve">. La traducción pedagógica es directa. Primero se definen responsabilidades y reglas. Luego se entiende el contexto de uso. Después se mide el comportamiento del sistema. Y finalmente se gestionan los riesgos detectados.</w:t>
      </w:r>
    </w:p>
    <w:p>
      <w:pPr>
        <w:pStyle w:val="Textoindependiente"/>
      </w:pPr>
      <w:r>
        <w:t xml:space="preserve">Lo importante es que el propio Playbook advierte que esto no debe leerse como una checklist universal. No existe una secuencia idéntica para todos los casos, porque gobernar IA exige controles situados, proporcionales al riesgo y sensibles al tipo de tarea</w:t>
      </w:r>
      <w:r>
        <w:t xml:space="preserve"> </w:t>
      </w:r>
      <w:r>
        <w:t xml:space="preserve">(</w:t>
      </w:r>
      <w:hyperlink w:anchor="ref-nistplaybook2026">
        <w:r>
          <w:rPr>
            <w:rStyle w:val="Hipervnculo"/>
          </w:rPr>
          <w:t xml:space="preserve">NIST AI Resource Center 2026</w:t>
        </w:r>
      </w:hyperlink>
      <w:r>
        <w:t xml:space="preserve">)</w:t>
      </w:r>
      <w:r>
        <w:t xml:space="preserve">. Esa observación es muy valiosa para estudiantes de Derecho: evita la ilusión de que la gobernanza consiste en llenar formularios. En realidad, consiste en elegir bien qué preguntas formular y qué evidencia pedirle al sistema antes de confiar en él.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Applications/quarto/share/formats/docx/important.png" id="44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evaluar una herramienta, conviene elegir una tarea pequeña, verificable y de riesgo controlado. También ayuda definir de antemano qué contará como error, quién hará la revisión humana, qué fuentes se considerarán suficientes y qué daño produciría una respuesta equivocada</w:t>
            </w:r>
            <w:r>
              <w:t xml:space="preserve"> </w:t>
            </w:r>
            <w:r>
              <w:t xml:space="preserve">(</w:t>
            </w:r>
            <w:hyperlink w:anchor="ref-nistairmf2026">
              <w:r>
                <w:rPr>
                  <w:rStyle w:val="Hipervnculo"/>
                </w:rPr>
                <w:t xml:space="preserve">NIST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End w:id="446"/>
    <w:bookmarkStart w:id="447" w:name="X5c9823c89289b26a6b10ffda8df293d0eebe40a"/>
    <w:p>
      <w:pPr>
        <w:pStyle w:val="Ttulo2"/>
      </w:pPr>
      <w:r>
        <w:t xml:space="preserve">Criterios mínimos para una evaluación jurídicamente útil</w:t>
      </w:r>
    </w:p>
    <w:p>
      <w:pPr>
        <w:pStyle w:val="FirstParagraph"/>
      </w:pPr>
      <w:r>
        <w:t xml:space="preserve">Una primera evaluación puede organizarse en torno a cinco preguntas. La primera es si la herramienta ayuda realmente a la tarea o solo produce una ilusión de ayuda. La segunda es si reduce tiempo sin trasladar el costo a una revisión humana tan intensa que anule la ventaja. La tercera es si permite explicar de manera razonable cómo se llegó al resultado o, al menos, con qué insumos trabajó. La cuarta es qué daño produciría una salida equivocada. La quinta es si ese daño sería tolerable en ese contexto concreto</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La OECD añade aquí un criterio decisivo: una IA confiable exige transparencia significativa, supervisión humana adecuada al contexto y trazabilidad sobre datos, procesos y decisiones</w:t>
      </w:r>
      <w:r>
        <w:t xml:space="preserve"> </w:t>
      </w:r>
      <w:r>
        <w:t xml:space="preserve">(</w:t>
      </w:r>
      <w:hyperlink w:anchor="ref-oecdaiprinciples2026">
        <w:r>
          <w:rPr>
            <w:rStyle w:val="Hipervnculo"/>
          </w:rPr>
          <w:t xml:space="preserve">OECD 2026</w:t>
        </w:r>
      </w:hyperlink>
      <w:r>
        <w:t xml:space="preserve">)</w:t>
      </w:r>
      <w:r>
        <w:t xml:space="preserve">. Esto obliga a mirar más allá del rendimiento técnico. Un sistema rápido y elegante sigue siendo problemático si nadie puede revisar de manera inteligible sus límites, si el corpus que usa es opaco o si la organización no sabe responder quién es responsable cuando la salida se incorpora a una actuación con consecuencias jurídicas.</w:t>
      </w:r>
    </w:p>
    <w:bookmarkEnd w:id="447"/>
    <w:bookmarkStart w:id="450" w:name="el-control-humano-no-es-mirar-por-encima"/>
    <w:p>
      <w:pPr>
        <w:pStyle w:val="Ttulo2"/>
      </w:pPr>
      <w:r>
        <w:t xml:space="preserve">El control humano no es mirar por encima</w:t>
      </w:r>
    </w:p>
    <w:p>
      <w:pPr>
        <w:pStyle w:val="FirstParagraph"/>
      </w:pPr>
      <w:r>
        <w:t xml:space="preserve">Una de las expresiones más repetidas en estos debates es “human in the loop”. Pero en el trabajo jurídico esa fórmula solo tiene sentido si se la concreta. No basta con que una persona revise superficialmente el resultado. Hace falta saber quién revisa, qué revisa exactamente, con qué criterio valida, qué facultades tiene para corregir, descartar o escalar el caso, y cómo queda documentada esa intervención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pPr>
        <w:pStyle w:val="Textoindependiente"/>
      </w:pPr>
      <w:r>
        <w:t xml:space="preserve">Este punto merece insistirse porque la automatización no elimina el problema del juicio; lo redistribuye. En entornos cada vez más asistidos por IA, la supervisión humana se vuelve más exigente justamente cuando la salida parece suficientemente buena como para desalentar la revisión cuidadosa. En IA generativa esa tensión es especialmente fuerte: revisar una salida plausible suele requerir más criterio que revisar una salida torpemente equivocada</w:t>
      </w:r>
      <w:r>
        <w:t xml:space="preserve"> </w:t>
      </w:r>
      <w:r>
        <w:t xml:space="preserve">(</w:t>
      </w:r>
      <w:hyperlink w:anchor="ref-nistgaiprofile2024">
        <w:r>
          <w:rPr>
            <w:rStyle w:val="Hipervnculo"/>
          </w:rPr>
          <w:t xml:space="preserve">Autio et al. 2024</w:t>
        </w:r>
      </w:hyperlink>
      <w:r>
        <w:t xml:space="preserve">;</w:t>
      </w:r>
      <w:r>
        <w:t xml:space="preserve"> </w:t>
      </w:r>
      <w:hyperlink w:anchor="ref-paez2025humancentered">
        <w:r>
          <w:rPr>
            <w:rStyle w:val="Hipervnculo"/>
          </w:rPr>
          <w:t xml:space="preserve">Páez et al. 2025</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Applications/quarto/share/formats/docx/note.png" id="44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La supervisión humana solo vale como garantía cuando tiene contenido: criterio, tiempo, acceso a la fuente, autoridad para corregir y trazabilidad suficiente para reconstruir la decisión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tc>
      </w:tr>
    </w:tbl>
    <w:bookmarkEnd w:id="450"/>
    <w:bookmarkStart w:id="451" w:name="Xb21f85899bded567d2eb7234b39639ea8ad2c6e"/>
    <w:p>
      <w:pPr>
        <w:pStyle w:val="Ttulo2"/>
      </w:pPr>
      <w:r>
        <w:t xml:space="preserve">No toda tarea merece la misma intensidad de control</w:t>
      </w:r>
    </w:p>
    <w:p>
      <w:pPr>
        <w:pStyle w:val="FirstParagraph"/>
      </w:pPr>
      <w:r>
        <w:t xml:space="preserve">El AI Act europeo ofrece una intuición regulatoria muy pedagógica: no toda IA merece el mismo tratamiento jurídico, porque los controles deben graduarse según el riesgo que el uso concreto plantea para salud, seguridad o derechos fundamentales</w:t>
      </w:r>
      <w:r>
        <w:t xml:space="preserve"> </w:t>
      </w:r>
      <w:r>
        <w:t xml:space="preserve">(</w:t>
      </w:r>
      <w:hyperlink w:anchor="ref-euaiact2026">
        <w:r>
          <w:rPr>
            <w:rStyle w:val="Hipervnculo"/>
          </w:rPr>
          <w:t xml:space="preserve">European Commission 2026</w:t>
        </w:r>
      </w:hyperlink>
      <w:r>
        <w:t xml:space="preserve">)</w:t>
      </w:r>
      <w:r>
        <w:t xml:space="preserve">. La Comisión explica cuatro niveles: riesgo inaceptable, alto riesgo, riesgo limitado y riesgo mínimo o nulo</w:t>
      </w:r>
      <w:r>
        <w:t xml:space="preserve"> </w:t>
      </w:r>
      <w:r>
        <w:t xml:space="preserve">(</w:t>
      </w:r>
      <w:hyperlink w:anchor="ref-euaiact2026">
        <w:r>
          <w:rPr>
            <w:rStyle w:val="Hipervnculo"/>
          </w:rPr>
          <w:t xml:space="preserve">European Commission 2026</w:t>
        </w:r>
      </w:hyperlink>
      <w:r>
        <w:t xml:space="preserve">)</w:t>
      </w:r>
      <w:r>
        <w:t xml:space="preserve">. Incluso si ese marco no se aplica directamente en todos los contextos latinoamericanos, su lógica ayuda mucho a pensar con orden.</w:t>
      </w:r>
    </w:p>
    <w:p>
      <w:pPr>
        <w:pStyle w:val="Textoindependiente"/>
      </w:pPr>
      <w:r>
        <w:t xml:space="preserve">Llevado al aula, esto permite distinguir entre usos relativamente bajos en riesgo, como un primer resumen de lectura o una ayuda para lenguaje llano, y usos mucho más delicados, como sistemas que orienten acceso a beneficios, clasificación de personas, predicción de conducta o apoyo a decisiones jurisdiccionales. La primera pregunta de gobernanza, entonces, no es si la herramienta “usa IA”, sino qué tipo de daño podría producir y cuánta confianza institucional sería razonable depositar en ella</w:t>
      </w:r>
      <w:r>
        <w:t xml:space="preserve"> </w:t>
      </w:r>
      <w:r>
        <w:t xml:space="preserve">(</w:t>
      </w:r>
      <w:hyperlink w:anchor="ref-euaiact2026">
        <w:r>
          <w:rPr>
            <w:rStyle w:val="Hipervnculo"/>
          </w:rPr>
          <w:t xml:space="preserve">European Commission 2026</w:t>
        </w:r>
      </w:hyperlink>
      <w:r>
        <w:t xml:space="preserve">;</w:t>
      </w:r>
      <w:r>
        <w:t xml:space="preserve"> </w:t>
      </w:r>
      <w:hyperlink w:anchor="ref-perezugena2024ia">
        <w:r>
          <w:rPr>
            <w:rStyle w:val="Hipervnculo"/>
          </w:rPr>
          <w:t xml:space="preserve">Pérez-Ugena 2024</w:t>
        </w:r>
      </w:hyperlink>
      <w:r>
        <w:t xml:space="preserve">)</w:t>
      </w:r>
      <w:r>
        <w:t xml:space="preserve">.</w:t>
      </w:r>
    </w:p>
    <w:bookmarkEnd w:id="451"/>
    <w:bookmarkStart w:id="452" w:name="Xa712938c5302ac2f73faa97fd06f38e7f4a6ff2"/>
    <w:p>
      <w:pPr>
        <w:pStyle w:val="Ttulo2"/>
      </w:pPr>
      <w:r>
        <w:t xml:space="preserve">Transparencia, derechos y criterio jurídico</w:t>
      </w:r>
    </w:p>
    <w:p>
      <w:pPr>
        <w:pStyle w:val="FirstParagraph"/>
      </w:pPr>
      <w:r>
        <w:t xml:space="preserve">Evaluar IA en un entorno jurídico exige además un criterio material: qué derechos, garantías o posiciones jurídicas podrían verse afectados si el sistema se equivoca o si su lógica permanece opaca. Pérez-Ugena recuerda que la discusión regulatoria sobre IA solo cobra sentido pleno cuando se la conecta con derechos fundamentales, entre ellos igualdad, privacidad, libertad de expresión y tutela judicial efectiva</w:t>
      </w:r>
      <w:r>
        <w:t xml:space="preserve"> </w:t>
      </w:r>
      <w:r>
        <w:t xml:space="preserve">(</w:t>
      </w:r>
      <w:hyperlink w:anchor="ref-perezugena2024ia">
        <w:r>
          <w:rPr>
            <w:rStyle w:val="Hipervnculo"/>
          </w:rPr>
          <w:t xml:space="preserve">Pérez-Ugena 2024</w:t>
        </w:r>
      </w:hyperlink>
      <w:r>
        <w:t xml:space="preserve">)</w:t>
      </w:r>
      <w:r>
        <w:t xml:space="preserve">. Esa observación impide reducir la gobernanza a un problema administrativo.</w:t>
      </w:r>
    </w:p>
    <w:p>
      <w:pPr>
        <w:pStyle w:val="Textoindependiente"/>
      </w:pPr>
      <w:r>
        <w:t xml:space="preserve">En otras palabras, la evaluación no debe limitarse a decir “funciona bien”. Debe poder responder también “funciona bien para qué”, “con qué límites”, “sobre quiénes impacta” y “qué salvaguardas preservan los derechos comprometidos”. Un sistema útil para un flujo documental interno puede resultar improcedente cuando la salida condiciona defensa, acceso a beneficios, calificación registral o decisión judicial</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bookmarkEnd w:id="452"/>
    <w:bookmarkStart w:id="453" w:name="Xf27f21aaa02c5d3ca62393228543165ca36e40a"/>
    <w:p>
      <w:pPr>
        <w:pStyle w:val="Ttulo2"/>
      </w:pPr>
      <w:r>
        <w:t xml:space="preserve">La gobernanza mejora cuando se observa en casos concretos</w:t>
      </w:r>
    </w:p>
    <w:p>
      <w:pPr>
        <w:pStyle w:val="FirstParagraph"/>
      </w:pPr>
      <w:r>
        <w:t xml:space="preserve">El</w:t>
      </w:r>
      <w:r>
        <w:t xml:space="preserve"> </w:t>
      </w:r>
      <w:r>
        <w:rPr>
          <w:i/>
          <w:iCs/>
        </w:rPr>
        <w:t xml:space="preserve">Mapeo LegalTech Perú 2025</w:t>
      </w:r>
      <w:r>
        <w:t xml:space="preserve"> </w:t>
      </w:r>
      <w:r>
        <w:t xml:space="preserve">ofrece ejemplos especialmente didácticos porque muestra integraciones donde la IA se presenta como apoyo operativo y no como sustitución integral del criterio jurídico</w:t>
      </w:r>
      <w:r>
        <w:t xml:space="preserve"> </w:t>
      </w:r>
      <w:r>
        <w:t xml:space="preserve">(</w:t>
      </w:r>
      <w:hyperlink w:anchor="ref-mapeolegaltechperu2025">
        <w:r>
          <w:rPr>
            <w:rStyle w:val="Hipervnculo"/>
          </w:rPr>
          <w:t xml:space="preserve">Iniciativa Tech &amp; Law 2025</w:t>
        </w:r>
      </w:hyperlink>
      <w:r>
        <w:t xml:space="preserve">)</w:t>
      </w:r>
      <w:r>
        <w:t xml:space="preserve">. Juztina, por ejemplo, reduce fricción en el acceso a información jurídica mediante RAG y fuentes oficiales curadas. La lección no es solo tecnológica. Es metodológica: cuando el problema es localizar, explicar y contextualizar mejor la información, la combinación entre búsqueda estructurada y lenguaje natural puede generar valor sin ocultar del todo la fuente</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La experiencia de SUNARP refuerza una regla todavía más importante. Allí la IA se usa para acelerar lectura de partidas, búsqueda de información y apoyo a ciertos trámites, pero la calificación final permanece en manos humanas</w:t>
      </w:r>
      <w:r>
        <w:t xml:space="preserve"> </w:t>
      </w:r>
      <w:r>
        <w:t xml:space="preserve">(</w:t>
      </w:r>
      <w:hyperlink w:anchor="ref-mapeolegaltechperu2025">
        <w:r>
          <w:rPr>
            <w:rStyle w:val="Hipervnculo"/>
          </w:rPr>
          <w:t xml:space="preserve">Iniciativa Tech &amp; Law 2025</w:t>
        </w:r>
      </w:hyperlink>
      <w:r>
        <w:t xml:space="preserve">)</w:t>
      </w:r>
      <w:r>
        <w:t xml:space="preserve">. Desde el punto de vista del diseño institucional, esta es una decisión muy instructiva. Automatiza traslados, organización y accesibilidad, pero no delega la responsabilidad registral ni la fe pública.</w:t>
      </w:r>
    </w:p>
    <w:p>
      <w:pPr>
        <w:pStyle w:val="Textoindependiente"/>
      </w:pPr>
      <w:r>
        <w:t xml:space="preserve">YachAIbot ofrece otra variante. Su aporte principal no es decidir por la administración, sino bajar la barrera de entrada al marco normativo para funcionarios y ciudadanía</w:t>
      </w:r>
      <w:r>
        <w:t xml:space="preserve"> </w:t>
      </w:r>
      <w:r>
        <w:t xml:space="preserve">(</w:t>
      </w:r>
      <w:hyperlink w:anchor="ref-mapeolegaltechperu2025">
        <w:r>
          <w:rPr>
            <w:rStyle w:val="Hipervnculo"/>
          </w:rPr>
          <w:t xml:space="preserve">Iniciativa Tech &amp; Law 2025</w:t>
        </w:r>
      </w:hyperlink>
      <w:r>
        <w:t xml:space="preserve">)</w:t>
      </w:r>
      <w:r>
        <w:t xml:space="preserve">. Indecopi, en cambio, muestra un uso distinto: procesar millones de grabaciones para volver fiscalizable un volumen de evidencia que manualmente sería inabarcable</w:t>
      </w:r>
      <w:r>
        <w:t xml:space="preserve"> </w:t>
      </w:r>
      <w:r>
        <w:t xml:space="preserve">(</w:t>
      </w:r>
      <w:hyperlink w:anchor="ref-mapeolegaltechperu2025">
        <w:r>
          <w:rPr>
            <w:rStyle w:val="Hipervnculo"/>
          </w:rPr>
          <w:t xml:space="preserve">Iniciativa Tech &amp; Law 2025</w:t>
        </w:r>
      </w:hyperlink>
      <w:r>
        <w:t xml:space="preserve">)</w:t>
      </w:r>
      <w:r>
        <w:t xml:space="preserve">. En ambos casos, la pregunta de gobernanza no es si la herramienta “parece inteligente”, sino si expande capacidad institucional sin borrar trazabilidad, fuente ni control humano significativo.</w:t>
      </w:r>
    </w:p>
    <w:bookmarkEnd w:id="453"/>
    <w:bookmarkStart w:id="456" w:name="cuándo-conviene-decir-no"/>
    <w:p>
      <w:pPr>
        <w:pStyle w:val="Ttulo2"/>
      </w:pPr>
      <w:r>
        <w:t xml:space="preserve">Cuándo conviene decir no</w:t>
      </w:r>
    </w:p>
    <w:p>
      <w:pPr>
        <w:pStyle w:val="FirstParagraph"/>
      </w:pPr>
      <w:r>
        <w:t xml:space="preserve">Una de las señales de madurez tecnológica consiste en saber no integrar una herramienta cuando el costo institucional del error es demasiado alto o cuando la opacidad del sistema vuelve ilusoria la revisión humana. La literatura sobre juez-robot funciona aquí como recordatorio límite: no toda función jurídicamente sensible puede transferirse sin pérdida a una lógica automatizada, porque la decisión incorpora motivación, independencia, imparcialidad y responsabilidad que no se dejan reducir a cálculo</w:t>
      </w:r>
      <w:r>
        <w:t xml:space="preserve"> </w:t>
      </w:r>
      <w:r>
        <w:t xml:space="preserve">(</w:t>
      </w:r>
      <w:hyperlink w:anchor="ref-pinerospolo2024juezrobot">
        <w:r>
          <w:rPr>
            <w:rStyle w:val="Hipervnculo"/>
          </w:rPr>
          <w:t xml:space="preserve">Pineros Polo 2024</w:t>
        </w:r>
      </w:hyperlink>
      <w:r>
        <w:t xml:space="preserve">)</w:t>
      </w:r>
      <w:r>
        <w:t xml:space="preserve">.</w:t>
      </w:r>
    </w:p>
    <w:p>
      <w:pPr>
        <w:pStyle w:val="Textoindependiente"/>
      </w:pPr>
      <w:r>
        <w:t xml:space="preserve">Esto no significa que la IA deba quedar expulsada del campo jurídico. Significa algo más interesante: que conviene distinguir entre asistir y sustituir. Asistir puede ser razonable en búsquedas, organización de expedientes, lenguaje llano, priorización documental o apoyo a borradores. Sustituir se vuelve mucho más problemático cuando lo que está en juego es una decisión que exige deliberación, explicación y asunción institucional de responsabilidad</w:t>
      </w:r>
      <w:r>
        <w:t xml:space="preserve"> </w:t>
      </w:r>
      <w:r>
        <w:t xml:space="preserve">(</w:t>
      </w:r>
      <w:hyperlink w:anchor="ref-mapeolegaltechperu2025">
        <w:r>
          <w:rPr>
            <w:rStyle w:val="Hipervnculo"/>
          </w:rPr>
          <w:t xml:space="preserve">Iniciativa Tech &amp; Law 2025</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En innovación jurídica, una mala integración no se define solo por bajo rendimiento técnico. También puede definirse por sobredependencia, pérdida de trazabilidad, falsa sensación de control o debilitamiento de garantías que el procedimiento no puede renunciar a proteger</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p/>
        </w:tc>
      </w:tr>
    </w:tbl>
    <w:bookmarkEnd w:id="456"/>
    <w:bookmarkStart w:id="457" w:name="bitácora-mínima-de-evaluación"/>
    <w:p>
      <w:pPr>
        <w:pStyle w:val="Ttulo2"/>
      </w:pPr>
      <w:r>
        <w:t xml:space="preserve">Bitácora mínima de evaluación</w:t>
      </w:r>
    </w:p>
    <w:p>
      <w:pPr>
        <w:pStyle w:val="FirstParagraph"/>
      </w:pPr>
      <w:r>
        <w:t xml:space="preserve">Una forma muy útil de empezar a gobernar pruebas consiste en construir una bitácora sencilla. Lo importante no es su complejidad, sino la disciplina que impone. Un formato inicial podría ser este: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Tarea</w:t>
            </w:r>
          </w:p>
        </w:tc>
        <w:tc>
          <w:tcPr/>
          <w:p>
            <w:pPr>
              <w:pStyle w:val="Compact"/>
            </w:pPr>
            <w:r>
              <w:t xml:space="preserve">Fuente o corpus</w:t>
            </w:r>
          </w:p>
        </w:tc>
        <w:tc>
          <w:tcPr/>
          <w:p>
            <w:pPr>
              <w:pStyle w:val="Compact"/>
            </w:pPr>
            <w:r>
              <w:t xml:space="preserve">Prompt o instrucción</w:t>
            </w:r>
          </w:p>
        </w:tc>
        <w:tc>
          <w:tcPr/>
          <w:p>
            <w:pPr>
              <w:pStyle w:val="Compact"/>
            </w:pPr>
            <w:r>
              <w:t xml:space="preserve">Resultado</w:t>
            </w:r>
          </w:p>
        </w:tc>
        <w:tc>
          <w:tcPr/>
          <w:p>
            <w:pPr>
              <w:pStyle w:val="Compact"/>
            </w:pPr>
            <w:r>
              <w:t xml:space="preserve">Error o riesgo detectado</w:t>
            </w:r>
          </w:p>
        </w:tc>
        <w:tc>
          <w:tcPr/>
          <w:p>
            <w:pPr>
              <w:pStyle w:val="Compact"/>
            </w:pPr>
            <w:r>
              <w:t xml:space="preserve">Revisión humana necesaria</w:t>
            </w:r>
          </w:p>
        </w:tc>
        <w:tc>
          <w:tcPr/>
          <w:p>
            <w:pPr>
              <w:pStyle w:val="Compact"/>
            </w:pPr>
            <w:r>
              <w:t xml:space="preserve">Decisión</w:t>
            </w:r>
          </w:p>
        </w:tc>
      </w:tr>
      <w:tr>
        <w:tc>
          <w:tcPr/>
          <w:p>
            <w:pPr>
              <w:pStyle w:val="Compact"/>
            </w:pPr>
            <w:r>
              <w:t xml:space="preserve">Resumir resolución</w:t>
            </w:r>
          </w:p>
        </w:tc>
        <w:tc>
          <w:tcPr/>
          <w:p>
            <w:pPr>
              <w:pStyle w:val="Compact"/>
            </w:pPr>
            <w:r>
              <w:t xml:space="preserve">resolución conocida</w:t>
            </w:r>
          </w:p>
        </w:tc>
        <w:tc>
          <w:tcPr/>
          <w:p>
            <w:pPr>
              <w:pStyle w:val="Compact"/>
            </w:pPr>
            <w:r>
              <w:t xml:space="preserve">“Resume en 5 puntos”</w:t>
            </w:r>
          </w:p>
        </w:tc>
        <w:tc>
          <w:tcPr/>
          <w:p>
            <w:pPr>
              <w:pStyle w:val="Compact"/>
            </w:pPr>
            <w:r>
              <w:t xml:space="preserve">resumen plausible</w:t>
            </w:r>
          </w:p>
        </w:tc>
        <w:tc>
          <w:tcPr/>
          <w:p>
            <w:pPr>
              <w:pStyle w:val="Compact"/>
            </w:pPr>
            <w:r>
              <w:t xml:space="preserve">omite base legal</w:t>
            </w:r>
          </w:p>
        </w:tc>
        <w:tc>
          <w:tcPr/>
          <w:p>
            <w:pPr>
              <w:pStyle w:val="Compact"/>
            </w:pPr>
            <w:r>
              <w:t xml:space="preserve">alta</w:t>
            </w:r>
          </w:p>
        </w:tc>
        <w:tc>
          <w:tcPr/>
          <w:p>
            <w:pPr>
              <w:pStyle w:val="Compact"/>
            </w:pPr>
            <w:r>
              <w:t xml:space="preserve">usar solo como borrador</w:t>
            </w:r>
          </w:p>
        </w:tc>
      </w:tr>
      <w:tr>
        <w:tc>
          <w:tcPr/>
          <w:p>
            <w:pPr>
              <w:pStyle w:val="Compact"/>
            </w:pPr>
            <w:r>
              <w:t xml:space="preserve">Buscar norma aplicable</w:t>
            </w:r>
          </w:p>
        </w:tc>
        <w:tc>
          <w:tcPr/>
          <w:p>
            <w:pPr>
              <w:pStyle w:val="Compact"/>
            </w:pPr>
            <w:r>
              <w:t xml:space="preserve">base normativa curada</w:t>
            </w:r>
          </w:p>
        </w:tc>
        <w:tc>
          <w:tcPr/>
          <w:p>
            <w:pPr>
              <w:pStyle w:val="Compact"/>
            </w:pPr>
            <w:r>
              <w:t xml:space="preserve">“Indica norma y artículo”</w:t>
            </w:r>
          </w:p>
        </w:tc>
        <w:tc>
          <w:tcPr/>
          <w:p>
            <w:pPr>
              <w:pStyle w:val="Compact"/>
            </w:pPr>
            <w:r>
              <w:t xml:space="preserve">cita parcial</w:t>
            </w:r>
          </w:p>
        </w:tc>
        <w:tc>
          <w:tcPr/>
          <w:p>
            <w:pPr>
              <w:pStyle w:val="Compact"/>
            </w:pPr>
            <w:r>
              <w:t xml:space="preserve">cita incompleta</w:t>
            </w:r>
          </w:p>
        </w:tc>
        <w:tc>
          <w:tcPr/>
          <w:p>
            <w:pPr>
              <w:pStyle w:val="Compact"/>
            </w:pPr>
            <w:r>
              <w:t xml:space="preserve">media</w:t>
            </w:r>
          </w:p>
        </w:tc>
        <w:tc>
          <w:tcPr/>
          <w:p>
            <w:pPr>
              <w:pStyle w:val="Compact"/>
            </w:pPr>
            <w:r>
              <w:t xml:space="preserve">corregir y documentar</w:t>
            </w:r>
          </w:p>
        </w:tc>
      </w:tr>
    </w:tbl>
    <w:p>
      <w:pPr>
        <w:pStyle w:val="Textoindependiente"/>
      </w:pPr>
      <w:r>
        <w:t xml:space="preserve">Una bitácora así obliga a pensar con precisión: qué se le pidió al sistema, sobre qué corpus trabajó, qué produjo, qué falló y qué nivel de intervención humana fue necesario. En un curso de Legal Tech, ese registro enseña más que una lista de impresiones generales porque transforma la experiencia de uso en evidencia revisable</w:t>
      </w:r>
      <w:r>
        <w:t xml:space="preserve"> </w:t>
      </w:r>
      <w:r>
        <w:t xml:space="preserve">(</w:t>
      </w:r>
      <w:hyperlink w:anchor="ref-nistplaybook2026">
        <w:r>
          <w:rPr>
            <w:rStyle w:val="Hipervnculo"/>
          </w:rPr>
          <w:t xml:space="preserve">NIST AI Resource Center 2026</w:t>
        </w:r>
      </w:hyperlink>
      <w:r>
        <w:t xml:space="preserve">;</w:t>
      </w:r>
      <w:r>
        <w:t xml:space="preserve"> </w:t>
      </w:r>
      <w:hyperlink w:anchor="ref-oecdaiprinciples2026">
        <w:r>
          <w:rPr>
            <w:rStyle w:val="Hipervnculo"/>
          </w:rPr>
          <w:t xml:space="preserve">OECD 2026</w:t>
        </w:r>
      </w:hyperlink>
      <w:r>
        <w:t xml:space="preserve">)</w:t>
      </w:r>
      <w:r>
        <w:t xml:space="preserve">.</w:t>
      </w:r>
    </w:p>
    <w:bookmarkEnd w:id="457"/>
    <w:bookmarkStart w:id="458" w:name="práctica-en-editor-6"/>
    <w:p>
      <w:pPr>
        <w:pStyle w:val="Ttulo2"/>
      </w:pPr>
      <w:r>
        <w:t xml:space="preserve">Práctica en editor</w:t>
      </w:r>
    </w:p>
    <w:p>
      <w:pPr>
        <w:pStyle w:val="FirstParagraph"/>
      </w:pPr>
      <w:r>
        <w:t xml:space="preserve">Construye una bitácora de evaluación con al menos tres pruebas sobre una misma herramienta de IA aplicada a tareas jurídicas de bajo riesgo. Incluye:</w:t>
      </w:r>
    </w:p>
    <w:p>
      <w:pPr>
        <w:pStyle w:val="Compact"/>
        <w:numPr>
          <w:ilvl w:val="0"/>
          <w:numId w:val="1100"/>
        </w:numPr>
      </w:pPr>
      <w:r>
        <w:t xml:space="preserve">tarea;</w:t>
      </w:r>
    </w:p>
    <w:p>
      <w:pPr>
        <w:pStyle w:val="Compact"/>
        <w:numPr>
          <w:ilvl w:val="0"/>
          <w:numId w:val="1100"/>
        </w:numPr>
      </w:pPr>
      <w:r>
        <w:t xml:space="preserve">fuente o corpus empleado;</w:t>
      </w:r>
    </w:p>
    <w:p>
      <w:pPr>
        <w:pStyle w:val="Compact"/>
        <w:numPr>
          <w:ilvl w:val="0"/>
          <w:numId w:val="1100"/>
        </w:numPr>
      </w:pPr>
      <w:r>
        <w:t xml:space="preserve">prompt o instrucción;</w:t>
      </w:r>
    </w:p>
    <w:p>
      <w:pPr>
        <w:pStyle w:val="Compact"/>
        <w:numPr>
          <w:ilvl w:val="0"/>
          <w:numId w:val="1100"/>
        </w:numPr>
      </w:pPr>
      <w:r>
        <w:t xml:space="preserve">resultado;</w:t>
      </w:r>
    </w:p>
    <w:p>
      <w:pPr>
        <w:pStyle w:val="Compact"/>
        <w:numPr>
          <w:ilvl w:val="0"/>
          <w:numId w:val="1100"/>
        </w:numPr>
      </w:pPr>
      <w:r>
        <w:t xml:space="preserve">error o riesgo detectado;</w:t>
      </w:r>
    </w:p>
    <w:p>
      <w:pPr>
        <w:pStyle w:val="Compact"/>
        <w:numPr>
          <w:ilvl w:val="0"/>
          <w:numId w:val="1100"/>
        </w:numPr>
      </w:pPr>
      <w:r>
        <w:t xml:space="preserve">nivel de revisión humana requerido;</w:t>
      </w:r>
    </w:p>
    <w:p>
      <w:pPr>
        <w:pStyle w:val="Compact"/>
        <w:numPr>
          <w:ilvl w:val="0"/>
          <w:numId w:val="1100"/>
        </w:numPr>
      </w:pPr>
      <w:r>
        <w:t xml:space="preserve">decisión final.</w:t>
      </w:r>
    </w:p>
    <w:p>
      <w:pPr>
        <w:pStyle w:val="FirstParagraph"/>
      </w:pPr>
      <w:r>
        <w:t xml:space="preserve">Si quieres profundizar, añade una columna sobre el tipo de riesgo involucrado: precisión, fuente, privacidad, sesgo, trazabilidad o sobreconfianza.</w:t>
      </w:r>
    </w:p>
    <w:bookmarkEnd w:id="458"/>
    <w:bookmarkStart w:id="463" w:name="conclusiones-del-capítulo-9"/>
    <w:p>
      <w:pPr>
        <w:pStyle w:val="Ttulo2"/>
      </w:pPr>
      <w:r>
        <w:t xml:space="preserve">Conclusiones del capítulo</w:t>
      </w:r>
    </w:p>
    <w:p>
      <w:pPr>
        <w:pStyle w:val="FirstParagraph"/>
      </w:pPr>
      <w:r>
        <w:t xml:space="preserve">Evaluar e integrar IA con criterio significa resistir dos tentaciones simétricas. La primera es creer que toda novedad útil merece entrar sin más en el flujo jurídico. La segunda es pensar que toda IA debe rechazarse por principio. Entre ambos extremos aparece el trabajo realmente importante: definir tareas, medir riesgos, graduar controles, preservar trazabilidad y decidir con cuidado dónde la herramienta amplía capacidad institucional y dónde empieza a comprometer garantías que no deberían relajarse</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w:t>
      </w:r>
    </w:p>
    <w:p>
      <w:pPr>
        <w:pStyle w:val="Textoindependiente"/>
      </w:pPr>
      <w:r>
        <w:t xml:space="preserve">La gobernanza de IA no es un añadido burocrático al final del proceso. Es la forma misma de decidir si una integración merece confianza. En contextos jurídicos, esa confianza no nace de la fluidez verbal del sistema, sino de una arquitectura de revisión, documentación, límites y responsabilidad. Por eso la pregunta decisiva no es si la herramienta parece inteligente, sino si la institución que la adopta sigue siendo capaz de explicar, controlar y asumir las consecuencias de su uso</w:t>
      </w:r>
      <w:r>
        <w:t xml:space="preserve"> </w:t>
      </w:r>
      <w:r>
        <w:t xml:space="preserve">(</w:t>
      </w:r>
      <w:hyperlink w:anchor="ref-oecdaiprinciples2026">
        <w:r>
          <w:rPr>
            <w:rStyle w:val="Hipervnculo"/>
          </w:rPr>
          <w:t xml:space="preserve">OECD 2026</w:t>
        </w:r>
      </w:hyperlink>
      <w:r>
        <w:t xml:space="preserve">;</w:t>
      </w:r>
      <w:r>
        <w:t xml:space="preserve"> </w:t>
      </w:r>
      <w:hyperlink w:anchor="ref-perezugena2024ia">
        <w:r>
          <w:rPr>
            <w:rStyle w:val="Hipervnculo"/>
          </w:rPr>
          <w:t xml:space="preserve">Pérez-Ugena 2024</w:t>
        </w:r>
      </w:hyperlink>
      <w:r>
        <w:t xml:space="preserve">)</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Applications/quarto/share/formats/docx/tip.png" id="46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01"/>
              </w:numPr>
            </w:pPr>
            <w:r>
              <w:t xml:space="preserve">gobernar IA empieza cuando se diseña la prueba, no cuando aparece el problema;</w:t>
            </w:r>
          </w:p>
          <w:p>
            <w:pPr>
              <w:pStyle w:val="Compact"/>
              <w:numPr>
                <w:ilvl w:val="0"/>
                <w:numId w:val="1101"/>
              </w:numPr>
            </w:pPr>
            <w:r>
              <w:t xml:space="preserve">el control humano solo protege si tiene criterio, tiempo, autoridad y trazabilidad;</w:t>
            </w:r>
          </w:p>
          <w:p>
            <w:pPr>
              <w:pStyle w:val="Compact"/>
              <w:numPr>
                <w:ilvl w:val="0"/>
                <w:numId w:val="1101"/>
              </w:numPr>
            </w:pPr>
            <w:r>
              <w:t xml:space="preserve">no toda tarea jurídica merece la misma intensidad de automatización o supervisión;</w:t>
            </w:r>
          </w:p>
          <w:p>
            <w:pPr>
              <w:pStyle w:val="Compact"/>
              <w:numPr>
                <w:ilvl w:val="0"/>
                <w:numId w:val="1101"/>
              </w:numPr>
            </w:pPr>
            <w:r>
              <w:t xml:space="preserve">el enfoque basado en riesgo ayuda a distinguir integraciones razonables de delegaciones imprudentes;</w:t>
            </w:r>
          </w:p>
          <w:p>
            <w:pPr>
              <w:pStyle w:val="Compact"/>
              <w:numPr>
                <w:ilvl w:val="0"/>
                <w:numId w:val="1101"/>
              </w:numPr>
            </w:pPr>
            <w:r>
              <w:t xml:space="preserve">los mejores ejemplos institucionales suelen ampliar capacidad sin desplazar la responsabilidad final.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Applications/quarto/share/formats/docx/caution.png" id="462"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La verdadera madurez tecnológica no se mide por cuántas herramientas se incorporan, sino por la capacidad de una organización para limitar su alcance cuando el riesgo supera lo que un procedimiento justo, explicable y responsable puede tolerar.</w:t>
            </w:r>
          </w:p>
          <w:p/>
        </w:tc>
      </w:tr>
    </w:tbl>
    <w:bookmarkEnd w:id="463"/>
    <w:bookmarkEnd w:id="464"/>
    <w:bookmarkStart w:id="487" w:name="proyectos-legal-tech-peruanos"/>
    <w:p>
      <w:pPr>
        <w:pStyle w:val="Ttulo1"/>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Applications/quarto/share/formats/docx/note.png" id="466"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Start w:id="467" w:name="el-ecosistema-ya-dejó-de-ser-hipotético"/>
    <w:p>
      <w:pPr>
        <w:pStyle w:val="Ttulo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467"/>
    <w:bookmarkStart w:id="468" w:name="lo-peruano-no-aparece-en-un-solo-formato"/>
    <w:p>
      <w:pPr>
        <w:pStyle w:val="Ttulo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468"/>
    <w:bookmarkStart w:id="471" w:name="Xe951157d02601d2d006521a4ab1d42d736bf00d"/>
    <w:p>
      <w:pPr>
        <w:pStyle w:val="Ttulo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Textoindependiente"/>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important.png" id="47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End w:id="471"/>
    <w:bookmarkStart w:id="474" w:name="Xf9d95ab4949a7417ee4ba8ded99f257ef461ba5"/>
    <w:p>
      <w:pPr>
        <w:pStyle w:val="Ttulo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w:t>
      </w:r>
    </w:p>
    <w:p>
      <w:pPr>
        <w:pStyle w:val="Textoindependiente"/>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Textoindependiente"/>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Applications/quarto/share/formats/docx/note.png" id="47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474"/>
    <w:bookmarkStart w:id="475" w:name="X6089a8ce1ea95108ea11acfde33eb7f2f54c1db"/>
    <w:p>
      <w:pPr>
        <w:pStyle w:val="Ttulo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Textoindependiente"/>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w:t>
      </w:r>
    </w:p>
    <w:p>
      <w:pPr>
        <w:pStyle w:val="Textoindependiente"/>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475"/>
    <w:bookmarkStart w:id="476" w:name="X51f558443ba227d529ed5bbf01072195fb824e7"/>
    <w:p>
      <w:pPr>
        <w:pStyle w:val="Ttulo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Textoindependiente"/>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Textoindependiente"/>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Textoindependiente"/>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476"/>
    <w:bookmarkStart w:id="477" w:name="X71e7a0196648e61976fbed5be179d5db3238db6"/>
    <w:p>
      <w:pPr>
        <w:pStyle w:val="Ttulo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Textoindependiente"/>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Textoindependiente"/>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477"/>
    <w:bookmarkStart w:id="480" w:name="Xcaebb8ada004bf343b3b8624e1e4199f4b80543"/>
    <w:p>
      <w:pPr>
        <w:pStyle w:val="Ttulo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Compact"/>
        <w:numPr>
          <w:ilvl w:val="0"/>
          <w:numId w:val="1102"/>
        </w:numPr>
      </w:pPr>
      <w:r>
        <w:t xml:space="preserve">casi todos los proyectos nacen de un cuello de botella institucional muy concreto;</w:t>
      </w:r>
    </w:p>
    <w:p>
      <w:pPr>
        <w:pStyle w:val="Compact"/>
        <w:numPr>
          <w:ilvl w:val="0"/>
          <w:numId w:val="1102"/>
        </w:numPr>
      </w:pPr>
      <w:r>
        <w:t xml:space="preserve">muchos combinan automatización con supervisión humana, en lugar de sustituirla;</w:t>
      </w:r>
    </w:p>
    <w:p>
      <w:pPr>
        <w:pStyle w:val="Compact"/>
        <w:numPr>
          <w:ilvl w:val="0"/>
          <w:numId w:val="1102"/>
        </w:numPr>
      </w:pPr>
      <w:r>
        <w:t xml:space="preserve">la IA aparece, pero no monopoliza el ecosistema;</w:t>
      </w:r>
    </w:p>
    <w:p>
      <w:pPr>
        <w:pStyle w:val="Compact"/>
        <w:numPr>
          <w:ilvl w:val="0"/>
          <w:numId w:val="1102"/>
        </w:numPr>
      </w:pPr>
      <w:r>
        <w:t xml:space="preserve">datos, interoperabilidad y trazabilidad pesan tanto como la interfaz visible;</w:t>
      </w:r>
    </w:p>
    <w:p>
      <w:pPr>
        <w:pStyle w:val="Compact"/>
        <w:numPr>
          <w:ilvl w:val="0"/>
          <w:numId w:val="1102"/>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Applications/quarto/share/formats/docx/warning.png" id="479"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480"/>
    <w:bookmarkStart w:id="481" w:name="práctica-en-editor-7"/>
    <w:p>
      <w:pPr>
        <w:pStyle w:val="Ttulo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103"/>
        </w:numPr>
      </w:pPr>
      <w:r>
        <w:t xml:space="preserve">problema original;</w:t>
      </w:r>
    </w:p>
    <w:p>
      <w:pPr>
        <w:pStyle w:val="Compact"/>
        <w:numPr>
          <w:ilvl w:val="0"/>
          <w:numId w:val="1103"/>
        </w:numPr>
      </w:pPr>
      <w:r>
        <w:t xml:space="preserve">usuario o institución principal;</w:t>
      </w:r>
    </w:p>
    <w:p>
      <w:pPr>
        <w:pStyle w:val="Compact"/>
        <w:numPr>
          <w:ilvl w:val="0"/>
          <w:numId w:val="1103"/>
        </w:numPr>
      </w:pPr>
      <w:r>
        <w:t xml:space="preserve">tecnología o arquitectura empleada;</w:t>
      </w:r>
    </w:p>
    <w:p>
      <w:pPr>
        <w:pStyle w:val="Compact"/>
        <w:numPr>
          <w:ilvl w:val="0"/>
          <w:numId w:val="1103"/>
        </w:numPr>
      </w:pPr>
      <w:r>
        <w:t xml:space="preserve">resultado verificable;</w:t>
      </w:r>
    </w:p>
    <w:p>
      <w:pPr>
        <w:pStyle w:val="Compact"/>
        <w:numPr>
          <w:ilvl w:val="0"/>
          <w:numId w:val="1103"/>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481"/>
    <w:bookmarkStart w:id="486" w:name="conclusiones-del-capítulo-10"/>
    <w:p>
      <w:pPr>
        <w:pStyle w:val="Ttulo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Applications/quarto/share/formats/docx/tip.png" id="48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04"/>
              </w:numPr>
            </w:pPr>
            <w:r>
              <w:t xml:space="preserve">el ecosistema legaltech peruano ya combina iniciativas privadas, corporativas y publicas;</w:t>
            </w:r>
          </w:p>
          <w:p>
            <w:pPr>
              <w:pStyle w:val="Compact"/>
              <w:numPr>
                <w:ilvl w:val="0"/>
                <w:numId w:val="1104"/>
              </w:numPr>
            </w:pPr>
            <w:r>
              <w:t xml:space="preserve">acceso a informacion, cumplimiento, fiscalizacion e interoperabilidad son frentes tan importantes como la IA generativa;</w:t>
            </w:r>
          </w:p>
          <w:p>
            <w:pPr>
              <w:pStyle w:val="Compact"/>
              <w:numPr>
                <w:ilvl w:val="0"/>
                <w:numId w:val="1104"/>
              </w:numPr>
            </w:pPr>
            <w:r>
              <w:t xml:space="preserve">los proyectos mas solidos parten de un problema operativo concreto y muestran resultados verificables;</w:t>
            </w:r>
          </w:p>
          <w:p>
            <w:pPr>
              <w:pStyle w:val="Compact"/>
              <w:numPr>
                <w:ilvl w:val="0"/>
                <w:numId w:val="1104"/>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Applications/quarto/share/formats/docx/caution.png" id="4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bookmarkEnd w:id="486"/>
    <w:bookmarkEnd w:id="487"/>
    <w:bookmarkStart w:id="493" w:name="tutoriales"/>
    <w:p>
      <w:pPr>
        <w:pStyle w:val="Ttulo1"/>
      </w:pPr>
      <w:r>
        <w:t xml:space="preserve">Tutoriales</w:t>
      </w:r>
    </w:p>
    <w:p>
      <w:pPr>
        <w:pStyle w:val="FirstParagraph"/>
      </w:pPr>
      <w:r>
        <w:t xml:space="preserve">Los tutoriales cumplen una función instrumental dentro del manual: no reemplazan la sesión principal, pero sí reducen la fricción técnica que suele aparecer cuando una práctica depende de tener listo un entorno de trabajo, un historial verificable de cambios o una vía clara de publicación. En un curso como este, esa infraestructura no es un detalle logístico; forma parte del aprendizaje mismo, porque condiciona cuánto tiempo puede dedicarse al problema jurídico y cuánto termina gastándose en desbloqueos básicos del entorno</w:t>
      </w:r>
      <w:r>
        <w:t xml:space="preserve"> </w:t>
      </w:r>
      <w:r>
        <w:t xml:space="preserve">(</w:t>
      </w:r>
      <w:hyperlink w:anchor="ref-pythonfaq2026">
        <w:r>
          <w:rPr>
            <w:rStyle w:val="Hipervnculo"/>
          </w:rPr>
          <w:t xml:space="preserve">Python Documentation 2026b</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Conviene leer esta parte con una expectativa distinta a la de los capítulos de sesión. Aquí el objetivo no es desarrollar una gran discusión conceptual, sino dejar resueltos varios umbrales mínimos de trabajo: instalar una herramienta, reconocer qué hace, entender por qué el curso la usa y evitar los errores más comunes cuando llega el momento de practicar. Esa lógica más secuencial no la vuelve secundaria. Al contrario, permite que la práctica principal del curso sea más estable, más verificable y menos dependiente de improvisaciones</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Applications/quarto/share/formats/docx/note.png" id="48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Textoindependiente"/>
            </w:pPr>
            <w:pPr>
              <w:spacing w:before="16"/>
            </w:pPr>
            <w:r>
              <w:t xml:space="preserve">Si en una sesión te atoras con una instalación, un comando, una carpeta del repositorio o un flujo de trabajo con Git y GitHub, vuelve a esta parte. Los tutoriales están pensados como material de consulta recurrente para que el tiempo de clase pueda concentrarse en análisis, práctica y toma de decisiones, no en desbloqueos técnicos de último minuto</w:t>
            </w:r>
            <w:r>
              <w:t xml:space="preserve"> </w:t>
            </w:r>
            <w:r>
              <w:t xml:space="preserve">(</w:t>
            </w:r>
            <w:hyperlink w:anchor="ref-pythonversions2026">
              <w:r>
                <w:rPr>
                  <w:rStyle w:val="Hipervnculo"/>
                </w:rPr>
                <w:t xml:space="preserve">Python.org 2026</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Textoindependiente"/>
            </w:pPr>
            <w:pPr>
              <w:spacing w:after="16"/>
            </w:pPr>
            <w:r>
              <w:t xml:space="preserve">La mejor forma de usarlos es preventiva: revísalos antes de necesitar la herramienta, no solo cuando algo ya falló. Leerlos después también sirve, pero en ese punto la atención suele estar capturada por el problema inmediato y no por la lógica general del flujo de trabajo.</w:t>
            </w:r>
          </w:p>
          <w:p/>
        </w:tc>
      </w:tr>
    </w:tbl>
    <w:bookmarkStart w:id="490" w:name="qué-encontrarás-aquí"/>
    <w:p>
      <w:pPr>
        <w:pStyle w:val="Ttulo2"/>
      </w:pPr>
      <w:r>
        <w:t xml:space="preserve">¿Qué encontrarás aquí?</w:t>
      </w:r>
    </w:p>
    <w:p>
      <w:pPr>
        <w:pStyle w:val="FirstParagraph"/>
      </w:pPr>
      <w:r>
        <w:t xml:space="preserve">Esta parte reúne cinco apoyos concretos. Python aparece porque combina una sintaxis legible con un ecosistema abierto y estable; Visual Studio Code porque concentra edición, terminal y control de cambios en un mismo entorno; Git y GitHub porque convierten cambios dispersos en historial trazable; las licencias porque la reutilización digital no se agota en que algo sea visible en línea; y GitHub Pages porque permite publicar desde el mismo repositorio donde el trabajo fue escrito y versionado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bain2007softwarelibre2">
        <w:r>
          <w:rPr>
            <w:rStyle w:val="Hipervnculo"/>
          </w:rPr>
          <w:t xml:space="preserve">Bain et al. 2007b</w:t>
        </w:r>
      </w:hyperlink>
      <w:r>
        <w:t xml:space="preserve">;</w:t>
      </w:r>
      <w:r>
        <w:t xml:space="preserve"> </w:t>
      </w:r>
      <w:hyperlink w:anchor="ref-githubpages2026">
        <w:r>
          <w:rPr>
            <w:rStyle w:val="Hipervnculo"/>
          </w:rPr>
          <w:t xml:space="preserve">GitHub Docs 2026d</w:t>
        </w:r>
      </w:hyperlink>
      <w:r>
        <w:t xml:space="preserve">;</w:t>
      </w:r>
      <w:r>
        <w:t xml:space="preserve"> </w:t>
      </w:r>
      <w:hyperlink w:anchor="ref-vscodegettingstarted2026">
        <w:r>
          <w:rPr>
            <w:rStyle w:val="Hipervnculo"/>
          </w:rPr>
          <w:t xml:space="preserve">Visual Studio Code Documentation 2026c</w:t>
        </w:r>
      </w:hyperlink>
      <w:r>
        <w:t xml:space="preserve">)</w:t>
      </w:r>
      <w:r>
        <w:t xml:space="preserve">.</w:t>
      </w:r>
    </w:p>
    <w:p>
      <w:pPr>
        <w:pStyle w:val="Compact"/>
        <w:numPr>
          <w:ilvl w:val="0"/>
          <w:numId w:val="1105"/>
        </w:numPr>
      </w:pPr>
      <w:r>
        <w:t xml:space="preserve">instalación de Python;</w:t>
      </w:r>
    </w:p>
    <w:p>
      <w:pPr>
        <w:pStyle w:val="Compact"/>
        <w:numPr>
          <w:ilvl w:val="0"/>
          <w:numId w:val="1105"/>
        </w:numPr>
      </w:pPr>
      <w:r>
        <w:t xml:space="preserve">instalación y configuración básica de Visual Studio Code;</w:t>
      </w:r>
    </w:p>
    <w:p>
      <w:pPr>
        <w:pStyle w:val="Compact"/>
        <w:numPr>
          <w:ilvl w:val="0"/>
          <w:numId w:val="1105"/>
        </w:numPr>
      </w:pPr>
      <w:r>
        <w:t xml:space="preserve">Git y GitHub como infraestructura mínima de trabajo;</w:t>
      </w:r>
    </w:p>
    <w:p>
      <w:pPr>
        <w:pStyle w:val="Compact"/>
        <w:numPr>
          <w:ilvl w:val="0"/>
          <w:numId w:val="1105"/>
        </w:numPr>
      </w:pPr>
      <w:r>
        <w:t xml:space="preserve">licencias y reutilización responsable;</w:t>
      </w:r>
    </w:p>
    <w:p>
      <w:pPr>
        <w:pStyle w:val="Compact"/>
        <w:numPr>
          <w:ilvl w:val="0"/>
          <w:numId w:val="1105"/>
        </w:numPr>
      </w:pPr>
      <w:r>
        <w:t xml:space="preserve">publicación con GitHub Pages.</w:t>
      </w:r>
    </w:p>
    <w:bookmarkEnd w:id="490"/>
    <w:bookmarkStart w:id="491" w:name="criterio-de-lectura"/>
    <w:p>
      <w:pPr>
        <w:pStyle w:val="Ttulo2"/>
      </w:pPr>
      <w:r>
        <w:t xml:space="preserve">Criterio de lectura</w:t>
      </w:r>
    </w:p>
    <w:p>
      <w:pPr>
        <w:pStyle w:val="FirstParagraph"/>
      </w:pPr>
      <w:r>
        <w:t xml:space="preserve">Estos tutoriales asumen menos conocimientos previos que los capítulos de sesión y avanzan con una lógica más secuencial. El objetivo no es formar especialistas en administración de sistemas ni en desarrollo web, sino asegurar una base técnica suficiente para que la práctica jurídica con tecnología sea verificable, mantenible y responsable</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Cada tutorial intenta hacer cuatro cosas al mismo tiempo. Primero, contar una historia breve de la herramienta para evitar que se sienta como una pieza aislada del ecosistema digital. Segundo, explicar por qué el curso la necesita. Tercero, ofrecer un paso a paso lo bastante concreto como para que puedas reproducirlo por tu cuenta. Y cuarto, señalar en qué conviene fijarse para detectar problemas antes de que se vuelvan bloqueos mayores.</w:t>
      </w:r>
    </w:p>
    <w:p>
      <w:pPr>
        <w:pStyle w:val="Textoindependiente"/>
      </w:pPr>
      <w:r>
        <w:t xml:space="preserve">No hace falta memorizar cada detalle. Sí hace falta familiarizarse con ciertas preguntas básicas: dónde está el archivo correcto, qué comando ejecuta realmente lo que quiero hacer, cómo verifico si un cambio quedó guardado, y qué evidencia deja el proceso. Buena parte del trabajo en Legal Tech depende de desarrollar esa clase de atención técnica mínima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bookmarkEnd w:id="491"/>
    <w:bookmarkStart w:id="492" w:name="orden-sugerido"/>
    <w:p>
      <w:pPr>
        <w:pStyle w:val="Ttulo2"/>
      </w:pPr>
      <w:r>
        <w:t xml:space="preserve">Orden sugerido</w:t>
      </w:r>
    </w:p>
    <w:p>
      <w:pPr>
        <w:pStyle w:val="FirstParagraph"/>
      </w:pPr>
      <w:r>
        <w:t xml:space="preserve">Aunque los tutoriales pueden consultarse por separado, conviene seguir un orden simple cuando recién empiezas:</w:t>
      </w:r>
    </w:p>
    <w:p>
      <w:pPr>
        <w:pStyle w:val="Compact"/>
        <w:numPr>
          <w:ilvl w:val="0"/>
          <w:numId w:val="1106"/>
        </w:numPr>
      </w:pPr>
      <w:r>
        <w:t xml:space="preserve">instala Python para tener el entorno de ejecución listo;</w:t>
      </w:r>
    </w:p>
    <w:p>
      <w:pPr>
        <w:pStyle w:val="Compact"/>
        <w:numPr>
          <w:ilvl w:val="0"/>
          <w:numId w:val="1106"/>
        </w:numPr>
      </w:pPr>
      <w:r>
        <w:t xml:space="preserve">prepara Visual Studio Code para editar y ejecutar sin salir del mismo espacio;</w:t>
      </w:r>
    </w:p>
    <w:p>
      <w:pPr>
        <w:pStyle w:val="Compact"/>
        <w:numPr>
          <w:ilvl w:val="0"/>
          <w:numId w:val="1106"/>
        </w:numPr>
      </w:pPr>
      <w:r>
        <w:t xml:space="preserve">revisa Git y GitHub para no perder trazabilidad del trabajo;</w:t>
      </w:r>
    </w:p>
    <w:p>
      <w:pPr>
        <w:pStyle w:val="Compact"/>
        <w:numPr>
          <w:ilvl w:val="0"/>
          <w:numId w:val="1106"/>
        </w:numPr>
      </w:pPr>
      <w:r>
        <w:t xml:space="preserve">mira licencias y reutilización cuando empieces a usar materiales ajenos;</w:t>
      </w:r>
    </w:p>
    <w:p>
      <w:pPr>
        <w:pStyle w:val="Compact"/>
        <w:numPr>
          <w:ilvl w:val="0"/>
          <w:numId w:val="1106"/>
        </w:numPr>
      </w:pPr>
      <w:r>
        <w:t xml:space="preserve">usa GitHub Pages cuando llegue el momento de publicar un sitio.</w:t>
      </w:r>
    </w:p>
    <w:p>
      <w:pPr>
        <w:pStyle w:val="FirstParagraph"/>
      </w:pPr>
      <w:r>
        <w:t xml:space="preserve">Ese orden no es arbitrario. Va desde la base mínima de ejecución local hasta la publicación y circulación pública de resultados.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bookmarkEnd w:id="492"/>
    <w:bookmarkEnd w:id="493"/>
    <w:bookmarkStart w:id="508" w:name="tutorial-instalar-python"/>
    <w:p>
      <w:pPr>
        <w:pStyle w:val="Ttulo1"/>
      </w:pPr>
      <w:r>
        <w:t xml:space="preserve">Tutorial: Instalar Python</w:t>
      </w:r>
    </w:p>
    <w:bookmarkStart w:id="494" w:name="para-qué-sirve-este-tutorial"/>
    <w:p>
      <w:pPr>
        <w:pStyle w:val="Ttulo2"/>
      </w:pPr>
      <w:r>
        <w:t xml:space="preserve">¿Para qué sirve este tutorial?</w:t>
      </w:r>
    </w:p>
    <w:p>
      <w:pPr>
        <w:pStyle w:val="FirstParagraph"/>
      </w:pPr>
      <w:r>
        <w:t xml:space="preserve">Este tutorial no reemplaza el capítulo donde ya se explicó qué es Python, por qué importa en Legal Tech y cómo empezar a pensar con variables, texto 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Su función es más concreta: dejar preparado un entorno estable para que esos ejercicios no se queden en teoría. Aquí el centro no es la sintaxis, sino la instalación, la verificación del intérprete y las pequeñas decisiones prácticas que suelen bloquear a quien recién empieza.</w:t>
      </w:r>
    </w:p>
    <w:bookmarkEnd w:id="494"/>
    <w:bookmarkStart w:id="497" w:name="una-historia-breve-antes-de-instalar"/>
    <w:p>
      <w:pPr>
        <w:pStyle w:val="Ttulo2"/>
      </w:pPr>
      <w:r>
        <w:t xml:space="preserve">Una historia breve antes de instalar</w:t>
      </w:r>
    </w:p>
    <w:p>
      <w:pPr>
        <w:pStyle w:val="FirstParagraph"/>
      </w:pPr>
      <w:r>
        <w:t xml:space="preserve">Python tiene una historia suficientemente larga como para no ser una moda, pero también lo bastante viva como para no sentirse como un legado inmóvil. La documentación oficial recuerda que Guido van Rossum empezó a desarrollarlo a inicios de la década de 1990 como sucesor de ABC, con la idea de conservar legibilidad sin renunciar a la utilidad práctica</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faq2026">
        <w:r>
          <w:rPr>
            <w:rStyle w:val="Hipervnculo"/>
          </w:rPr>
          <w:t xml:space="preserve">2026b</w:t>
        </w:r>
      </w:hyperlink>
      <w:r>
        <w:t xml:space="preserve">)</w:t>
      </w:r>
      <w:r>
        <w:t xml:space="preserve">. Esa combinación ayuda a entender por qué el lenguaje se volvió tan atractivo para docencia, automatización y análisis de datos: obliga menos a pelear con la sintaxis y permite concentrarse antes en el problema.</w:t>
      </w:r>
    </w:p>
    <w:p>
      <w:pPr>
        <w:pStyle w:val="Textoindependiente"/>
      </w:pPr>
      <w:r>
        <w:t xml:space="preserve">La anécdota más conocida sigue siendo útil. El nombre “Python” no viene de la serpiente, sino de</w:t>
      </w:r>
      <w:r>
        <w:t xml:space="preserve"> </w:t>
      </w:r>
      <w:r>
        <w:rPr>
          <w:i/>
          <w:iCs/>
        </w:rPr>
        <w:t xml:space="preserve">Monty Python’s Flying Circus</w:t>
      </w:r>
      <w:r>
        <w:t xml:space="preserve">, porque van Rossum quería un nombre breve, distintivo y algo enigmático</w:t>
      </w:r>
      <w:r>
        <w:t xml:space="preserve"> </w:t>
      </w:r>
      <w:r>
        <w:t xml:space="preserve">(</w:t>
      </w:r>
      <w:hyperlink w:anchor="ref-pythonfaq2026">
        <w:r>
          <w:rPr>
            <w:rStyle w:val="Hipervnculo"/>
          </w:rPr>
          <w:t xml:space="preserve">Python Documentation 2026b</w:t>
        </w:r>
      </w:hyperlink>
      <w:r>
        <w:t xml:space="preserve">)</w:t>
      </w:r>
      <w:r>
        <w:t xml:space="preserve">. Es un detalle menor, pero recuerda algo importante para este manual: incluso las herramientas hoy centrales en análisis, automatización e inteligencia artificial empezaron como decisiones humanas bastante concretas, no como monumentos técnicos ya cerrados.</w:t>
      </w:r>
    </w:p>
    <w:p>
      <w:pPr>
        <w:pStyle w:val="Textoindependiente"/>
      </w:pPr>
      <w:r>
        <w:t xml:space="preserve">Por eso este tutorial conviene leerlo como una prolongación material del capítulo 2. Allí ya apareció Python como lenguaje de entrada; aquí aparece como infraestructura mínima de trabajo. Si la instalación falla, el problema no es intelectual sino operativo. Y sin resolver ese piso, el aprendizaje posterior se vuelve innecesariamente áspero.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Applications/quarto/share/formats/docx/important.png" id="49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Textoindependiente"/>
            </w:pPr>
            <w:pPr>
              <w:spacing w:before="16" w:after="16"/>
            </w:pPr>
            <w:r>
              <w:t xml:space="preserve">Al terminar, deberías poder abrir una terminal, comprobar qué comando invoca Python en tu sistema y ejecutar un archivo</w:t>
            </w:r>
            <w:r>
              <w:t xml:space="preserve"> </w:t>
            </w:r>
            <w:r>
              <w:rPr>
                <w:rStyle w:val="VerbatimChar"/>
              </w:rPr>
              <w:t xml:space="preserve">.py</w:t>
            </w:r>
            <w:r>
              <w:t xml:space="preserve"> </w:t>
            </w:r>
            <w:r>
              <w:t xml:space="preserve">propio sin ambigüedades sobre carpetas, nombres o versiones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w:t>
            </w:r>
          </w:p>
          <w:p/>
        </w:tc>
      </w:tr>
    </w:tbl>
    <w:bookmarkEnd w:id="497"/>
    <w:bookmarkStart w:id="498" w:name="antes-de-descargar-nada"/>
    <w:p>
      <w:pPr>
        <w:pStyle w:val="Ttulo2"/>
      </w:pPr>
      <w:r>
        <w:t xml:space="preserve">Antes de descargar nada</w:t>
      </w:r>
    </w:p>
    <w:p>
      <w:pPr>
        <w:pStyle w:val="FirstParagraph"/>
      </w:pPr>
      <w:r>
        <w:t xml:space="preserve">Antes de instalar, conviene detenerse en tres preguntas muy simples. La primera es qué sistema operativo estás usando, porque Windows, macOS y Linux no siempre llaman al ejecutable de la misma manera. La segunda es si tu equipo ya tiene alguna versión previa de Python, porque a veces el problema no es la ausencia del lenguaje sino la coexistencia de dos instalaciones distintas. La tercera es dónde guardarás tus primeros archivos, porque una gran cantidad de errores iniciales surge no de Python, sino de haber ejecutado la terminal en una carpeta distinta de la que se creía.</w:t>
      </w:r>
    </w:p>
    <w:p>
      <w:pPr>
        <w:pStyle w:val="Textoindependiente"/>
      </w:pPr>
      <w:r>
        <w:t xml:space="preserve">Ese pequeño examen previo evita un malentendido frecuente: pensar que instalar equivale automáticamente a poder trabajar. En realidad, entre una descarga correcta y un entorno utilizable todavía hay que verificar rutas, nombres de comando y ubicación de archivos.</w:t>
      </w:r>
    </w:p>
    <w:bookmarkEnd w:id="498"/>
    <w:bookmarkStart w:id="499" w:name="X5627d81965e8d3fa03932317cf87fcb730c9966"/>
    <w:p>
      <w:pPr>
        <w:pStyle w:val="Ttulo2"/>
      </w:pPr>
      <w:r>
        <w:t xml:space="preserve">Paso 1. Descarga una versión estable desde el sitio oficial</w:t>
      </w:r>
    </w:p>
    <w:p>
      <w:pPr>
        <w:pStyle w:val="FirstParagraph"/>
      </w:pPr>
      <w:r>
        <w:t xml:space="preserve">La recomendación más sobria es usar una versión estable reciente descargada desde los canales oficiales de Python. La cronología pública del proyecto muestra que el lenguaje sigue evolucionando de manera sostenida y que las versiones nuevas incorporan mejoras de rendimiento, usabilidad e interfaz interactiva</w:t>
      </w:r>
      <w:r>
        <w:t xml:space="preserve"> </w:t>
      </w:r>
      <w:r>
        <w:t xml:space="preserve">(</w:t>
      </w:r>
      <w:hyperlink w:anchor="ref-pythonversions2026">
        <w:r>
          <w:rPr>
            <w:rStyle w:val="Hipervnculo"/>
          </w:rPr>
          <w:t xml:space="preserve">Python.org 2026</w:t>
        </w:r>
      </w:hyperlink>
      <w:r>
        <w:t xml:space="preserve">;</w:t>
      </w:r>
      <w:r>
        <w:t xml:space="preserve"> </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Para el curso no hace falta perseguir la novedad por sí misma, pero sí conviene evitar instaladores desactualizados encontrados al azar en blogs, foros o espejos desconocidos.</w:t>
      </w:r>
    </w:p>
    <w:p>
      <w:pPr>
        <w:pStyle w:val="Textoindependiente"/>
      </w:pPr>
      <w:r>
        <w:t xml:space="preserve">Durante la instalación, presta atención a dos cosas que suelen pasarse por alto. La primera es si el instalador deja Python accesible desde la terminal. La segunda es la carpeta donde queda instalado. No necesitas memorizar esa ruta, pero sí saber que existe, porque cuando la terminal no encuentra el ejecutable casi siempre el diagnóstico vuelve a ese punto.</w:t>
      </w:r>
    </w:p>
    <w:p>
      <w:pPr>
        <w:pStyle w:val="Textoindependiente"/>
      </w:pPr>
      <w:r>
        <w:t xml:space="preserve">No vale la pena instalar versiones beta, nightly o de prueba para una práctica introductoria. El curso necesita estabilidad y ejemplos previsibles, no experimentación con una rama todavía inestable del lenguaje.</w:t>
      </w:r>
    </w:p>
    <w:bookmarkEnd w:id="499"/>
    <w:bookmarkStart w:id="500" w:name="Xe060f30faf33bda371abd671494320f46d59a82"/>
    <w:p>
      <w:pPr>
        <w:pStyle w:val="Ttulo2"/>
      </w:pPr>
      <w:r>
        <w:t xml:space="preserve">Paso 2. Comprueba qué comando usa tu sistema</w:t>
      </w:r>
    </w:p>
    <w:p>
      <w:pPr>
        <w:pStyle w:val="FirstParagraph"/>
      </w:pPr>
      <w:r>
        <w:t xml:space="preserve">Una vez terminada la instalación, la primera verificación real ocurre en la terminal. En algunos equipos el comando correcto será</w:t>
      </w:r>
      <w:r>
        <w:t xml:space="preserve"> </w:t>
      </w:r>
      <w:r>
        <w:rPr>
          <w:rStyle w:val="VerbatimChar"/>
        </w:rPr>
        <w:t xml:space="preserve">python</w:t>
      </w:r>
      <w:r>
        <w:t xml:space="preserve">; en otros,</w:t>
      </w:r>
      <w:r>
        <w:t xml:space="preserve"> </w:t>
      </w:r>
      <w:r>
        <w:rPr>
          <w:rStyle w:val="VerbatimChar"/>
        </w:rPr>
        <w:t xml:space="preserve">python3</w:t>
      </w:r>
      <w:r>
        <w:t xml:space="preserve">. La diferencia no es trivial, porque un estudiante puede tener Python bien instalado y, aun así, creer que algo falló solo porque invocó el nombre equivocado del ejecutable</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Empieza por:</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eso no funciona, prueba:</w:t>
      </w:r>
    </w:p>
    <w:p>
      <w:pPr>
        <w:pStyle w:val="SourceCode"/>
      </w:pPr>
      <w:r>
        <w:rPr>
          <w:rStyle w:val="ExtensionTok"/>
        </w:rPr>
        <w:t xml:space="preserve">python3</w:t>
      </w:r>
      <w:r>
        <w:rPr>
          <w:rStyle w:val="NormalTok"/>
        </w:rPr>
        <w:t xml:space="preserve"> </w:t>
      </w:r>
      <w:r>
        <w:rPr>
          <w:rStyle w:val="AttributeTok"/>
        </w:rPr>
        <w:t xml:space="preserve">--version</w:t>
      </w:r>
    </w:p>
    <w:p>
      <w:pPr>
        <w:pStyle w:val="FirstParagraph"/>
      </w:pPr>
      <w:r>
        <w:t xml:space="preserve">Lo importante aquí no es solo ver un número de versión, sino interpretar lo que significa. Si aparece una versión, el sistema ya sabe dónde encontrar el intérprete. Si aparece un mensaje como</w:t>
      </w:r>
      <w:r>
        <w:t xml:space="preserve"> </w:t>
      </w:r>
      <w:r>
        <w:rPr>
          <w:rStyle w:val="VerbatimChar"/>
        </w:rPr>
        <w:t xml:space="preserve">command not found</w:t>
      </w:r>
      <w:r>
        <w:t xml:space="preserve">, entonces todavía no tienes resuelto el punto mínimo de trabajo. En macOS y Linux conviene hacer además una comprobación más:</w:t>
      </w:r>
    </w:p>
    <w:p>
      <w:pPr>
        <w:pStyle w:val="SourceCode"/>
      </w:pPr>
      <w:r>
        <w:rPr>
          <w:rStyle w:val="FunctionTok"/>
        </w:rPr>
        <w:t xml:space="preserve">which</w:t>
      </w:r>
      <w:r>
        <w:rPr>
          <w:rStyle w:val="NormalTok"/>
        </w:rPr>
        <w:t xml:space="preserve"> python</w:t>
      </w:r>
    </w:p>
    <w:p>
      <w:pPr>
        <w:pStyle w:val="FirstParagraph"/>
      </w:pPr>
      <w:r>
        <w:t xml:space="preserve">o, si corresponde:</w:t>
      </w:r>
    </w:p>
    <w:p>
      <w:pPr>
        <w:pStyle w:val="SourceCode"/>
      </w:pPr>
      <w:r>
        <w:rPr>
          <w:rStyle w:val="FunctionTok"/>
        </w:rPr>
        <w:t xml:space="preserve">which</w:t>
      </w:r>
      <w:r>
        <w:rPr>
          <w:rStyle w:val="NormalTok"/>
        </w:rPr>
        <w:t xml:space="preserve"> python3</w:t>
      </w:r>
    </w:p>
    <w:p>
      <w:pPr>
        <w:pStyle w:val="FirstParagraph"/>
      </w:pPr>
      <w:r>
        <w:t xml:space="preserve">Ese paso sirve para identificar qué ejecutable concreto está respondiendo. Cuando existen varias instalaciones,</w:t>
      </w:r>
      <w:r>
        <w:t xml:space="preserve"> </w:t>
      </w:r>
      <w:r>
        <w:rPr>
          <w:rStyle w:val="VerbatimChar"/>
        </w:rPr>
        <w:t xml:space="preserve">which</w:t>
      </w:r>
      <w:r>
        <w:t xml:space="preserve"> </w:t>
      </w:r>
      <w:r>
        <w:t xml:space="preserve">ayuda a no trabajar a ciegas. En Windows el equivalente habitual es:</w:t>
      </w:r>
    </w:p>
    <w:p>
      <w:pPr>
        <w:pStyle w:val="SourceCode"/>
      </w:pPr>
      <w:r>
        <w:rPr>
          <w:rStyle w:val="FunctionTok"/>
        </w:rPr>
        <w:t xml:space="preserve">where</w:t>
      </w:r>
      <w:r>
        <w:rPr>
          <w:rStyle w:val="NormalTok"/>
        </w:rPr>
        <w:t xml:space="preserve"> python</w:t>
      </w:r>
    </w:p>
    <w:p>
      <w:pPr>
        <w:pStyle w:val="FirstParagraph"/>
      </w:pPr>
      <w:r>
        <w:t xml:space="preserve">No es un dato decorativo. Saber qué versión llama tu terminal evita confundir la instalación del curso con otra previa del sistema.</w:t>
      </w:r>
    </w:p>
    <w:bookmarkEnd w:id="500"/>
    <w:bookmarkStart w:id="501" w:name="X4463ef8e31d1de0e35c02ad0fd8d5e283de71cd"/>
    <w:p>
      <w:pPr>
        <w:pStyle w:val="Ttulo2"/>
      </w:pPr>
      <w:r>
        <w:t xml:space="preserve">Paso 3. Prepara una carpeta de trabajo visible</w:t>
      </w:r>
    </w:p>
    <w:p>
      <w:pPr>
        <w:pStyle w:val="FirstParagraph"/>
      </w:pPr>
      <w:r>
        <w:t xml:space="preserve">El siguiente paso parece menor, pero tiene bastante importancia pedagógica: crea una carpeta exclusiva para tus primeras pruebas del curso. La programación se aprende mejor cuando el entorno reduce fricción. Si tus archivos aparecen mezclados con descargas, documentos viejos o carpetas ambiguas, el problema técnico se vuelve también un problema de orientación.</w:t>
      </w:r>
    </w:p>
    <w:p>
      <w:pPr>
        <w:pStyle w:val="Textoindependiente"/>
      </w:pPr>
      <w:r>
        <w:t xml:space="preserve">Puedes crear una carpeta como</w:t>
      </w:r>
      <w:r>
        <w:t xml:space="preserve"> </w:t>
      </w:r>
      <w:r>
        <w:rPr>
          <w:rStyle w:val="VerbatimChar"/>
        </w:rPr>
        <w:t xml:space="preserve">python-legaltech</w:t>
      </w:r>
      <w:r>
        <w:t xml:space="preserve"> </w:t>
      </w:r>
      <w:r>
        <w:t xml:space="preserve">o</w:t>
      </w:r>
      <w:r>
        <w:t xml:space="preserve"> </w:t>
      </w:r>
      <w:r>
        <w:rPr>
          <w:rStyle w:val="VerbatimChar"/>
        </w:rPr>
        <w:t xml:space="preserve">pruebas-python</w:t>
      </w:r>
      <w:r>
        <w:t xml:space="preserve"> </w:t>
      </w:r>
      <w:r>
        <w:t xml:space="preserve">y abrirla desde Visual Studio Code. Lo importante no es el nombre, sino la estabilidad del lugar. Una carpeta reconocible ayuda a responder tres preguntas cada vez que algo falla: dónde está el archivo, desde dónde se está ejecutando y si el cambio realmente quedó guardado.</w:t>
      </w:r>
    </w:p>
    <w:bookmarkEnd w:id="501"/>
    <w:bookmarkStart w:id="502" w:name="X92aabda36cf82cc74da115735160167091a15fb"/>
    <w:p>
      <w:pPr>
        <w:pStyle w:val="Ttulo2"/>
      </w:pPr>
      <w:r>
        <w:t xml:space="preserve">Paso 4. Ejecuta un archivo mínimo y verifica el ciclo completo</w:t>
      </w:r>
    </w:p>
    <w:p>
      <w:pPr>
        <w:pStyle w:val="FirstParagraph"/>
      </w:pPr>
      <w:r>
        <w:t xml:space="preserve">Crea en esa carpeta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p>
      <w:pPr>
        <w:pStyle w:val="FirstParagraph"/>
      </w:pPr>
      <w:r>
        <w:t xml:space="preserve">o, si tu sistema usa ese nombre:</w:t>
      </w:r>
    </w:p>
    <w:p>
      <w:pPr>
        <w:pStyle w:val="SourceCode"/>
      </w:pPr>
      <w:r>
        <w:rPr>
          <w:rStyle w:val="ExtensionTok"/>
        </w:rPr>
        <w:t xml:space="preserve">python3</w:t>
      </w:r>
      <w:r>
        <w:rPr>
          <w:rStyle w:val="NormalTok"/>
        </w:rPr>
        <w:t xml:space="preserve"> hola.py</w:t>
      </w:r>
    </w:p>
    <w:p>
      <w:pPr>
        <w:pStyle w:val="FirstParagraph"/>
      </w:pPr>
      <w:r>
        <w:t xml:space="preserve">Aquí conviene mirar con cuidado tres detalles. Primero, que el archivo se llame de verdad</w:t>
      </w:r>
      <w:r>
        <w:t xml:space="preserve"> </w:t>
      </w:r>
      <w:r>
        <w:rPr>
          <w:rStyle w:val="VerbatimChar"/>
        </w:rPr>
        <w:t xml:space="preserve">hola.py</w:t>
      </w:r>
      <w:r>
        <w:t xml:space="preserve"> </w:t>
      </w:r>
      <w:r>
        <w:t xml:space="preserve">y no</w:t>
      </w:r>
      <w:r>
        <w:t xml:space="preserve"> </w:t>
      </w:r>
      <w:r>
        <w:rPr>
          <w:rStyle w:val="VerbatimChar"/>
        </w:rPr>
        <w:t xml:space="preserve">hola.py.txt</w:t>
      </w:r>
      <w:r>
        <w:t xml:space="preserve">. Segundo, que la terminal esté ubicada en la misma carpeta donde guardaste el archivo. Tercero, que el resultado en pantalla coincida con el texto esperado. Si las tres condiciones se cumplen, ya no estás ante una instalación abstracta, sino ante un entorno que puede escribir, guardar, ejecutar y mostrar resultados.</w:t>
      </w:r>
    </w:p>
    <w:p>
      <w:pPr>
        <w:pStyle w:val="Textoindependiente"/>
      </w:pPr>
      <w:r>
        <w:t xml:space="preserve">Ese momento merece más atención de la que parece. Un archivo tan pequeño ya pone en juego cuatro piezas de infraestructura: editor, sistema de archivos, terminal e intérprete. Si una de ellas falla, el problema rara vez está en la lógica del programa; suele estar en la coordinación entre herramientas.</w:t>
      </w:r>
    </w:p>
    <w:bookmarkEnd w:id="502"/>
    <w:bookmarkStart w:id="503" w:name="X3955d4fca52d7d25d6de23a93c569b5ac21bc92"/>
    <w:p>
      <w:pPr>
        <w:pStyle w:val="Ttulo2"/>
      </w:pPr>
      <w:r>
        <w:t xml:space="preserve">Paso 5. Haz una segunda prueba para descartar que haya sido suerte</w:t>
      </w:r>
    </w:p>
    <w:p>
      <w:pPr>
        <w:pStyle w:val="FirstParagraph"/>
      </w:pPr>
      <w:r>
        <w:t xml:space="preserve">Conviene modificar el archivo y volver a ejecutarlo:</w:t>
      </w:r>
    </w:p>
    <w:p>
      <w:pPr>
        <w:pStyle w:val="SourceCode"/>
      </w:pPr>
      <w:r>
        <w:rPr>
          <w:rStyle w:val="NormalTok"/>
        </w:rPr>
        <w:t xml:space="preserve">nombre_curso </w:t>
      </w:r>
      <w:r>
        <w:rPr>
          <w:rStyle w:val="OperatorTok"/>
        </w:rPr>
        <w:t xml:space="preserve">=</w:t>
      </w:r>
      <w:r>
        <w:rPr>
          <w:rStyle w:val="NormalTok"/>
        </w:rPr>
        <w:t xml:space="preserve"> </w:t>
      </w:r>
      <w:r>
        <w:rPr>
          <w:rStyle w:val="StringTok"/>
        </w:rPr>
        <w:t xml:space="preserve">"Legal Tech"</w:t>
      </w:r>
      <w:r>
        <w:br/>
      </w:r>
      <w:r>
        <w:rPr>
          <w:rStyle w:val="BuiltInTok"/>
        </w:rPr>
        <w:t xml:space="preserve">print</w:t>
      </w:r>
      <w:r>
        <w:rPr>
          <w:rStyle w:val="NormalTok"/>
        </w:rPr>
        <w:t xml:space="preserve">(</w:t>
      </w:r>
      <w:r>
        <w:rPr>
          <w:rStyle w:val="StringTok"/>
        </w:rPr>
        <w:t xml:space="preserve">"Curso:"</w:t>
      </w:r>
      <w:r>
        <w:rPr>
          <w:rStyle w:val="NormalTok"/>
        </w:rPr>
        <w:t xml:space="preserve">, nombre_curso)</w:t>
      </w:r>
    </w:p>
    <w:p>
      <w:pPr>
        <w:pStyle w:val="FirstParagraph"/>
      </w:pPr>
      <w:r>
        <w:t xml:space="preserve">La finalidad no es repetir el contenido del capítulo 2, donde ya se trabaja con variables y tipos, sino comprobar algo más básico: que puedes editar, guardar y volver a correr el script sin perder la ruta del archivo ni el comando correcto. El aprendizaje técnico depende mucho de ese ciclo corto de cambio y verificación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Si el resultado no cambia pese a haber editado el archivo, sospecha primero de un problema de guardado o de ubicación. Muchas veces el código correcto está en pantalla, pero la terminal sigue ejecutando otro archivo o una versión anterior.</w:t>
      </w:r>
    </w:p>
    <w:bookmarkEnd w:id="503"/>
    <w:bookmarkStart w:id="506" w:name="Xd89523afb85fc6fd472420d8e331fc326a96b34"/>
    <w:p>
      <w:pPr>
        <w:pStyle w:val="Ttulo2"/>
      </w:pPr>
      <w:r>
        <w:t xml:space="preserve">Qué conviene revisar cuando algo no sale bien</w:t>
      </w:r>
    </w:p>
    <w:p>
      <w:pPr>
        <w:pStyle w:val="FirstParagraph"/>
      </w:pPr>
      <w:r>
        <w:t xml:space="preserve">Cuando la instalación parece fallar, los errores suelen concentrarse en pocas zonas. A veces Python sí está instalado, pero la terminal no lo encuentra. A veces el comando correcto era</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 A veces el archivo existe, pero estás parado en otra carpeta. Y a veces el editor lo guardó con una extensión distinta de la esperada.</w:t>
      </w:r>
    </w:p>
    <w:p>
      <w:pPr>
        <w:pStyle w:val="Textoindependiente"/>
      </w:pPr>
      <w:r>
        <w:t xml:space="preserve">La regla más útil en ese punto es no corregir cinco cosas al mismo tiempo. Si cambias el comando, el archivo, la carpeta y el editor de una sola vez, luego no sabrás cuál de esas decisiones resolvió el problema. Conviene mover una pieza, volver a probar y leer el resultado con calma. Esa disciplina de aislar el fallo es parte de la alfabetización técnica del curso, no una molestia ajena a ella.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Applications/quarto/share/formats/docx/warning.png" id="50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Textoindependiente"/>
            </w:pPr>
            <w:pPr>
              <w:spacing w:before="16" w:after="16"/>
            </w:pPr>
            <w:r>
              <w:t xml:space="preserve">Revisa si la instalación quedó accesible desde la terminal, prueba con</w:t>
            </w:r>
            <w:r>
              <w:t xml:space="preserve"> </w:t>
            </w:r>
            <w:r>
              <w:rPr>
                <w:rStyle w:val="VerbatimChar"/>
              </w:rPr>
              <w:t xml:space="preserve">python3</w:t>
            </w:r>
            <w:r>
              <w:t xml:space="preserve"> </w:t>
            </w:r>
            <w:r>
              <w:t xml:space="preserve">si</w:t>
            </w:r>
            <w:r>
              <w:t xml:space="preserve"> </w:t>
            </w:r>
            <w:r>
              <w:rPr>
                <w:rStyle w:val="VerbatimChar"/>
              </w:rPr>
              <w:t xml:space="preserve">python</w:t>
            </w:r>
            <w:r>
              <w:t xml:space="preserve"> </w:t>
            </w:r>
            <w:r>
              <w:t xml:space="preserve">no responde, cierra y vuelve a abrir la terminal, y solo después considera reinstalar. En esta etapa, la mayoría de bloqueos son operativos y no conceptuales</w:t>
            </w:r>
            <w:r>
              <w:t xml:space="preserve"> </w:t>
            </w:r>
            <w:r>
              <w:t xml:space="preserve">(</w:t>
            </w:r>
            <w:hyperlink w:anchor="ref-pythonfaq2026">
              <w:r>
                <w:rPr>
                  <w:rStyle w:val="Hipervnculo"/>
                </w:rPr>
                <w:t xml:space="preserve">Python Documentation 2026b</w:t>
              </w:r>
            </w:hyperlink>
            <w:r>
              <w:t xml:space="preserve">)</w:t>
            </w:r>
            <w:r>
              <w:t xml:space="preserve">.</w:t>
            </w:r>
          </w:p>
          <w:p/>
        </w:tc>
      </w:tr>
    </w:tbl>
    <w:bookmarkEnd w:id="506"/>
    <w:bookmarkStart w:id="507" w:name="cierre"/>
    <w:p>
      <w:pPr>
        <w:pStyle w:val="Ttulo2"/>
      </w:pPr>
      <w:r>
        <w:t xml:space="preserve">Cierre</w:t>
      </w:r>
    </w:p>
    <w:p>
      <w:pPr>
        <w:pStyle w:val="FirstParagraph"/>
      </w:pPr>
      <w:r>
        <w:t xml:space="preserve">El propósito de este tutorial es modesto, pero decisivo. No pretende enseñar todavía a programar en sentido pleno; pretende impedir que los ejercicios del curso fracasen por una base mal instalada. El capítulo 2 ya mostró que Python sirve para pensar con más precisión una secuencia de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Este tutorial asegura que ese pensamiento pueda convertirse en práctica verificable.</w:t>
      </w:r>
    </w:p>
    <w:p>
      <w:pPr>
        <w:pStyle w:val="Textoindependiente"/>
      </w:pPr>
      <w:r>
        <w:t xml:space="preserve">Si quieres dejar el entorno todavía mejor preparado, conserva una carpeta fija para el curso, acostúmbrate a verificar la versión antes de sesiones importantes y mantén visible qué comando usa realmente tu sistema. Esa rutina pequeña reduce bastante la fricción de aprendizaje posterior.</w:t>
      </w:r>
    </w:p>
    <w:bookmarkEnd w:id="507"/>
    <w:bookmarkEnd w:id="508"/>
    <w:bookmarkStart w:id="522" w:name="tutorial-visual-studio-code"/>
    <w:p>
      <w:pPr>
        <w:pStyle w:val="Ttulo1"/>
      </w:pPr>
      <w:r>
        <w:t xml:space="preserve">Tutorial: Visual Studio Code</w:t>
      </w:r>
    </w:p>
    <w:bookmarkStart w:id="509" w:name="para-qué-sirve-este-tutorial-1"/>
    <w:p>
      <w:pPr>
        <w:pStyle w:val="Ttulo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 VS Code resulta útil aquí no por la cantidad de funciones que ofrece, sino porque reúne en un mismo lugar carpeta de proyecto, edición de archivos, terminal integrada y acceso al control de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 </w:t>
      </w:r>
      <w:hyperlink w:anchor="ref-vscodesourcecontrol2026">
        <w:r>
          <w:rPr>
            <w:rStyle w:val="Hipervnculo"/>
          </w:rPr>
          <w:t xml:space="preserve">2026b</w:t>
        </w:r>
      </w:hyperlink>
      <w:r>
        <w:t xml:space="preserve">)</w:t>
      </w:r>
      <w:r>
        <w:t xml:space="preserve">.</w:t>
      </w:r>
    </w:p>
    <w:bookmarkEnd w:id="509"/>
    <w:bookmarkStart w:id="510" w:name="una-historia-breve-antes-de-abrirlo"/>
    <w:p>
      <w:pPr>
        <w:pStyle w:val="Ttulo2"/>
      </w:pPr>
      <w:r>
        <w:t xml:space="preserve">Una historia breve antes de abrirlo</w:t>
      </w:r>
    </w:p>
    <w:p>
      <w:pPr>
        <w:pStyle w:val="FirstParagraph"/>
      </w:pPr>
      <w:r>
        <w:t xml:space="preserve">La historia oficial de VS Code es más interesante de lo que parece a primera vista. El equipo que lo creó cuenta que el proyecto comenzó con una pregunta bastante concreta: si era posible construir un editor basado en tecnologías web que no se sintiera como escribir dentro de un navegador</w:t>
      </w:r>
      <w:r>
        <w:t xml:space="preserve"> </w:t>
      </w:r>
      <w:r>
        <w:t xml:space="preserve">(</w:t>
      </w:r>
      <w:hyperlink w:anchor="ref-vscodehistory2016">
        <w:r>
          <w:rPr>
            <w:rStyle w:val="Hipervnculo"/>
          </w:rPr>
          <w:t xml:space="preserve">Visual Studio Code Blog 2016</w:t>
        </w:r>
      </w:hyperlink>
      <w:r>
        <w:t xml:space="preserve">)</w:t>
      </w:r>
      <w:r>
        <w:t xml:space="preserve">. Esa anécdota importa porque explica dos obsesiones que todavía se notan en el producto: rapidez y sensación de fluidez.</w:t>
      </w:r>
    </w:p>
    <w:p>
      <w:pPr>
        <w:pStyle w:val="Textoindependiente"/>
      </w:pPr>
      <w:r>
        <w:t xml:space="preserve">La misma entrada histórica recuerda que el primer preview público apareció en</w:t>
      </w:r>
      <w:r>
        <w:t xml:space="preserve"> </w:t>
      </w:r>
      <w:r>
        <w:rPr>
          <w:rStyle w:val="VerbatimChar"/>
        </w:rPr>
        <w:t xml:space="preserve">//build/ 2015</w:t>
      </w:r>
      <w:r>
        <w:t xml:space="preserve">, que pocos meses después el proyecto ya tenía un modelo de extensiones y marketplace, y que su desarrollo se abrió públicamente en 2015</w:t>
      </w:r>
      <w:r>
        <w:t xml:space="preserve"> </w:t>
      </w:r>
      <w:r>
        <w:t xml:space="preserve">(</w:t>
      </w:r>
      <w:hyperlink w:anchor="ref-vscodehistory2016">
        <w:r>
          <w:rPr>
            <w:rStyle w:val="Hipervnculo"/>
          </w:rPr>
          <w:t xml:space="preserve">Visual Studio Code Blog 2016</w:t>
        </w:r>
      </w:hyperlink>
      <w:r>
        <w:t xml:space="preserve">)</w:t>
      </w:r>
      <w:r>
        <w:t xml:space="preserve">. También subraya algo muy útil para este curso: desde temprano, VS Code fue pensado no solo para editar archivos, sino para navegar código, depurar y trabajar con Git en un mismo entorno</w:t>
      </w:r>
      <w:r>
        <w:t xml:space="preserve"> </w:t>
      </w:r>
      <w:r>
        <w:t xml:space="preserve">(</w:t>
      </w:r>
      <w:hyperlink w:anchor="ref-vscodehistory2016">
        <w:r>
          <w:rPr>
            <w:rStyle w:val="Hipervnculo"/>
          </w:rPr>
          <w:t xml:space="preserve">Visual Studio Code Blog 2016</w:t>
        </w:r>
      </w:hyperlink>
      <w:r>
        <w:t xml:space="preserve">)</w:t>
      </w:r>
      <w:r>
        <w:t xml:space="preserve">.</w:t>
      </w:r>
    </w:p>
    <w:p>
      <w:pPr>
        <w:pStyle w:val="Textoindependiente"/>
      </w:pPr>
      <w:r>
        <w:t xml:space="preserve">Esa combinación explica por qué el curso lo usa como editor recomendado. No es el único posible, pero sí uno particularmente adecuado para quien recién empieza y necesita ver en una sola interfaz la carpeta del proyecto, el archivo, la terminal y el historial de cambios.</w:t>
      </w:r>
    </w:p>
    <w:bookmarkEnd w:id="510"/>
    <w:bookmarkStart w:id="511" w:name="paso-1.-instala-el-editor"/>
    <w:p>
      <w:pPr>
        <w:pStyle w:val="Ttulo2"/>
      </w:pPr>
      <w:r>
        <w:t xml:space="preserve">Paso 1. Instala el editor</w:t>
      </w:r>
    </w:p>
    <w:p>
      <w:pPr>
        <w:pStyle w:val="FirstParagraph"/>
      </w:pPr>
      <w:r>
        <w:t xml:space="preserve">Descarga Visual Studio Code desde su sitio oficial e instálalo normalmente. La propia documentación de inicio lo presenta como un editor orientado a abrir carpetas de trabajo, editar archivos y combinar interfaz con terminal y control de versiones, que son justamente las operaciones que más vas a repetir en el curso</w:t>
      </w:r>
      <w:r>
        <w:t xml:space="preserve"> </w:t>
      </w:r>
      <w:r>
        <w:t xml:space="preserve">(</w:t>
      </w:r>
      <w:hyperlink w:anchor="ref-vscodegettingstarted2026">
        <w:r>
          <w:rPr>
            <w:rStyle w:val="Hipervnculo"/>
          </w:rPr>
          <w:t xml:space="preserve">Visual Studio Code Documentation 2026c</w:t>
        </w:r>
      </w:hyperlink>
      <w:r>
        <w:t xml:space="preserve">)</w:t>
      </w:r>
      <w:r>
        <w:t xml:space="preserve">.</w:t>
      </w:r>
    </w:p>
    <w:p>
      <w:pPr>
        <w:pStyle w:val="Textoindependiente"/>
      </w:pPr>
      <w:r>
        <w:t xml:space="preserve">Durante la instalación no hace falta activar veinte opciones ni personalizar cada detalle. Lo importante es que el editor quede accesible y que puedas abrirlo sin fricción. Si el instalador ofrece integración con el sistema para abrir carpetas o archivos desde el menú contextual, suele ser una comodidad útil, aunque no indispensable.</w:t>
      </w:r>
    </w:p>
    <w:bookmarkEnd w:id="511"/>
    <w:bookmarkStart w:id="514" w:name="paso-2.-abre-una-carpeta-de-trabajo"/>
    <w:p>
      <w:pPr>
        <w:pStyle w:val="Ttulo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 VS Code trabaja mejor cuando el proyecto se abre como carpeta o workspace, porque así el editor puede mostrar el contexto completo de archivos, rutas y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w:t>
      </w:r>
    </w:p>
    <w:p>
      <w:pPr>
        <w:pStyle w:val="Textoindependiente"/>
      </w:pPr>
      <w:r>
        <w:t xml:space="preserve">Aquí vale la pena detenerse un momento. Mucha gente principiante abre un archivo suelto, lo edita y luego se pierde cuando intenta ejecutar algo desde la terminal o versionarlo con Git. Abrir la carpeta completa evita ese problema porque convierte el proyecto en una unidad visible: archivos, subcarpetas, terminal y control de cambios parten del mismo lugar.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Applications/quarto/share/formats/docx/note.png" id="51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Textoindependiente"/>
            </w:pPr>
            <w:pPr>
              <w:spacing w:before="16" w:after="16"/>
            </w:pPr>
            <w:r>
              <w:t xml:space="preserve">Trabaja siempre con carpetas completas y no con archivos sueltos. Eso hace más fácil navegar, ejecutar comandos desde la raíz del proyecto y relacionar edición con versionado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chaconstraub2014progit">
              <w:r>
                <w:rPr>
                  <w:rStyle w:val="Hipervnculo"/>
                </w:rPr>
                <w:t xml:space="preserve">Chacon and Straub 2014</w:t>
              </w:r>
            </w:hyperlink>
            <w:r>
              <w:t xml:space="preserve">)</w:t>
            </w:r>
            <w:r>
              <w:t xml:space="preserve">.</w:t>
            </w:r>
          </w:p>
          <w:p/>
        </w:tc>
      </w:tr>
    </w:tbl>
    <w:bookmarkEnd w:id="514"/>
    <w:bookmarkStart w:id="515" w:name="paso-3.-usa-lo-esencial-del-editor"/>
    <w:p>
      <w:pPr>
        <w:pStyle w:val="Ttulo2"/>
      </w:pPr>
      <w:r>
        <w:t xml:space="preserve">Paso 3. Usa lo esencial del editor</w:t>
      </w:r>
    </w:p>
    <w:p>
      <w:pPr>
        <w:pStyle w:val="FirstParagraph"/>
      </w:pPr>
      <w:r>
        <w:t xml:space="preserve">Conviene familiarizarte con estas áreas básicas, porque la interfaz de VS Code está organizada precisamente para alternar entre exploración de archivos, edición, terminal y control de cambios sin abandonar el mismo entorno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pPr>
        <w:pStyle w:val="Compact"/>
        <w:numPr>
          <w:ilvl w:val="0"/>
          <w:numId w:val="1107"/>
        </w:numPr>
      </w:pPr>
      <w:r>
        <w:t xml:space="preserve">explorador de archivos;</w:t>
      </w:r>
    </w:p>
    <w:p>
      <w:pPr>
        <w:pStyle w:val="Compact"/>
        <w:numPr>
          <w:ilvl w:val="0"/>
          <w:numId w:val="1107"/>
        </w:numPr>
      </w:pPr>
      <w:r>
        <w:t xml:space="preserve">editor principal;</w:t>
      </w:r>
    </w:p>
    <w:p>
      <w:pPr>
        <w:pStyle w:val="Compact"/>
        <w:numPr>
          <w:ilvl w:val="0"/>
          <w:numId w:val="1107"/>
        </w:numPr>
      </w:pPr>
      <w:r>
        <w:t xml:space="preserve">terminal integrada;</w:t>
      </w:r>
    </w:p>
    <w:p>
      <w:pPr>
        <w:pStyle w:val="Compact"/>
        <w:numPr>
          <w:ilvl w:val="0"/>
          <w:numId w:val="1107"/>
        </w:numPr>
      </w:pPr>
      <w:r>
        <w:t xml:space="preserve">panel de control de cambios.</w:t>
      </w:r>
    </w:p>
    <w:p>
      <w:pPr>
        <w:pStyle w:val="FirstParagraph"/>
      </w:pPr>
      <w:r>
        <w:t xml:space="preserve">No necesitas memorizar todos los nombres técnicos de la interfaz. Lo que sí conviene reconocer pronto es la lógica de cada zona:</w:t>
      </w:r>
    </w:p>
    <w:p>
      <w:pPr>
        <w:pStyle w:val="Compact"/>
        <w:numPr>
          <w:ilvl w:val="0"/>
          <w:numId w:val="1108"/>
        </w:numPr>
      </w:pPr>
      <w:r>
        <w:t xml:space="preserve">el explorador te dice qué archivos existen y dónde están;</w:t>
      </w:r>
    </w:p>
    <w:p>
      <w:pPr>
        <w:pStyle w:val="Compact"/>
        <w:numPr>
          <w:ilvl w:val="0"/>
          <w:numId w:val="1108"/>
        </w:numPr>
      </w:pPr>
      <w:r>
        <w:t xml:space="preserve">el editor te deja escribir y leer;</w:t>
      </w:r>
    </w:p>
    <w:p>
      <w:pPr>
        <w:pStyle w:val="Compact"/>
        <w:numPr>
          <w:ilvl w:val="0"/>
          <w:numId w:val="1108"/>
        </w:numPr>
      </w:pPr>
      <w:r>
        <w:t xml:space="preserve">la terminal te permite ejecutar comandos en el proyecto real;</w:t>
      </w:r>
    </w:p>
    <w:p>
      <w:pPr>
        <w:pStyle w:val="Compact"/>
        <w:numPr>
          <w:ilvl w:val="0"/>
          <w:numId w:val="1108"/>
        </w:numPr>
      </w:pPr>
      <w:r>
        <w:t xml:space="preserve">el panel de control de cambios te muestra qué se modificó desde la última vez que versionaste.</w:t>
      </w:r>
    </w:p>
    <w:p>
      <w:pPr>
        <w:pStyle w:val="FirstParagraph"/>
      </w:pPr>
      <w:r>
        <w:t xml:space="preserve">Si aprendes a moverte con soltura entre esas cuatro piezas, ya tienes resuelta gran parte del uso práctico que el curso te va a exigir.</w:t>
      </w:r>
    </w:p>
    <w:bookmarkEnd w:id="515"/>
    <w:bookmarkStart w:id="516" w:name="paso-4.-abre-la-terminal-integrada"/>
    <w:p>
      <w:pPr>
        <w:pStyle w:val="Ttulo2"/>
      </w:pPr>
      <w:r>
        <w:t xml:space="preserve">Paso 4. Abre la terminal integrada</w:t>
      </w:r>
    </w:p>
    <w:p>
      <w:pPr>
        <w:pStyle w:val="FirstParagraph"/>
      </w:pPr>
      <w:r>
        <w:t xml:space="preserve">Desde la terminal integrada podrás ejecutar Python, Git y otros comandos del curso sin salir del editor. La documentación oficial subraya que esa terminal usa un shell del sistema y arranca desde la raíz del workspace, lo que vuelve más directo probar scripts, inspeccionar archivos y lanzar comandos del repositorio</w:t>
      </w:r>
      <w:r>
        <w:t xml:space="preserve"> </w:t>
      </w:r>
      <w:r>
        <w:t xml:space="preserve">(</w:t>
      </w:r>
      <w:hyperlink w:anchor="ref-vscodeterminal2026">
        <w:r>
          <w:rPr>
            <w:rStyle w:val="Hipervnculo"/>
          </w:rPr>
          <w:t xml:space="preserve">Visual Studio Code Documentation 2026a</w:t>
        </w:r>
      </w:hyperlink>
      <w:r>
        <w:t xml:space="preserve">)</w:t>
      </w:r>
      <w:r>
        <w:t xml:space="preserve">.</w:t>
      </w:r>
    </w:p>
    <w:p>
      <w:pPr>
        <w:pStyle w:val="Textoindependiente"/>
      </w:pPr>
      <w:r>
        <w:t xml:space="preserve">Esto es importante por una razón muy concreta: evita el salto mental entre “editar aquí” y “ejecutar en otro lado”. Si abres la terminal integrada y ejecutas un script, estás trabajando todavía dentro de la misma carpeta del proyecto. Eso reduce errores de ruta y vuelve más visible la conexión entre archivo y resultado.</w:t>
      </w:r>
    </w:p>
    <w:p>
      <w:pPr>
        <w:pStyle w:val="Textoindependiente"/>
      </w:pPr>
      <w:r>
        <w:t xml:space="preserve">Conviene fijarte en tres cosas cuando abras la terminal:</w:t>
      </w:r>
    </w:p>
    <w:p>
      <w:pPr>
        <w:pStyle w:val="Compact"/>
        <w:numPr>
          <w:ilvl w:val="0"/>
          <w:numId w:val="1109"/>
        </w:numPr>
      </w:pPr>
      <w:r>
        <w:t xml:space="preserve">qué carpeta aparece como directorio actual;</w:t>
      </w:r>
    </w:p>
    <w:p>
      <w:pPr>
        <w:pStyle w:val="Compact"/>
        <w:numPr>
          <w:ilvl w:val="0"/>
          <w:numId w:val="1109"/>
        </w:numPr>
      </w:pPr>
      <w:r>
        <w:t xml:space="preserve">qué shell está usando el sistema;</w:t>
      </w:r>
    </w:p>
    <w:p>
      <w:pPr>
        <w:pStyle w:val="Compact"/>
        <w:numPr>
          <w:ilvl w:val="0"/>
          <w:numId w:val="1109"/>
        </w:numPr>
      </w:pPr>
      <w:r>
        <w:t xml:space="preserve">si el comando que ejecutas produce el resultado esperado o un error que puedas leer con calma.</w:t>
      </w:r>
    </w:p>
    <w:bookmarkEnd w:id="516"/>
    <w:bookmarkStart w:id="517" w:name="paso-5.-guarda-ejecuta-y-revisa-cambios"/>
    <w:p>
      <w:pPr>
        <w:pStyle w:val="Ttulo2"/>
      </w:pPr>
      <w:r>
        <w:t xml:space="preserve">Paso 5. Guarda, ejecuta y revisa cambios</w:t>
      </w:r>
    </w:p>
    <w:p>
      <w:pPr>
        <w:pStyle w:val="FirstParagraph"/>
      </w:pPr>
      <w:r>
        <w:t xml:space="preserve">Una rutina útil es esta, porque convierte la edición en una secuencia corta de prueba, verificación y registro en lugar de acumular cambios sin control</w:t>
      </w:r>
      <w:r>
        <w:t xml:space="preserve"> </w:t>
      </w:r>
      <w:r>
        <w:t xml:space="preserve">(</w:t>
      </w:r>
      <w:hyperlink w:anchor="ref-vscodeterminal2026">
        <w:r>
          <w:rPr>
            <w:rStyle w:val="Hipervnculo"/>
          </w:rPr>
          <w:t xml:space="preserve">Visual Studio Code Documentation 2026a</w:t>
        </w:r>
      </w:hyperlink>
      <w:r>
        <w:t xml:space="preserve">,</w:t>
      </w:r>
      <w:r>
        <w:t xml:space="preserve"> </w:t>
      </w:r>
      <w:hyperlink w:anchor="ref-vscodesourcecontrol2026">
        <w:r>
          <w:rPr>
            <w:rStyle w:val="Hipervnculo"/>
          </w:rPr>
          <w:t xml:space="preserve">2026b</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Compact"/>
        <w:numPr>
          <w:ilvl w:val="0"/>
          <w:numId w:val="1110"/>
        </w:numPr>
      </w:pPr>
      <w:r>
        <w:t xml:space="preserve">abrir el archivo;</w:t>
      </w:r>
    </w:p>
    <w:p>
      <w:pPr>
        <w:pStyle w:val="Compact"/>
        <w:numPr>
          <w:ilvl w:val="0"/>
          <w:numId w:val="1110"/>
        </w:numPr>
      </w:pPr>
      <w:r>
        <w:t xml:space="preserve">editar una parte pequeña;</w:t>
      </w:r>
    </w:p>
    <w:p>
      <w:pPr>
        <w:pStyle w:val="Compact"/>
        <w:numPr>
          <w:ilvl w:val="0"/>
          <w:numId w:val="1110"/>
        </w:numPr>
      </w:pPr>
      <w:r>
        <w:t xml:space="preserve">guardar;</w:t>
      </w:r>
    </w:p>
    <w:p>
      <w:pPr>
        <w:pStyle w:val="Compact"/>
        <w:numPr>
          <w:ilvl w:val="0"/>
          <w:numId w:val="1110"/>
        </w:numPr>
      </w:pPr>
      <w:r>
        <w:t xml:space="preserve">ejecutar;</w:t>
      </w:r>
    </w:p>
    <w:p>
      <w:pPr>
        <w:pStyle w:val="Compact"/>
        <w:numPr>
          <w:ilvl w:val="0"/>
          <w:numId w:val="1110"/>
        </w:numPr>
      </w:pPr>
      <w:r>
        <w:t xml:space="preserve">revisar el resultado;</w:t>
      </w:r>
    </w:p>
    <w:p>
      <w:pPr>
        <w:pStyle w:val="Compact"/>
        <w:numPr>
          <w:ilvl w:val="0"/>
          <w:numId w:val="1110"/>
        </w:numPr>
      </w:pPr>
      <w:r>
        <w:t xml:space="preserve">registrar cambios con Git.</w:t>
      </w:r>
    </w:p>
    <w:p>
      <w:pPr>
        <w:pStyle w:val="FirstParagraph"/>
      </w:pPr>
      <w:r>
        <w:t xml:space="preserve">Esta rutina puede parecer lenta al comienzo, pero en realidad ahorra tiempo. Lo que suele volver caótico el trabajo técnico no es detenerse demasiado, sino editar mucho sin verificar nada y descubrir tarde que no sabes qué cambió.</w:t>
      </w:r>
    </w:p>
    <w:bookmarkEnd w:id="517"/>
    <w:bookmarkStart w:id="518" w:name="Xd1decea2e8651da906b1835a1356532dfac1fc9"/>
    <w:p>
      <w:pPr>
        <w:pStyle w:val="Ttulo2"/>
      </w:pPr>
      <w:r>
        <w:t xml:space="preserve">Paso 6. Mira el panel de control de cambios</w:t>
      </w:r>
    </w:p>
    <w:p>
      <w:pPr>
        <w:pStyle w:val="FirstParagraph"/>
      </w:pPr>
      <w:r>
        <w:t xml:space="preserve">VS Code incorpora una vista de Source Control precisamente para que no tengas que salir del entorno cada vez que quieras revisar qué se modificó</w:t>
      </w:r>
      <w:r>
        <w:t xml:space="preserve"> </w:t>
      </w:r>
      <w:r>
        <w:t xml:space="preserve">(</w:t>
      </w:r>
      <w:hyperlink w:anchor="ref-vscodesourcecontrol2026">
        <w:r>
          <w:rPr>
            <w:rStyle w:val="Hipervnculo"/>
          </w:rPr>
          <w:t xml:space="preserve">Visual Studio Code Documentation 2026b</w:t>
        </w:r>
      </w:hyperlink>
      <w:r>
        <w:t xml:space="preserve">)</w:t>
      </w:r>
      <w:r>
        <w:t xml:space="preserve">. Aunque sigas usando comandos de Git en la terminal, vale la pena abrir ese panel y ver cómo marca archivos nuevos, modificados o pendientes.</w:t>
      </w:r>
    </w:p>
    <w:p>
      <w:pPr>
        <w:pStyle w:val="Textoindependiente"/>
      </w:pPr>
      <w:r>
        <w:t xml:space="preserve">Lo importante aquí no es elegir “terminal o panel visual” como si hubiera que casarse con una sola forma de trabajo. Lo importante es entender que ambos muestran el mismo proyecto y la misma historia desde ángulos distintos. Si un archivo aparece modificado en el panel, eso debería coincidir con lo que Git reporta en la terminal.</w:t>
      </w:r>
    </w:p>
    <w:bookmarkEnd w:id="518"/>
    <w:bookmarkStart w:id="521" w:name="X7ff1ed6d393076253c1285cbfd4b76f6a537efe"/>
    <w:p>
      <w:pPr>
        <w:pStyle w:val="Ttulo2"/>
      </w:pPr>
      <w:r>
        <w:t xml:space="preserve">En qué conviene fijarse mientras trabajas</w:t>
      </w:r>
    </w:p>
    <w:p>
      <w:pPr>
        <w:pStyle w:val="FirstParagraph"/>
      </w:pPr>
      <w:r>
        <w:t xml:space="preserve">Mientras uses VS Code, procura observar estos detalles:</w:t>
      </w:r>
    </w:p>
    <w:p>
      <w:pPr>
        <w:pStyle w:val="Compact"/>
        <w:numPr>
          <w:ilvl w:val="0"/>
          <w:numId w:val="1111"/>
        </w:numPr>
      </w:pPr>
      <w:r>
        <w:t xml:space="preserve">si estás editando el archivo correcto y no una copia en otra carpeta;</w:t>
      </w:r>
    </w:p>
    <w:p>
      <w:pPr>
        <w:pStyle w:val="Compact"/>
        <w:numPr>
          <w:ilvl w:val="0"/>
          <w:numId w:val="1111"/>
        </w:numPr>
      </w:pPr>
      <w:r>
        <w:t xml:space="preserve">si el punto blanco en la pestaña indica que todavía no guardaste;</w:t>
      </w:r>
    </w:p>
    <w:p>
      <w:pPr>
        <w:pStyle w:val="Compact"/>
        <w:numPr>
          <w:ilvl w:val="0"/>
          <w:numId w:val="1111"/>
        </w:numPr>
      </w:pPr>
      <w:r>
        <w:t xml:space="preserve">si la terminal está ubicada en la carpeta esperada;</w:t>
      </w:r>
    </w:p>
    <w:p>
      <w:pPr>
        <w:pStyle w:val="Compact"/>
        <w:numPr>
          <w:ilvl w:val="0"/>
          <w:numId w:val="1111"/>
        </w:numPr>
      </w:pPr>
      <w:r>
        <w:t xml:space="preserve">si el panel de cambios muestra más archivos de los que querías modificar.</w:t>
      </w:r>
    </w:p>
    <w:p>
      <w:pPr>
        <w:pStyle w:val="FirstParagraph"/>
      </w:pPr>
      <w:r>
        <w:t xml:space="preserve">Desarrollar esa atención evita varios errores típicos del trabajo con repositorios: editar el archivo equivocado, correr comandos en otra carpeta o hacer commits con cambios que ni siquiera habías notado.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519" name="Picture"/>
                  <a:graphic>
                    <a:graphicData uri="http://schemas.openxmlformats.org/drawingml/2006/picture">
                      <pic:pic>
                        <pic:nvPicPr>
                          <pic:cNvPr descr="/Applications/quarto/share/formats/docx/tip.png" id="52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Textoindependiente"/>
            </w:pPr>
            <w:pPr>
              <w:spacing w:before="16" w:after="16"/>
            </w:pPr>
            <w:r>
              <w:t xml:space="preserve">No necesitas dominar todo VS Code. Necesitas usar bien un conjunto pequeño de funciones de forma consistente: abrir carpetas, editar archivos, usar la terminal integrada y revisar cambios del repositorio. Esa base basta para que el editor funcione como apoyo real y no como otra fuente de fricción técnica</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tc>
      </w:tr>
    </w:tbl>
    <w:bookmarkEnd w:id="521"/>
    <w:bookmarkEnd w:id="522"/>
    <w:bookmarkStart w:id="537" w:name="tutorial-git-y-github"/>
    <w:p>
      <w:pPr>
        <w:pStyle w:val="Ttulo1"/>
      </w:pPr>
      <w:r>
        <w:t xml:space="preserve">Tutorial: Git y GitHub</w:t>
      </w:r>
    </w:p>
    <w:bookmarkStart w:id="523" w:name="para-qué-sirve-este-tutorial-2"/>
    <w:p>
      <w:pPr>
        <w:pStyle w:val="Ttulo2"/>
      </w:pPr>
      <w:r>
        <w:t xml:space="preserve">¿Para qué sirve este tutorial?</w:t>
      </w:r>
    </w:p>
    <w:p>
      <w:pPr>
        <w:pStyle w:val="FirstParagraph"/>
      </w:pPr>
      <w:r>
        <w:t xml:space="preserve">Git y GitHub son parte de la infraestructura del curso porque permiten que el trabajo no quede reducido a un archivo final, sino que se convierta en una secuencia visible de decisiones, correcciones y versiones. En un entorno académico y profesional, esa trazabilidad importa tanto como el resultado, porque vuelve verificable el proceso de producción</w:t>
      </w:r>
      <w:r>
        <w:t xml:space="preserve"> </w:t>
      </w:r>
      <w:r>
        <w:t xml:space="preserve">(</w:t>
      </w:r>
      <w:hyperlink w:anchor="ref-chaconstraub2014progit">
        <w:r>
          <w:rPr>
            <w:rStyle w:val="Hipervnculo"/>
          </w:rPr>
          <w:t xml:space="preserve">Chacon and Straub 2014</w:t>
        </w:r>
      </w:hyperlink>
      <w:r>
        <w:t xml:space="preserve">)</w:t>
      </w:r>
      <w:r>
        <w:t xml:space="preserve">.</w:t>
      </w:r>
    </w:p>
    <w:bookmarkEnd w:id="523"/>
    <w:bookmarkStart w:id="524" w:name="Xfc8bed043b5021b10dbad8c9686d96b05a8c868"/>
    <w:p>
      <w:pPr>
        <w:pStyle w:val="Ttulo2"/>
      </w:pPr>
      <w:r>
        <w:t xml:space="preserve">Una historia breve antes del primer commit</w:t>
      </w:r>
    </w:p>
    <w:p>
      <w:pPr>
        <w:pStyle w:val="FirstParagraph"/>
      </w:pPr>
      <w:r>
        <w:t xml:space="preserve">Git está ligado desde el origen a una de las historias más influyentes del software contemporáneo: la del kernel de Linux. La documentación de Git recuerda que la herramienta fue iniciada por Linus Torvalds, fundador de Linux, y que ese origen no fue anecdótico, porque el proyecto necesitaba una forma de versionar cambios a gran escala sin sacrificar velocidad ni control distribuido</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w:t>
      </w:r>
      <w:r>
        <w:t xml:space="preserve"> </w:t>
      </w:r>
      <w:r>
        <w:rPr>
          <w:i/>
          <w:iCs/>
        </w:rPr>
        <w:t xml:space="preserve">Pro Git</w:t>
      </w:r>
      <w:r>
        <w:t xml:space="preserve"> </w:t>
      </w:r>
      <w:r>
        <w:t xml:space="preserve">añade el episodio decisivo: en 2005, tras la ruptura entre la comunidad del kernel y BitKeeper, se volvió urgente disponer de una alternativa propia. Git nació, en buena medida, como respuesta a esa urgencia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La huella de ese nacimiento sigue visible en la herramienta. La página oficial de Git insiste en que el rendimiento fue un objetivo de diseño desde el comienzo y ofrece un dato que vale casi como alegoría técnica: en 2025, Git podía almacenar la historia completa del proyecto Linux, con 1.4 millones de commits, en apenas 5.5 GB</w:t>
      </w:r>
      <w:r>
        <w:t xml:space="preserve"> </w:t>
      </w:r>
      <w:r>
        <w:t xml:space="preserve">(</w:t>
      </w:r>
      <w:hyperlink w:anchor="ref-gitabout2025">
        <w:r>
          <w:rPr>
            <w:rStyle w:val="Hipervnculo"/>
          </w:rPr>
          <w:t xml:space="preserve">Git 2025</w:t>
        </w:r>
      </w:hyperlink>
      <w:r>
        <w:t xml:space="preserve">)</w:t>
      </w:r>
      <w:r>
        <w:t xml:space="preserve">. Dicho de otra manera, Git no fue pensado para ejercicios domésticos, aunque luego se haya vuelto extraordinariamente útil también para ellos.</w:t>
      </w:r>
    </w:p>
    <w:p>
      <w:pPr>
        <w:pStyle w:val="Textoindependiente"/>
      </w:pPr>
      <w:r>
        <w:t xml:space="preserve">GitHub pertenece a una historia distinta, aunque complementaria. Su propia página de prensa recuerda que la plataforma fue fundada en febrero de 2008</w:t>
      </w:r>
      <w:r>
        <w:t xml:space="preserve"> </w:t>
      </w:r>
      <w:r>
        <w:t xml:space="preserve">(</w:t>
      </w:r>
      <w:hyperlink w:anchor="ref-githubpress2026">
        <w:r>
          <w:rPr>
            <w:rStyle w:val="Hipervnculo"/>
          </w:rPr>
          <w:t xml:space="preserve">GitHub 2026</w:t>
        </w:r>
      </w:hyperlink>
      <w:r>
        <w:t xml:space="preserve">)</w:t>
      </w:r>
      <w:r>
        <w:t xml:space="preserve">. Después, en junio de 2018, Microsoft anunció oficialmente su adquisición por 7.5 mil millones de dólares, subrayando que GitHub seguiría operando como plataforma abierta para desarrolladores</w:t>
      </w:r>
      <w:r>
        <w:t xml:space="preserve"> </w:t>
      </w:r>
      <w:r>
        <w:t xml:space="preserve">(</w:t>
      </w:r>
      <w:hyperlink w:anchor="ref-microsoftgithub2018">
        <w:r>
          <w:rPr>
            <w:rStyle w:val="Hipervnculo"/>
          </w:rPr>
          <w:t xml:space="preserve">Microsoft 2018</w:t>
        </w:r>
      </w:hyperlink>
      <w:r>
        <w:t xml:space="preserve">)</w:t>
      </w:r>
      <w:r>
        <w:t xml:space="preserve">. Esa continuidad institucional importa porque aclara una confusión muy común entre principiantes: Git no es GitHub, y GitHub no es el creador de Git. Git es la herramienta de control de versiones. GitHub es una plataforma posterior, hoy integrada al ecosistema de Microsoft, que facilita alojar repositorios, colaborar y publicar trabajo.</w:t>
      </w:r>
    </w:p>
    <w:bookmarkEnd w:id="524"/>
    <w:bookmarkStart w:id="527" w:name="qué-conviene-entender-desde-el-principio"/>
    <w:p>
      <w:pPr>
        <w:pStyle w:val="Ttulo2"/>
      </w:pPr>
      <w:r>
        <w:t xml:space="preserve">Qué conviene entender desde el principio</w:t>
      </w:r>
    </w:p>
    <w:p>
      <w:pPr>
        <w:pStyle w:val="FirstParagraph"/>
      </w:pPr>
      <w:r>
        <w:t xml:space="preserve">Git organiza cambios en un historial distribuido, trazable y reversible</w:t>
      </w:r>
      <w:r>
        <w:t xml:space="preserve"> </w:t>
      </w:r>
      <w:r>
        <w:t xml:space="preserve">(</w:t>
      </w:r>
      <w:hyperlink w:anchor="ref-chaconstraub2014progit">
        <w:r>
          <w:rPr>
            <w:rStyle w:val="Hipervnculo"/>
          </w:rPr>
          <w:t xml:space="preserve">Chacon and Straub 2014</w:t>
        </w:r>
      </w:hyperlink>
      <w:r>
        <w:t xml:space="preserve">)</w:t>
      </w:r>
      <w:r>
        <w:t xml:space="preserve">. GitHub agrega encima una capa de alojamiento, sincronización, visibilidad y colaboración</w:t>
      </w:r>
      <w:r>
        <w:t xml:space="preserve"> </w:t>
      </w:r>
      <w:r>
        <w:t xml:space="preserve">(</w:t>
      </w:r>
      <w:hyperlink w:anchor="ref-githubprojects2026">
        <w:r>
          <w:rPr>
            <w:rStyle w:val="Hipervnculo"/>
          </w:rPr>
          <w:t xml:space="preserve">GitHub Docs 2026a</w:t>
        </w:r>
      </w:hyperlink>
      <w:r>
        <w:t xml:space="preserve">)</w:t>
      </w:r>
      <w:r>
        <w:t xml:space="preserve">. La relación es parecida a la que existe entre escribir un documento y guardarlo en una plataforma compartida: el acto intelectual y la infraestructura social no son idénticos, aunque en la práctica trabajen juntos.</w:t>
      </w:r>
    </w:p>
    <w:p>
      <w:pPr>
        <w:pStyle w:val="Textoindependiente"/>
      </w:pPr>
      <w:r>
        <w:t xml:space="preserve">Para el curso, esa diferencia tiene un efecto muy concreto. Puedes hacer varios pasos con Git sin conectarte a internet, porque el historial vive también en tu equipo. Pero si no sincronizas con GitHub, el trabajo queda sin respaldo remoto y sin evidencia compartida. Ambas piezas importan.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Applications/quarto/share/formats/docx/important.png" id="52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El trabajo del semestre debe dejar rastro verificable: archivos, historial local y sincronización remota. Si falta una de esas capas, la trazabilidad del proyecto queda incompleta</w:t>
            </w:r>
            <w:r>
              <w:t xml:space="preserve"> </w:t>
            </w:r>
            <w:r>
              <w:t xml:space="preserve">(</w:t>
            </w:r>
            <w:hyperlink w:anchor="ref-chaconstraub2014progit">
              <w:r>
                <w:rPr>
                  <w:rStyle w:val="Hipervnculo"/>
                </w:rPr>
                <w:t xml:space="preserve">Chacon and Straub 2014</w:t>
              </w:r>
            </w:hyperlink>
            <w:r>
              <w:t xml:space="preserve">;</w:t>
            </w:r>
            <w:r>
              <w:t xml:space="preserve"> </w:t>
            </w:r>
            <w:hyperlink w:anchor="ref-githubprojects2026">
              <w:r>
                <w:rPr>
                  <w:rStyle w:val="Hipervnculo"/>
                </w:rPr>
                <w:t xml:space="preserve">GitHub Docs 2026a</w:t>
              </w:r>
            </w:hyperlink>
            <w:r>
              <w:t xml:space="preserve">)</w:t>
            </w:r>
            <w:r>
              <w:t xml:space="preserve">.</w:t>
            </w:r>
          </w:p>
          <w:p/>
        </w:tc>
      </w:tr>
    </w:tbl>
    <w:bookmarkEnd w:id="527"/>
    <w:bookmarkStart w:id="528" w:name="paso-1.-clonar-no-es-solo-descargar"/>
    <w:p>
      <w:pPr>
        <w:pStyle w:val="Ttulo2"/>
      </w:pPr>
      <w:r>
        <w:t xml:space="preserve">Paso 1. Clonar no es solo descargar</w:t>
      </w:r>
    </w:p>
    <w:p>
      <w:pPr>
        <w:pStyle w:val="FirstParagraph"/>
      </w:pPr>
      <w:r>
        <w:t xml:space="preserve">Cuando ejecutas:</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p>
      <w:pPr>
        <w:pStyle w:val="FirstParagraph"/>
      </w:pPr>
      <w:r>
        <w:t xml:space="preserve">no estás trayendo únicamente una carpeta con archivos. Estás trayendo también la historia del proyecto. Esa diferencia es central. Un repositorio Git no se reduce al estado actual de los documentos; conserva la secuencia que llevó hasta ellos. Por eso el comando</w:t>
      </w:r>
      <w:r>
        <w:t xml:space="preserve"> </w:t>
      </w:r>
      <w:r>
        <w:rPr>
          <w:rStyle w:val="VerbatimChar"/>
        </w:rPr>
        <w:t xml:space="preserve">cd</w:t>
      </w:r>
      <w:r>
        <w:t xml:space="preserve"> </w:t>
      </w:r>
      <w:r>
        <w:t xml:space="preserve">importa tanto como</w:t>
      </w:r>
      <w:r>
        <w:t xml:space="preserve"> </w:t>
      </w:r>
      <w:r>
        <w:rPr>
          <w:rStyle w:val="VerbatimChar"/>
        </w:rPr>
        <w:t xml:space="preserve">git clone</w:t>
      </w:r>
      <w:r>
        <w:t xml:space="preserve">: después de clonar, necesitas entrar realmente en el directorio del repositorio para que los siguientes comandos actúen sobre el proyecto correcto.</w:t>
      </w:r>
    </w:p>
    <w:p>
      <w:pPr>
        <w:pStyle w:val="Textoindependiente"/>
      </w:pPr>
      <w:r>
        <w:t xml:space="preserve">Si alguna vez dudas de dónde estás parado, usa</w:t>
      </w:r>
      <w:r>
        <w:t xml:space="preserve"> </w:t>
      </w:r>
      <w:r>
        <w:rPr>
          <w:rStyle w:val="VerbatimChar"/>
        </w:rPr>
        <w:t xml:space="preserve">pwd</w:t>
      </w:r>
      <w:r>
        <w:t xml:space="preserve"> </w:t>
      </w:r>
      <w:r>
        <w:t xml:space="preserve">en macOS o Linux, o</w:t>
      </w:r>
      <w:r>
        <w:t xml:space="preserve"> </w:t>
      </w:r>
      <w:r>
        <w:rPr>
          <w:rStyle w:val="VerbatimChar"/>
        </w:rPr>
        <w:t xml:space="preserve">Get-Location</w:t>
      </w:r>
      <w:r>
        <w:t xml:space="preserve"> </w:t>
      </w:r>
      <w:r>
        <w:t xml:space="preserve">en PowerShell. Orientarse en el sistema de archivos no es una tarea lateral; es una condición para que Git registre cambios donde debe registrarlos.</w:t>
      </w:r>
    </w:p>
    <w:bookmarkEnd w:id="528"/>
    <w:bookmarkStart w:id="529" w:name="X4515860bf39188fa50e1bbb4299d2f5319069ab"/>
    <w:p>
      <w:pPr>
        <w:pStyle w:val="Ttulo2"/>
      </w:pPr>
      <w:r>
        <w:t xml:space="preserve">Paso 2.</w:t>
      </w:r>
      <w:r>
        <w:t xml:space="preserve"> </w:t>
      </w:r>
      <w:r>
        <w:rPr>
          <w:rStyle w:val="VerbatimChar"/>
        </w:rPr>
        <w:t xml:space="preserve">git status</w:t>
      </w:r>
      <w:r>
        <w:t xml:space="preserve"> </w:t>
      </w:r>
      <w:r>
        <w:t xml:space="preserve">como forma de orientación</w:t>
      </w:r>
    </w:p>
    <w:p>
      <w:pPr>
        <w:pStyle w:val="FirstParagraph"/>
      </w:pPr>
      <w:r>
        <w:t xml:space="preserve">El comando:</w:t>
      </w:r>
    </w:p>
    <w:p>
      <w:pPr>
        <w:pStyle w:val="SourceCode"/>
      </w:pPr>
      <w:r>
        <w:rPr>
          <w:rStyle w:val="FunctionTok"/>
        </w:rPr>
        <w:t xml:space="preserve">git</w:t>
      </w:r>
      <w:r>
        <w:rPr>
          <w:rStyle w:val="NormalTok"/>
        </w:rPr>
        <w:t xml:space="preserve"> status</w:t>
      </w:r>
    </w:p>
    <w:p>
      <w:pPr>
        <w:pStyle w:val="FirstParagraph"/>
      </w:pPr>
      <w:r>
        <w:t xml:space="preserve">responde una pregunta más importante de lo que parece: cuál es el estado real del repositorio en este momento</w:t>
      </w:r>
      <w:r>
        <w:t xml:space="preserve"> </w:t>
      </w:r>
      <w:r>
        <w:t xml:space="preserve">(</w:t>
      </w:r>
      <w:hyperlink w:anchor="ref-chaconstraub2014progit">
        <w:r>
          <w:rPr>
            <w:rStyle w:val="Hipervnculo"/>
          </w:rPr>
          <w:t xml:space="preserve">Chacon and Straub 2014</w:t>
        </w:r>
      </w:hyperlink>
      <w:r>
        <w:t xml:space="preserve">)</w:t>
      </w:r>
      <w:r>
        <w:t xml:space="preserve">. Indica qué archivos cambiaron, cuáles todavía no están preparados para commit y cuáles ya forman parte de la siguiente decisión que quedará en el historial.</w:t>
      </w:r>
    </w:p>
    <w:p>
      <w:pPr>
        <w:pStyle w:val="Textoindependiente"/>
      </w:pPr>
      <w:r>
        <w:t xml:space="preserve">Conviene usar</w:t>
      </w:r>
      <w:r>
        <w:t xml:space="preserve"> </w:t>
      </w:r>
      <w:r>
        <w:rPr>
          <w:rStyle w:val="VerbatimChar"/>
        </w:rPr>
        <w:t xml:space="preserve">git status</w:t>
      </w:r>
      <w:r>
        <w:t xml:space="preserve"> </w:t>
      </w:r>
      <w:r>
        <w:t xml:space="preserve">no como gesto excepcional, sino como instrumento de orientación. Antes de editar, después de editar y antes de cerrar una sesión, el comando ayuda a evitar una ilusión bastante común: creer que un cambio “ya quedó” cuando en realidad todavía no fue registrado.</w:t>
      </w:r>
    </w:p>
    <w:bookmarkEnd w:id="529"/>
    <w:bookmarkStart w:id="530" w:name="X423c09b70fe58a83f27dc275b9cba5687e1c3f3"/>
    <w:p>
      <w:pPr>
        <w:pStyle w:val="Ttulo2"/>
      </w:pPr>
      <w:r>
        <w:t xml:space="preserve">Paso 3.</w:t>
      </w:r>
      <w:r>
        <w:t xml:space="preserve"> </w:t>
      </w:r>
      <w:r>
        <w:rPr>
          <w:rStyle w:val="VerbatimChar"/>
        </w:rPr>
        <w:t xml:space="preserve">git add</w:t>
      </w:r>
      <w:r>
        <w:t xml:space="preserve"> </w:t>
      </w:r>
      <w:r>
        <w:t xml:space="preserve">y</w:t>
      </w:r>
      <w:r>
        <w:t xml:space="preserve"> </w:t>
      </w:r>
      <w:r>
        <w:rPr>
          <w:rStyle w:val="VerbatimChar"/>
        </w:rPr>
        <w:t xml:space="preserve">git commit</w:t>
      </w:r>
      <w:r>
        <w:t xml:space="preserve"> </w:t>
      </w:r>
      <w:r>
        <w:t xml:space="preserve">no hacen lo mismo</w:t>
      </w:r>
    </w:p>
    <w:p>
      <w:pPr>
        <w:pStyle w:val="FirstParagraph"/>
      </w:pPr>
      <w:r>
        <w:t xml:space="preserve">Una de las distinciones que más conviene fijar desde temprano es la diferencia entre preparar un cambio y convertirlo en parte del historial. Cuando ejecutas:</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p>
      <w:pPr>
        <w:pStyle w:val="FirstParagraph"/>
      </w:pPr>
      <w:r>
        <w:t xml:space="preserve">el primer comando selecciona cambios para el próximo commit, mientras que el segundo crea efectivamente una nueva entrada en la historia del proyecto</w:t>
      </w:r>
      <w:r>
        <w:t xml:space="preserve"> </w:t>
      </w:r>
      <w:r>
        <w:t xml:space="preserve">(</w:t>
      </w:r>
      <w:hyperlink w:anchor="ref-chaconstraub2014progit">
        <w:r>
          <w:rPr>
            <w:rStyle w:val="Hipervnculo"/>
          </w:rPr>
          <w:t xml:space="preserve">Chacon and Straub 2014</w:t>
        </w:r>
      </w:hyperlink>
      <w:r>
        <w:t xml:space="preserve">)</w:t>
      </w:r>
      <w:r>
        <w:t xml:space="preserve">. Parece un matiz técnico menor, pero no lo es. Si se confunden ambos pasos, el historial empieza a llenarse de commits poco pensados o demasiado grandes.</w:t>
      </w:r>
    </w:p>
    <w:p>
      <w:pPr>
        <w:pStyle w:val="Textoindependiente"/>
      </w:pPr>
      <w:r>
        <w:t xml:space="preserve">En una fase inicial,</w:t>
      </w:r>
      <w:r>
        <w:t xml:space="preserve"> </w:t>
      </w:r>
      <w:r>
        <w:rPr>
          <w:rStyle w:val="VerbatimChar"/>
        </w:rPr>
        <w:t xml:space="preserve">git add .</w:t>
      </w:r>
      <w:r>
        <w:t xml:space="preserve"> </w:t>
      </w:r>
      <w:r>
        <w:t xml:space="preserve">puede ser suficiente. Pero conviene saber desde ya que Git permite mucha más precisión y que, cuando el proyecto crece, no siempre es deseable incluir todo en un mismo registro. Esa es justamente una de las razones por las que Git tiene fama de herramienta poderosa: permite granularidad, no solo almacenamiento.</w:t>
      </w:r>
    </w:p>
    <w:bookmarkEnd w:id="530"/>
    <w:bookmarkStart w:id="531" w:name="X349239d7765d2b2652405eda6781813c2a9727a"/>
    <w:p>
      <w:pPr>
        <w:pStyle w:val="Ttulo2"/>
      </w:pPr>
      <w:r>
        <w:t xml:space="preserve">Paso 4.</w:t>
      </w:r>
      <w:r>
        <w:t xml:space="preserve"> </w:t>
      </w:r>
      <w:r>
        <w:rPr>
          <w:rStyle w:val="VerbatimChar"/>
        </w:rPr>
        <w:t xml:space="preserve">git push</w:t>
      </w:r>
      <w:r>
        <w:t xml:space="preserve"> </w:t>
      </w:r>
      <w:r>
        <w:t xml:space="preserve">convierte trabajo local en trabajo compartido</w:t>
      </w:r>
    </w:p>
    <w:p>
      <w:pPr>
        <w:pStyle w:val="FirstParagraph"/>
      </w:pPr>
      <w:r>
        <w:t xml:space="preserve">El comando:</w:t>
      </w:r>
    </w:p>
    <w:p>
      <w:pPr>
        <w:pStyle w:val="SourceCode"/>
      </w:pPr>
      <w:r>
        <w:rPr>
          <w:rStyle w:val="FunctionTok"/>
        </w:rPr>
        <w:t xml:space="preserve">git</w:t>
      </w:r>
      <w:r>
        <w:rPr>
          <w:rStyle w:val="NormalTok"/>
        </w:rPr>
        <w:t xml:space="preserve"> push</w:t>
      </w:r>
    </w:p>
    <w:p>
      <w:pPr>
        <w:pStyle w:val="FirstParagraph"/>
      </w:pPr>
      <w:r>
        <w:t xml:space="preserve">envía al remoto lo que hasta entonces solo existía en tu equipo. En el curso, ese paso no es decorativo. Un trabajo que vive exclusivamente en local puede ser técnicamente real, pero sigue siendo frágil como entrega y opaco como evidencia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Cuando el</w:t>
      </w:r>
      <w:r>
        <w:t xml:space="preserve"> </w:t>
      </w:r>
      <w:r>
        <w:rPr>
          <w:rStyle w:val="VerbatimChar"/>
        </w:rPr>
        <w:t xml:space="preserve">push</w:t>
      </w:r>
      <w:r>
        <w:t xml:space="preserve"> </w:t>
      </w:r>
      <w:r>
        <w:t xml:space="preserve">falla, no conviene cerrar la terminal con prisa. Los mensajes suelen indicar con bastante claridad si el problema está en credenciales, permisos, desactualización de la rama o conflictos con cambios remotos. Aprender a leer esa salida también forma parte del trabajo con Git.</w:t>
      </w:r>
    </w:p>
    <w:bookmarkEnd w:id="531"/>
    <w:bookmarkStart w:id="532" w:name="Xdd303d6f095d526f65a8b12f9954492fb6c6cd7"/>
    <w:p>
      <w:pPr>
        <w:pStyle w:val="Ttulo2"/>
      </w:pPr>
      <w:r>
        <w:t xml:space="preserve">Paso 5. Mirar el historial evita trabajar a ciegas</w:t>
      </w:r>
    </w:p>
    <w:p>
      <w:pPr>
        <w:pStyle w:val="FirstParagraph"/>
      </w:pPr>
      <w:r>
        <w:t xml:space="preserve">Después de registrar y subir un cambio, vale la pena comprobar qué quedó escrito en la historia:</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-n</w:t>
      </w:r>
      <w:r>
        <w:rPr>
          <w:rStyle w:val="NormalTok"/>
        </w:rPr>
        <w:t xml:space="preserve"> 5</w:t>
      </w:r>
    </w:p>
    <w:p>
      <w:pPr>
        <w:pStyle w:val="FirstParagraph"/>
      </w:pPr>
      <w:r>
        <w:t xml:space="preserve">Ese vistazo rápido sirve para confirmar que el commit existe, que el mensaje es el correcto y que la secuencia reciente tiene sentido. Un buen historial no solo almacena el pasado; permite reconstruir decisiones con relativa facilidad.</w:t>
      </w:r>
    </w:p>
    <w:bookmarkEnd w:id="532"/>
    <w:bookmarkStart w:id="533" w:name="lo-que-este-manual-no-cubre-de-git"/>
    <w:p>
      <w:pPr>
        <w:pStyle w:val="Ttulo2"/>
      </w:pPr>
      <w:r>
        <w:t xml:space="preserve">Lo que este manual no cubre de Git</w:t>
      </w:r>
    </w:p>
    <w:p>
      <w:pPr>
        <w:pStyle w:val="FirstParagraph"/>
      </w:pPr>
      <w:r>
        <w:t xml:space="preserve">Conviene decirlo con claridad: Git tiene muchos trucos y muchas capas que este manual no aborda. Herramientas como</w:t>
      </w:r>
      <w:r>
        <w:t xml:space="preserve"> </w:t>
      </w:r>
      <w:r>
        <w:rPr>
          <w:rStyle w:val="VerbatimChar"/>
        </w:rPr>
        <w:t xml:space="preserve">rebase</w:t>
      </w:r>
      <w:r>
        <w:t xml:space="preserve">,</w:t>
      </w:r>
      <w:r>
        <w:t xml:space="preserve"> </w:t>
      </w:r>
      <w:r>
        <w:rPr>
          <w:rStyle w:val="VerbatimChar"/>
        </w:rPr>
        <w:t xml:space="preserve">stash</w:t>
      </w:r>
      <w:r>
        <w:t xml:space="preserve">,</w:t>
      </w:r>
      <w:r>
        <w:t xml:space="preserve"> </w:t>
      </w:r>
      <w:r>
        <w:rPr>
          <w:rStyle w:val="VerbatimChar"/>
        </w:rPr>
        <w:t xml:space="preserve">cherry-pick</w:t>
      </w:r>
      <w:r>
        <w:t xml:space="preserve">,</w:t>
      </w:r>
      <w:r>
        <w:t xml:space="preserve"> </w:t>
      </w:r>
      <w:r>
        <w:rPr>
          <w:rStyle w:val="VerbatimChar"/>
        </w:rPr>
        <w:t xml:space="preserve">bisect</w:t>
      </w:r>
      <w:r>
        <w:t xml:space="preserve">,</w:t>
      </w:r>
      <w:r>
        <w:t xml:space="preserve"> </w:t>
      </w:r>
      <w:r>
        <w:rPr>
          <w:rStyle w:val="VerbatimChar"/>
        </w:rPr>
        <w:t xml:space="preserve">reflog</w:t>
      </w:r>
      <w:r>
        <w:t xml:space="preserve">,</w:t>
      </w:r>
      <w:r>
        <w:t xml:space="preserve"> </w:t>
      </w:r>
      <w:r>
        <w:rPr>
          <w:rStyle w:val="VerbatimChar"/>
        </w:rPr>
        <w:t xml:space="preserve">worktree</w:t>
      </w:r>
      <w:r>
        <w:t xml:space="preserve">, los hooks o los flujos de ramas más complejos pertenecen a una etapa posterior de aprendizaje. El objetivo del curso no es convertir a cada estudiante en especialista en administración de repositorios, sino darle una base suficiente para trabajar con trazabilidad sin perderse en la herramienta.</w:t>
      </w:r>
    </w:p>
    <w:p>
      <w:pPr>
        <w:pStyle w:val="Textoindependiente"/>
      </w:pPr>
      <w:r>
        <w:t xml:space="preserve">Cuando necesites ir más allá, lo razonable es consultar el manual oficial de Git y la documentación del proyecto, que están pensados justamente para escalar desde un uso elemental hacia uno más sofisticado</w:t>
      </w:r>
      <w:r>
        <w:t xml:space="preserve"> </w:t>
      </w:r>
      <w:r>
        <w:t xml:space="preserve">(</w:t>
      </w:r>
      <w:hyperlink w:anchor="ref-gitusermanual2026">
        <w:r>
          <w:rPr>
            <w:rStyle w:val="Hipervnculo"/>
          </w:rPr>
          <w:t xml:space="preserve">Git Documentation 2026</w:t>
        </w:r>
      </w:hyperlink>
      <w:r>
        <w:t xml:space="preserve">;</w:t>
      </w:r>
      <w:r>
        <w:t xml:space="preserve"> </w:t>
      </w:r>
      <w:hyperlink w:anchor="ref-gitabout2025">
        <w:r>
          <w:rPr>
            <w:rStyle w:val="Hipervnculo"/>
          </w:rPr>
          <w:t xml:space="preserve">Git 2025</w:t>
        </w:r>
      </w:hyperlink>
      <w:r>
        <w:t xml:space="preserve">)</w:t>
      </w:r>
      <w:r>
        <w:t xml:space="preserve">. Ese manual merece ser mencionado aquí porque evita otro error frecuente: creer que Git se agota en</w:t>
      </w:r>
      <w:r>
        <w:t xml:space="preserve"> </w:t>
      </w:r>
      <w:r>
        <w:rPr>
          <w:rStyle w:val="VerbatimChar"/>
        </w:rPr>
        <w:t xml:space="preserve">clone</w:t>
      </w:r>
      <w:r>
        <w:t xml:space="preserve">,</w:t>
      </w:r>
      <w:r>
        <w:t xml:space="preserve"> </w:t>
      </w:r>
      <w:r>
        <w:rPr>
          <w:rStyle w:val="VerbatimChar"/>
        </w:rPr>
        <w:t xml:space="preserve">status</w:t>
      </w:r>
      <w:r>
        <w:t xml:space="preserve">,</w:t>
      </w:r>
      <w:r>
        <w:t xml:space="preserve"> </w:t>
      </w:r>
      <w:r>
        <w:rPr>
          <w:rStyle w:val="VerbatimChar"/>
        </w:rPr>
        <w:t xml:space="preserve">add</w:t>
      </w:r>
      <w:r>
        <w:t xml:space="preserve">,</w:t>
      </w:r>
      <w:r>
        <w:t xml:space="preserve"> </w:t>
      </w:r>
      <w:r>
        <w:rPr>
          <w:rStyle w:val="VerbatimChar"/>
        </w:rPr>
        <w:t xml:space="preserve">commit</w:t>
      </w:r>
      <w:r>
        <w:t xml:space="preserve"> </w:t>
      </w:r>
      <w:r>
        <w:t xml:space="preserve">y</w:t>
      </w:r>
      <w:r>
        <w:t xml:space="preserve"> </w:t>
      </w:r>
      <w:r>
        <w:rPr>
          <w:rStyle w:val="VerbatimChar"/>
        </w:rPr>
        <w:t xml:space="preserve">push</w:t>
      </w:r>
      <w:r>
        <w:t xml:space="preserve">. No se agota allí; simplemente este curso empieza allí.</w:t>
      </w:r>
    </w:p>
    <w:bookmarkEnd w:id="533"/>
    <w:bookmarkStart w:id="534" w:name="github-como-entorno-de-curso"/>
    <w:p>
      <w:pPr>
        <w:pStyle w:val="Ttulo2"/>
      </w:pPr>
      <w:r>
        <w:t xml:space="preserve">GitHub como entorno de curso</w:t>
      </w:r>
    </w:p>
    <w:p>
      <w:pPr>
        <w:pStyle w:val="FirstParagraph"/>
      </w:pPr>
      <w:r>
        <w:t xml:space="preserve">En este manual, GitHub no es solo un depósito de archivos. Es también el espacio donde el proyecto se vuelve visible, compartible y evaluable. Ahí se alojan los repositorios, ahí se observa si el</w:t>
      </w:r>
      <w:r>
        <w:t xml:space="preserve"> </w:t>
      </w:r>
      <w:r>
        <w:rPr>
          <w:rStyle w:val="VerbatimChar"/>
        </w:rPr>
        <w:t xml:space="preserve">push</w:t>
      </w:r>
      <w:r>
        <w:t xml:space="preserve"> </w:t>
      </w:r>
      <w:r>
        <w:t xml:space="preserve">realmente llegó y, cuando hace falta, ahí pueden organizarse tareas, entregas y publicación web mediante GitHub Pages</w:t>
      </w:r>
      <w:r>
        <w:t xml:space="preserve"> </w:t>
      </w:r>
      <w:r>
        <w:t xml:space="preserve">(</w:t>
      </w:r>
      <w:hyperlink w:anchor="ref-githubprojects2026">
        <w:r>
          <w:rPr>
            <w:rStyle w:val="Hipervnculo"/>
          </w:rPr>
          <w:t xml:space="preserve">GitHub Docs 2026a</w:t>
        </w:r>
      </w:hyperlink>
      <w:r>
        <w:t xml:space="preserve">,</w:t>
      </w:r>
      <w:r>
        <w:t xml:space="preserve"> </w:t>
      </w:r>
      <w:hyperlink w:anchor="ref-githubpages2026">
        <w:r>
          <w:rPr>
            <w:rStyle w:val="Hipervnculo"/>
          </w:rPr>
          <w:t xml:space="preserve">2026d</w:t>
        </w:r>
      </w:hyperlink>
      <w:r>
        <w:t xml:space="preserve">)</w:t>
      </w:r>
      <w:r>
        <w:t xml:space="preserve">.</w:t>
      </w:r>
    </w:p>
    <w:p>
      <w:pPr>
        <w:pStyle w:val="Textoindependiente"/>
      </w:pPr>
      <w:r>
        <w:t xml:space="preserve">Por eso conviene mirar GitHub no solo como “la nube de Git”, sino como un entorno institucional donde el trabajo adquiere presencia pública o semipública. Esa capa social y organizativa es parte de lo que explica su expansión y también parte de lo que justificó el interés estratégico de Microsoft por adquirir la plataforma en 2018</w:t>
      </w:r>
      <w:r>
        <w:t xml:space="preserve"> </w:t>
      </w:r>
      <w:r>
        <w:t xml:space="preserve">(</w:t>
      </w:r>
      <w:hyperlink w:anchor="ref-microsoftgithub2018">
        <w:r>
          <w:rPr>
            <w:rStyle w:val="Hipervnculo"/>
          </w:rPr>
          <w:t xml:space="preserve">Microsoft 2018</w:t>
        </w:r>
      </w:hyperlink>
      <w:r>
        <w:t xml:space="preserve">)</w:t>
      </w:r>
      <w:r>
        <w:t xml:space="preserve">.</w:t>
      </w:r>
    </w:p>
    <w:bookmarkEnd w:id="534"/>
    <w:bookmarkStart w:id="535" w:name="seguridad-mínima-de-la-cuenta"/>
    <w:p>
      <w:pPr>
        <w:pStyle w:val="Ttulo2"/>
      </w:pPr>
      <w:r>
        <w:t xml:space="preserve">Seguridad mínima de la cuenta</w:t>
      </w:r>
    </w:p>
    <w:p>
      <w:pPr>
        <w:pStyle w:val="FirstParagraph"/>
      </w:pPr>
      <w:r>
        <w:t xml:space="preserve">Si GitHub guarda trabajo del curso, entonces la cuenta deja de ser un detalle administrativo y pasa a ser parte de la infraestructura personal de estudio. GitHub recomienda activar autenticación de dos factores y preparar métodos de recuperación para no perder acceso en momentos críticos</w:t>
      </w:r>
      <w:r>
        <w:t xml:space="preserve"> </w:t>
      </w:r>
      <w:r>
        <w:t xml:space="preserve">(</w:t>
      </w:r>
      <w:hyperlink w:anchor="ref-github2fa2026">
        <w:r>
          <w:rPr>
            <w:rStyle w:val="Hipervnculo"/>
          </w:rPr>
          <w:t xml:space="preserve">GitHub Docs 2026b</w:t>
        </w:r>
      </w:hyperlink>
      <w:r>
        <w:t xml:space="preserve">)</w:t>
      </w:r>
      <w:r>
        <w:t xml:space="preserve">. Ese consejo merece tomarse en serio: una cuenta insegura o una cuenta mal configurada pueden volverse un problema tan práctico como un repositorio mal versionado.</w:t>
      </w:r>
    </w:p>
    <w:bookmarkEnd w:id="535"/>
    <w:bookmarkStart w:id="536" w:name="cierre-1"/>
    <w:p>
      <w:pPr>
        <w:pStyle w:val="Ttulo2"/>
      </w:pPr>
      <w:r>
        <w:t xml:space="preserve">Cierre</w:t>
      </w:r>
    </w:p>
    <w:p>
      <w:pPr>
        <w:pStyle w:val="FirstParagraph"/>
      </w:pPr>
      <w:r>
        <w:t xml:space="preserve">La disciplina que exigen Git y GitHub se parece, en más de un sentido, a la disciplina del trabajo jurídico: registrar, distinguir etapas, conservar evidencia y reconstruir decisiones. Por eso ambas herramientas encajan bien en un curso de Legal Tech. No porque todo jurista deba convertirse en desarrollador experto, sino porque entender cómo se organiza un historial verificable de cambios mejora también la forma de pensar procesos, documentos y responsabilidades</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Si una idea merece quedar de este tutorial, es esta: Git nació en diálogo directo con el problema de coordinar el desarrollo de Linux bajo Linus Torvalds, y GitHub creció después hasta convertirse en la gran plataforma social del versionado, hoy dentro del ecosistema de Microsoft</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 </w:t>
      </w:r>
      <w:hyperlink w:anchor="ref-microsoftgithub2018">
        <w:r>
          <w:rPr>
            <w:rStyle w:val="Hipervnculo"/>
          </w:rPr>
          <w:t xml:space="preserve">Microsoft 2018</w:t>
        </w:r>
      </w:hyperlink>
      <w:r>
        <w:t xml:space="preserve">)</w:t>
      </w:r>
      <w:r>
        <w:t xml:space="preserve">. Aprender a distinguir esos planos ayuda a trabajar con más precisión desde el comienzo.</w:t>
      </w:r>
    </w:p>
    <w:bookmarkEnd w:id="536"/>
    <w:bookmarkEnd w:id="537"/>
    <w:bookmarkStart w:id="548" w:name="Xcd0e63ecc2dbd69a42e1a118ea258cdee2233c4"/>
    <w:p>
      <w:pPr>
        <w:pStyle w:val="Ttulo1"/>
      </w:pPr>
      <w:r>
        <w:t xml:space="preserve">Tutorial: Licencias y reutilización responsable</w:t>
      </w:r>
    </w:p>
    <w:bookmarkStart w:id="538" w:name="para-qué-sirve-este-tutorial-3"/>
    <w:p>
      <w:pPr>
        <w:pStyle w:val="Ttulo2"/>
      </w:pPr>
      <w:r>
        <w:t xml:space="preserve">¿Para qué sirve este tutorial?</w:t>
      </w:r>
    </w:p>
    <w:p>
      <w:pPr>
        <w:pStyle w:val="FirstParagraph"/>
      </w:pPr>
      <w:r>
        <w:t xml:space="preserve">En un curso que trabaja con repositorios, código, plantillas y recursos digitales, la reutilización no puede tratarse como si fuera una simple operación técnica. También es una operación jurídica. Que un archivo sea visible, descargable o clonable no responde por sí mismo a la pregunta decisiva: bajo qué condiciones puede usarse, modificarse o redistribuirse</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githublicensing2026">
        <w:r>
          <w:rPr>
            <w:rStyle w:val="Hipervnculo"/>
          </w:rPr>
          <w:t xml:space="preserve">GitHub Docs 2026c</w:t>
        </w:r>
      </w:hyperlink>
      <w:r>
        <w:t xml:space="preserve">)</w:t>
      </w:r>
      <w:r>
        <w:t xml:space="preserve">.</w:t>
      </w:r>
    </w:p>
    <w:bookmarkEnd w:id="538"/>
    <w:bookmarkStart w:id="539" w:name="X176757a793866caf5daa4ee49836ea2346eb3b7"/>
    <w:p>
      <w:pPr>
        <w:pStyle w:val="Ttulo2"/>
      </w:pPr>
      <w:r>
        <w:t xml:space="preserve">Una historia breve antes de mirar un archivo</w:t>
      </w:r>
      <w:r>
        <w:t xml:space="preserve"> </w:t>
      </w:r>
      <w:r>
        <w:rPr>
          <w:rStyle w:val="VerbatimChar"/>
        </w:rPr>
        <w:t xml:space="preserve">LICENSE</w:t>
      </w:r>
    </w:p>
    <w:p>
      <w:pPr>
        <w:pStyle w:val="FirstParagraph"/>
      </w:pPr>
      <w:r>
        <w:t xml:space="preserve">La discusión sobre licencias de software no empezó como un problema de formulario, sino como una disputa sobre la forma en que el derecho de autor podía usarse para restringir o, por el contrario, para garantizar ciertas libertades de uso, copia, modificación y distribución</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Ese punto es importante porque corrige una confusión muy extendida: el software libre no vive fuera del derecho, sino que se apoya precisamente en instrumentos jurídicos para producir un régimen de circulación distinto.</w:t>
      </w:r>
    </w:p>
    <w:p>
      <w:pPr>
        <w:pStyle w:val="Textoindependiente"/>
      </w:pPr>
      <w:r>
        <w:t xml:space="preserve">Jacovkis añade una idea que conviene conservar en un manual como este: el software libre también expresa una forma de producción colectiva de conocimiento, donde la mejora de herramientas depende de comunidades que comparten, corrigen y expanden trabajo ajeno</w:t>
      </w:r>
      <w:r>
        <w:t xml:space="preserve"> </w:t>
      </w:r>
      <w:r>
        <w:t xml:space="preserve">(</w:t>
      </w:r>
      <w:hyperlink w:anchor="ref-jacovkis2009softwarelibre">
        <w:r>
          <w:rPr>
            <w:rStyle w:val="Hipervnculo"/>
          </w:rPr>
          <w:t xml:space="preserve">Jacovkis 2009</w:t>
        </w:r>
      </w:hyperlink>
      <w:r>
        <w:t xml:space="preserve">)</w:t>
      </w:r>
      <w:r>
        <w:t xml:space="preserve">. Visto así, el archivo</w:t>
      </w:r>
      <w:r>
        <w:t xml:space="preserve"> </w:t>
      </w:r>
      <w:r>
        <w:rPr>
          <w:rStyle w:val="VerbatimChar"/>
        </w:rPr>
        <w:t xml:space="preserve">LICENSE</w:t>
      </w:r>
      <w:r>
        <w:t xml:space="preserve"> </w:t>
      </w:r>
      <w:r>
        <w:t xml:space="preserve">no es un adorno burocrático del repositorio, sino una pieza central de su arquitectura normativa.</w:t>
      </w:r>
    </w:p>
    <w:bookmarkEnd w:id="539"/>
    <w:bookmarkStart w:id="542" w:name="copyright-copyleft-y-copyleft-reforzado"/>
    <w:p>
      <w:pPr>
        <w:pStyle w:val="Ttulo2"/>
      </w:pPr>
      <w:r>
        <w:t xml:space="preserve">Copyright, copyleft y copyleft reforzado</w:t>
      </w:r>
    </w:p>
    <w:p>
      <w:pPr>
        <w:pStyle w:val="FirstParagraph"/>
      </w:pPr>
      <w:r>
        <w:t xml:space="preserve">En su forma más simple, el copyright funciona como un régimen de exclusividad. Si el autor no concede permiso, el tercero no puede copiar, modificar ni redistribuir legítimamente la obra más allá de los límites que reconozca el ordenamiento</w:t>
      </w:r>
      <w:r>
        <w:t xml:space="preserve"> </w:t>
      </w:r>
      <w:r>
        <w:t xml:space="preserve">(</w:t>
      </w:r>
      <w:hyperlink w:anchor="ref-bain2007softwarelibre2">
        <w:r>
          <w:rPr>
            <w:rStyle w:val="Hipervnculo"/>
          </w:rPr>
          <w:t xml:space="preserve">Bain et al. 2007b</w:t>
        </w:r>
      </w:hyperlink>
      <w:r>
        <w:t xml:space="preserve">)</w:t>
      </w:r>
      <w:r>
        <w:t xml:space="preserve">. GitHub lo explica con claridad: si publicas código sin licencia, el derecho de autor sigue operando por defecto y los demás no reciben automáticamente permiso para reproducir, distribuir o crear obras derivadas</w:t>
      </w:r>
      <w:r>
        <w:t xml:space="preserve"> </w:t>
      </w:r>
      <w:r>
        <w:t xml:space="preserve">(</w:t>
      </w:r>
      <w:hyperlink w:anchor="ref-githublicensing2026">
        <w:r>
          <w:rPr>
            <w:rStyle w:val="Hipervnculo"/>
          </w:rPr>
          <w:t xml:space="preserve">GitHub Docs 2026c</w:t>
        </w:r>
      </w:hyperlink>
      <w:r>
        <w:t xml:space="preserve">)</w:t>
      </w:r>
      <w:r>
        <w:t xml:space="preserve">.</w:t>
      </w:r>
    </w:p>
    <w:p>
      <w:pPr>
        <w:pStyle w:val="Textoindependiente"/>
      </w:pPr>
      <w:r>
        <w:t xml:space="preserve">El copyleft trabaja con la misma base jurídica, pero le da una orientación distinta. En lugar de usar el copyright solo para cerrar el acceso, lo usa para obligar a que determinadas libertades se mantengan también en las versiones derivadas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Por eso se dice a veces que el copyleft no niega el derecho de autor: lo invierte estratégicamente. La variante reforzada de esa lógica aparece en licencias como la AGPL, que extienden la exigencia de compartir código incluso cuando la modificación se ofrece como servicio a través de una red</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 diferencia conceptual puede formularse así. El copyright cerrado parte de la reserva. El copyleft parte de la apertura condicionada. Ambos usan derecho de autor; lo que cambia es la manera de distribuir permisos y obligaciones.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40" name="Picture"/>
                  <a:graphic>
                    <a:graphicData uri="http://schemas.openxmlformats.org/drawingml/2006/picture">
                      <pic:pic>
                        <pic:nvPicPr>
                          <pic:cNvPr descr="/Applications/quarto/share/formats/docx/note.png" id="54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Textoindependiente"/>
            </w:pPr>
            <w:pPr>
              <w:spacing w:before="16" w:after="16"/>
            </w:pPr>
            <w:r>
              <w:t xml:space="preserve">Que un repositorio sea público en GitHub no significa que pueda reutilizarse libremente. La publicidad facilita acceso y lectura; la licencia define el alcance jurídico de ese acceso</w:t>
            </w:r>
            <w:r>
              <w:t xml:space="preserve"> </w:t>
            </w:r>
            <w:r>
              <w:t xml:space="preserve">(</w:t>
            </w:r>
            <w:hyperlink w:anchor="ref-githublicensing2026">
              <w:r>
                <w:rPr>
                  <w:rStyle w:val="Hipervnculo"/>
                </w:rPr>
                <w:t xml:space="preserve">GitHub Docs 2026c</w:t>
              </w:r>
            </w:hyperlink>
            <w:r>
              <w:t xml:space="preserve">)</w:t>
            </w:r>
            <w:r>
              <w:t xml:space="preserve">.</w:t>
            </w:r>
          </w:p>
          <w:p/>
        </w:tc>
      </w:tr>
    </w:tbl>
    <w:bookmarkEnd w:id="542"/>
    <w:bookmarkStart w:id="543" w:name="X54d177bdc96e934cf21296adcf666b7a6a937e8"/>
    <w:p>
      <w:pPr>
        <w:pStyle w:val="Ttulo2"/>
      </w:pPr>
      <w:r>
        <w:t xml:space="preserve">Las licencias que GitHub pone normalmente al alcance</w:t>
      </w:r>
    </w:p>
    <w:p>
      <w:pPr>
        <w:pStyle w:val="FirstParagraph"/>
      </w:pPr>
      <w:r>
        <w:t xml:space="preserve">Cuando creas un repositorio nuevo, GitHub ofrece un selector de licencias y remite al proyecto</w:t>
      </w:r>
      <w:r>
        <w:t xml:space="preserve"> </w:t>
      </w:r>
      <w:r>
        <w:rPr>
          <w:b/>
          <w:bCs/>
        </w:rPr>
        <w:t xml:space="preserve">Choose a License</w:t>
      </w:r>
      <w:r>
        <w:t xml:space="preserve"> </w:t>
      </w:r>
      <w:r>
        <w:t xml:space="preserve">como punto de partida para escoger entre licencias abiertas comunes</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 Ese repertorio no agota todo el universo posible, pero sí reúne las familias con las que un estudiante se encontrará más a menudo. Conviene leerlas no como nombres sueltos, sino como respuestas distintas a una misma pregunta: cuánto permito, qué exijo conservar y hasta dónde obligo a compartir las mejoras.</w:t>
      </w:r>
    </w:p>
    <w:p>
      <w:pPr>
        <w:pStyle w:val="Textoindependiente"/>
      </w:pPr>
      <w:r>
        <w:t xml:space="preserve">La licencia</w:t>
      </w:r>
      <w:r>
        <w:t xml:space="preserve"> </w:t>
      </w:r>
      <w:r>
        <w:rPr>
          <w:b/>
          <w:bCs/>
        </w:rPr>
        <w:t xml:space="preserve">MIT</w:t>
      </w:r>
      <w:r>
        <w:t xml:space="preserve"> </w:t>
      </w:r>
      <w:r>
        <w:t xml:space="preserve">es el caso clásico de licencia permisiva. Permite usar, copiar, modificar y redistribuir con muy pocas condiciones, básicamente conservar el aviso de copyright y la licencia</w:t>
      </w:r>
      <w:r>
        <w:t xml:space="preserve"> </w:t>
      </w:r>
      <w:r>
        <w:t xml:space="preserve">(</w:t>
      </w:r>
      <w:hyperlink w:anchor="ref-choosealicenselicenses2026">
        <w:r>
          <w:rPr>
            <w:rStyle w:val="Hipervnculo"/>
          </w:rPr>
          <w:t xml:space="preserve">Choose a License 2026b</w:t>
        </w:r>
      </w:hyperlink>
      <w:r>
        <w:t xml:space="preserve">)</w:t>
      </w:r>
      <w:r>
        <w:t xml:space="preserve">. Por eso suele verse en proyectos que priorizan circulación amplia y baja fricción.</w:t>
      </w:r>
    </w:p>
    <w:p>
      <w:pPr>
        <w:pStyle w:val="Textoindependiente"/>
      </w:pPr>
      <w:r>
        <w:t xml:space="preserve">La</w:t>
      </w:r>
      <w:r>
        <w:t xml:space="preserve"> </w:t>
      </w:r>
      <w:r>
        <w:rPr>
          <w:b/>
          <w:bCs/>
        </w:rPr>
        <w:t xml:space="preserve">Apache License 2.0</w:t>
      </w:r>
      <w:r>
        <w:t xml:space="preserve"> </w:t>
      </w:r>
      <w:r>
        <w:t xml:space="preserve">también es permisiva, pero añade una estructura más explícita respecto de avisos, cambios y concesión de patentes</w:t>
      </w:r>
      <w:r>
        <w:t xml:space="preserve"> </w:t>
      </w:r>
      <w:r>
        <w:t xml:space="preserve">(</w:t>
      </w:r>
      <w:hyperlink w:anchor="ref-choosealicenselicenses2026">
        <w:r>
          <w:rPr>
            <w:rStyle w:val="Hipervnculo"/>
          </w:rPr>
          <w:t xml:space="preserve">Choose a License 2026b</w:t>
        </w:r>
      </w:hyperlink>
      <w:r>
        <w:t xml:space="preserve">)</w:t>
      </w:r>
      <w:r>
        <w:t xml:space="preserve">. Suele elegirse cuando se quiere apertura con un marco algo más detallado que MIT.</w:t>
      </w:r>
    </w:p>
    <w:p>
      <w:pPr>
        <w:pStyle w:val="Textoindependiente"/>
      </w:pPr>
      <w:r>
        <w:t xml:space="preserve">Las licencias</w:t>
      </w:r>
      <w:r>
        <w:t xml:space="preserve"> </w:t>
      </w:r>
      <w:r>
        <w:rPr>
          <w:b/>
          <w:bCs/>
        </w:rPr>
        <w:t xml:space="preserve">BSD de 2 y 3 cláusulas</w:t>
      </w:r>
      <w:r>
        <w:t xml:space="preserve"> </w:t>
      </w:r>
      <w:r>
        <w:t xml:space="preserve">pertenecen igualmente al campo permisivo. Conservan la lógica de permitir reutilización amplia, aunque la versión de 3 cláusulas agrega una protección adicional frente al uso del nombre de los autores o contribuyentes para promocionar derivados sin autorización</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GPLv3</w:t>
      </w:r>
      <w:r>
        <w:t xml:space="preserve"> </w:t>
      </w:r>
      <w:r>
        <w:t xml:space="preserve">representa el copyleft fuerte. Permite usar, modificar y redistribuir, pero exige que las obras derivadas distribuidas mantengan la misma licencia y hagan disponible el código fuente correspondiente</w:t>
      </w:r>
      <w:r>
        <w:t xml:space="preserve"> </w:t>
      </w:r>
      <w:r>
        <w:t xml:space="preserve">(</w:t>
      </w:r>
      <w:hyperlink w:anchor="ref-choosealicenselicenses2026">
        <w:r>
          <w:rPr>
            <w:rStyle w:val="Hipervnculo"/>
          </w:rPr>
          <w:t xml:space="preserve">Choose a License 2026b</w:t>
        </w:r>
      </w:hyperlink>
      <w:r>
        <w:t xml:space="preserve">)</w:t>
      </w:r>
      <w:r>
        <w:t xml:space="preserve">. Su lógica no es “cerrar”, sino impedir que una mejora privativa se apropie de un trabajo que ingresó bajo términos de libertad recíproca.</w:t>
      </w:r>
    </w:p>
    <w:p>
      <w:pPr>
        <w:pStyle w:val="Textoindependiente"/>
      </w:pPr>
      <w:r>
        <w:t xml:space="preserve">La</w:t>
      </w:r>
      <w:r>
        <w:t xml:space="preserve"> </w:t>
      </w:r>
      <w:r>
        <w:rPr>
          <w:b/>
          <w:bCs/>
        </w:rPr>
        <w:t xml:space="preserve">LGPLv3</w:t>
      </w:r>
      <w:r>
        <w:t xml:space="preserve"> </w:t>
      </w:r>
      <w:r>
        <w:t xml:space="preserve">mantiene una lógica de copyleft más acotada, usualmente pensada para bibliotecas. Permite que un programa más amplio interactúe con la biblioteca sin imponer necesariamente la misma licencia a todo el conjunto, aunque sí conserva obligaciones sobre la parte específicamente licenciada bajo LGPL</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AGPLv3</w:t>
      </w:r>
      <w:r>
        <w:t xml:space="preserve"> </w:t>
      </w:r>
      <w:r>
        <w:t xml:space="preserve">lleva el copyleft a un punto más intenso al considerar también el uso por red. Si una versión modificada se ofrece como servicio, debe ponerse a disposición el código fuente de esa versión</w:t>
      </w:r>
      <w:r>
        <w:t xml:space="preserve"> </w:t>
      </w:r>
      <w:r>
        <w:t xml:space="preserve">(</w:t>
      </w:r>
      <w:hyperlink w:anchor="ref-choosealicenselicenses2026">
        <w:r>
          <w:rPr>
            <w:rStyle w:val="Hipervnculo"/>
          </w:rPr>
          <w:t xml:space="preserve">Choose a License 2026b</w:t>
        </w:r>
      </w:hyperlink>
      <w:r>
        <w:t xml:space="preserve">)</w:t>
      </w:r>
      <w:r>
        <w:t xml:space="preserve">. Para un curso de Legal Tech, esta diferencia importa porque muchas herramientas actuales ya no se distribuyen solo como software instalado, sino como servicios accesibles en línea.</w:t>
      </w:r>
    </w:p>
    <w:p>
      <w:pPr>
        <w:pStyle w:val="Textoindependiente"/>
      </w:pPr>
      <w:r>
        <w:t xml:space="preserve">La</w:t>
      </w:r>
      <w:r>
        <w:t xml:space="preserve"> </w:t>
      </w:r>
      <w:r>
        <w:rPr>
          <w:b/>
          <w:bCs/>
        </w:rPr>
        <w:t xml:space="preserve">MPL 2.0</w:t>
      </w:r>
      <w:r>
        <w:t xml:space="preserve"> </w:t>
      </w:r>
      <w:r>
        <w:t xml:space="preserve">suele describirse como copyleft débil o a nivel de archivo. Exige compartir bajo la misma licencia los archivos modificados que ya estaban cubiertos por MPL, pero no necesariamente arrastra toda la obra mayor a la misma licencia</w:t>
      </w:r>
      <w:r>
        <w:t xml:space="preserve"> </w:t>
      </w:r>
      <w:r>
        <w:t xml:space="preserve">(</w:t>
      </w:r>
      <w:hyperlink w:anchor="ref-choosealicenselicenses2026">
        <w:r>
          <w:rPr>
            <w:rStyle w:val="Hipervnculo"/>
          </w:rPr>
          <w:t xml:space="preserve">Choose a License 2026b</w:t>
        </w:r>
      </w:hyperlink>
      <w:r>
        <w:t xml:space="preserve">)</w:t>
      </w:r>
      <w:r>
        <w:t xml:space="preserve">. En la práctica, funciona como una fórmula intermedia entre permisividad amplia y reciprocidad fuerte.</w:t>
      </w:r>
    </w:p>
    <w:p>
      <w:pPr>
        <w:pStyle w:val="Textoindependiente"/>
      </w:pPr>
      <w:r>
        <w:t xml:space="preserve">Finalmente,</w:t>
      </w:r>
      <w:r>
        <w:t xml:space="preserve"> </w:t>
      </w:r>
      <w:r>
        <w:rPr>
          <w:b/>
          <w:bCs/>
        </w:rPr>
        <w:t xml:space="preserve">The Unlicense</w:t>
      </w:r>
      <w:r>
        <w:t xml:space="preserve"> </w:t>
      </w:r>
      <w:r>
        <w:t xml:space="preserve">intenta aproximarse a una dedicación al dominio público y elimina al máximo las condiciones de reutilización, aunque conserva la habitual exclusión de garantías</w:t>
      </w:r>
      <w:r>
        <w:t xml:space="preserve"> </w:t>
      </w:r>
      <w:r>
        <w:t xml:space="preserve">(</w:t>
      </w:r>
      <w:hyperlink w:anchor="ref-choosealicenselicenses2026">
        <w:r>
          <w:rPr>
            <w:rStyle w:val="Hipervnculo"/>
          </w:rPr>
          <w:t xml:space="preserve">Choose a License 2026b</w:t>
        </w:r>
      </w:hyperlink>
      <w:r>
        <w:t xml:space="preserve">)</w:t>
      </w:r>
      <w:r>
        <w:t xml:space="preserve">. Es una opción extrema en la dirección de la permisividad.</w:t>
      </w:r>
    </w:p>
    <w:bookmarkEnd w:id="543"/>
    <w:bookmarkStart w:id="544" w:name="X5b25542a662f1f256bb476754b7f3208f239a1d"/>
    <w:p>
      <w:pPr>
        <w:pStyle w:val="Ttulo2"/>
      </w:pPr>
      <w:r>
        <w:t xml:space="preserve">Qué conviene mirar en un repositorio concreto</w:t>
      </w:r>
    </w:p>
    <w:p>
      <w:pPr>
        <w:pStyle w:val="FirstParagraph"/>
      </w:pPr>
      <w:r>
        <w:t xml:space="preserve">En la práctica, la lectura jurídica mínima de un repositorio puede apoyarse en unas pocas preguntas: si tiene archivo</w:t>
      </w:r>
      <w:r>
        <w:t xml:space="preserve"> </w:t>
      </w:r>
      <w:r>
        <w:rPr>
          <w:rStyle w:val="VerbatimChar"/>
        </w:rPr>
        <w:t xml:space="preserve">LICENSE</w:t>
      </w:r>
      <w:r>
        <w:t xml:space="preserve">, qué tipo de licencia usa, si exige conservar avisos de autoría, si obliga a compartir cambios bajo la misma licencia y si introduce exigencias especiales respecto de patentes, red, bibliotecas o promoción comercial</w:t>
      </w:r>
      <w:r>
        <w:t xml:space="preserve"> </w:t>
      </w:r>
      <w:r>
        <w:t xml:space="preserve">(</w:t>
      </w:r>
      <w:hyperlink w:anchor="ref-bain2007softwarelibre2">
        <w:r>
          <w:rPr>
            <w:rStyle w:val="Hipervnculo"/>
          </w:rPr>
          <w:t xml:space="preserve">Bain et al. 2007b</w:t>
        </w:r>
      </w:hyperlink>
      <w:r>
        <w:t xml:space="preserve">;</w:t>
      </w:r>
      <w:r>
        <w:t xml:space="preserve"> </w:t>
      </w:r>
      <w:hyperlink w:anchor="ref-githublicensing2026">
        <w:r>
          <w:rPr>
            <w:rStyle w:val="Hipervnculo"/>
          </w:rPr>
          <w:t xml:space="preserve">GitHub Docs 2026c</w:t>
        </w:r>
      </w:hyperlink>
      <w:r>
        <w:t xml:space="preserve">)</w:t>
      </w:r>
      <w:r>
        <w:t xml:space="preserve">.</w:t>
      </w:r>
    </w:p>
    <w:p>
      <w:pPr>
        <w:pStyle w:val="Textoindependiente"/>
      </w:pPr>
      <w:r>
        <w:t xml:space="preserve">No hace falta convertir cada consulta en un seminario de propiedad intelectual. Pero sí hace falta resistir la tentación de asumir que “está en GitHub” equivale a “está disponible para cualquier uso”. GitHub mismo advierte que la ausencia de licencia no crea permisos de reutilización, aunque el código sea visible y el repositorio pueda incluso ser forkeado dentro de la plataforma</w:t>
      </w:r>
      <w:r>
        <w:t xml:space="preserve"> </w:t>
      </w:r>
      <w:r>
        <w:t xml:space="preserve">(</w:t>
      </w:r>
      <w:hyperlink w:anchor="ref-githublicensing2026">
        <w:r>
          <w:rPr>
            <w:rStyle w:val="Hipervnculo"/>
          </w:rPr>
          <w:t xml:space="preserve">GitHub Docs 2026c</w:t>
        </w:r>
      </w:hyperlink>
      <w:r>
        <w:t xml:space="preserve">)</w:t>
      </w:r>
      <w:r>
        <w:t xml:space="preserve">.</w:t>
      </w:r>
    </w:p>
    <w:bookmarkEnd w:id="544"/>
    <w:bookmarkStart w:id="545" w:name="Xba8e3ef85d43f53a8f5126dbba3df12d6a4e251"/>
    <w:p>
      <w:pPr>
        <w:pStyle w:val="Ttulo2"/>
      </w:pPr>
      <w:r>
        <w:t xml:space="preserve">Por qué esto importa especialmente a un jurista</w:t>
      </w:r>
    </w:p>
    <w:p>
      <w:pPr>
        <w:pStyle w:val="FirstParagraph"/>
      </w:pPr>
      <w:r>
        <w:t xml:space="preserve">Para un estudiante de Derecho, este tutorial tiene un interés que va más allá del software. Obliga a distinguir entre acceso material y habilitación normativa, entre posibilidad técnica y permiso jurídico, entre disponibilidad de un recurso y condiciones de circulación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distinción aparece también en muchos otros ámbitos del trabajo jurídico contemporáneo: datos públicos, documentos administrativos, contenidos digitales, bases de datos y materiales colaborativos.</w:t>
      </w:r>
    </w:p>
    <w:p>
      <w:pPr>
        <w:pStyle w:val="Textoindependiente"/>
      </w:pPr>
      <w:r>
        <w:t xml:space="preserve">Además, la cuestión de las licencias enseña a leer infraestructura. Un jurista no solo interpreta normas estatales o contratos privados en sentido tradicional. También necesita entender cómo un entorno técnico incorpora reglas de uso, redistribución, trazabilidad y responsabilidad en sus propios artefactos</w:t>
      </w:r>
      <w:r>
        <w:t xml:space="preserve"> </w:t>
      </w:r>
      <w:r>
        <w:t xml:space="preserve">(</w:t>
      </w:r>
      <w:hyperlink w:anchor="ref-jacovkis2009softwarelibre">
        <w:r>
          <w:rPr>
            <w:rStyle w:val="Hipervnculo"/>
          </w:rPr>
          <w:t xml:space="preserve">Jacovkis 2009</w:t>
        </w:r>
      </w:hyperlink>
      <w:r>
        <w:t xml:space="preserve">;</w:t>
      </w:r>
      <w:r>
        <w:t xml:space="preserve"> </w:t>
      </w:r>
      <w:hyperlink w:anchor="ref-bain2007softwarelibre1">
        <w:r>
          <w:rPr>
            <w:rStyle w:val="Hipervnculo"/>
          </w:rPr>
          <w:t xml:space="preserve">Bain et al. 2007a</w:t>
        </w:r>
      </w:hyperlink>
      <w:r>
        <w:t xml:space="preserve">)</w:t>
      </w:r>
      <w:r>
        <w:t xml:space="preserve">.</w:t>
      </w:r>
    </w:p>
    <w:bookmarkEnd w:id="545"/>
    <w:bookmarkStart w:id="546" w:name="aplicación-práctica-para-el-curso"/>
    <w:p>
      <w:pPr>
        <w:pStyle w:val="Ttulo2"/>
      </w:pPr>
      <w:r>
        <w:t xml:space="preserve">Aplicación práctica para el curso</w:t>
      </w:r>
    </w:p>
    <w:p>
      <w:pPr>
        <w:pStyle w:val="FirstParagraph"/>
      </w:pPr>
      <w:r>
        <w:t xml:space="preserve">Cuando reutilices código, una plantilla, una imagen, una hoja de estilos o una pequeña función encontrada en otro repositorio, conviene seguir una secuencia sobria: identificar la fuente, leer la licencia, anotar qué tomaste y registrar bajo qué condiciones lo incorporaste</w:t>
      </w:r>
      <w:r>
        <w:t xml:space="preserve"> </w:t>
      </w:r>
      <w:r>
        <w:t xml:space="preserve">(</w:t>
      </w:r>
      <w:hyperlink w:anchor="ref-bain2007softwarelibre2">
        <w:r>
          <w:rPr>
            <w:rStyle w:val="Hipervnculo"/>
          </w:rPr>
          <w:t xml:space="preserve">Bain et al. 2007b</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disciplina protege tanto la integridad académica como el cumplimiento básico de reglas de reutilización.</w:t>
      </w:r>
    </w:p>
    <w:p>
      <w:pPr>
        <w:pStyle w:val="Textoindependiente"/>
      </w:pPr>
      <w:r>
        <w:t xml:space="preserve">Si la licencia es permisiva, la obligación quizá sea solo conservar avisos y atribución. Si es copyleft, el problema puede desplazarse hacia la obligación de mantener la misma licencia en determinadas redistribuciones. Si no hay licencia, lo prudente es no asumir permiso donde el titular no lo ha concedido expresamente</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w:t>
      </w:r>
    </w:p>
    <w:bookmarkEnd w:id="546"/>
    <w:bookmarkStart w:id="547" w:name="cierre-2"/>
    <w:p>
      <w:pPr>
        <w:pStyle w:val="Ttulo2"/>
      </w:pPr>
      <w:r>
        <w:t xml:space="preserve">Cierre</w:t>
      </w:r>
    </w:p>
    <w:p>
      <w:pPr>
        <w:pStyle w:val="FirstParagraph"/>
      </w:pPr>
      <w:r>
        <w:t xml:space="preserve">La lección principal de este tutorial es sencilla, aunque no trivial. En GitHub no basta con saber clonar, copiar o pegar. También importa saber bajo qué régimen jurídico circula lo que estás usando. El copyright no desaparece porque el archivo sea público; el copyleft no elimina el derecho de autor, sino que lo usa para imponer reciprocidad; y las licencias permisivas no significan ausencia de reglas, sino reglas más livianas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choosealicenselicenses2026">
        <w:r>
          <w:rPr>
            <w:rStyle w:val="Hipervnculo"/>
          </w:rPr>
          <w:t xml:space="preserve">Choose a License 2026b</w:t>
        </w:r>
      </w:hyperlink>
      <w:r>
        <w:t xml:space="preserve">)</w:t>
      </w:r>
      <w:r>
        <w:t xml:space="preserve">.</w:t>
      </w:r>
    </w:p>
    <w:p>
      <w:pPr>
        <w:pStyle w:val="Textoindependiente"/>
      </w:pPr>
      <w:r>
        <w:t xml:space="preserve">Si el curso busca formar una cultura mínima de trabajo responsable, entonces revisar un archivo</w:t>
      </w:r>
      <w:r>
        <w:t xml:space="preserve"> </w:t>
      </w:r>
      <w:r>
        <w:rPr>
          <w:rStyle w:val="VerbatimChar"/>
        </w:rPr>
        <w:t xml:space="preserve">LICENSE</w:t>
      </w:r>
      <w:r>
        <w:t xml:space="preserve"> </w:t>
      </w:r>
      <w:r>
        <w:t xml:space="preserve">debería sentirse tan normal como revisar la fuente de una cita o la fecha de una norma. En ambos casos, lo que está en juego es la misma virtud: no trabajar sobre supuestos vagos cuando el propio material ofrece la información necesaria para decidir mejor.</w:t>
      </w:r>
    </w:p>
    <w:bookmarkEnd w:id="547"/>
    <w:bookmarkEnd w:id="548"/>
    <w:bookmarkStart w:id="561" w:name="tutorial-github-pages"/>
    <w:p>
      <w:pPr>
        <w:pStyle w:val="Ttulo1"/>
      </w:pPr>
      <w:r>
        <w:t xml:space="preserve">Tutorial: GitHub Pages</w:t>
      </w:r>
    </w:p>
    <w:bookmarkStart w:id="549" w:name="para-qué-sirve-este-tutorial-4"/>
    <w:p>
      <w:pPr>
        <w:pStyle w:val="Ttulo2"/>
      </w:pPr>
      <w:r>
        <w:t xml:space="preserve">¿Para qué sirve este tutorial?</w:t>
      </w:r>
    </w:p>
    <w:p>
      <w:pPr>
        <w:pStyle w:val="FirstParagraph"/>
      </w:pPr>
      <w:r>
        <w:t xml:space="preserve">GitHub Pages permite publicar sitios estáticos directamente desde un repositorio. En este curso resulta especialmente útil porque une dos cosas que conviene no separar: la página visible y el proceso técnico que la produjo. Cuando el sitio se publica desde el mismo repositorio donde fue escrito, también queda trazabilidad sobre sus cambios</w:t>
      </w:r>
      <w:r>
        <w:t xml:space="preserve"> </w:t>
      </w:r>
      <w:r>
        <w:t xml:space="preserve">(</w:t>
      </w:r>
      <w:hyperlink w:anchor="ref-githubpages2026">
        <w:r>
          <w:rPr>
            <w:rStyle w:val="Hipervnculo"/>
          </w:rPr>
          <w:t xml:space="preserve">GitHub Docs 2026d</w:t>
        </w:r>
      </w:hyperlink>
      <w:r>
        <w:t xml:space="preserve">)</w:t>
      </w:r>
      <w:r>
        <w:t xml:space="preserve">.</w:t>
      </w:r>
    </w:p>
    <w:bookmarkEnd w:id="549"/>
    <w:bookmarkStart w:id="550" w:name="una-historia-breve-antes-de-publicar"/>
    <w:p>
      <w:pPr>
        <w:pStyle w:val="Ttulo2"/>
      </w:pPr>
      <w:r>
        <w:t xml:space="preserve">Una historia breve antes de publicar</w:t>
      </w:r>
    </w:p>
    <w:p>
      <w:pPr>
        <w:pStyle w:val="FirstParagraph"/>
      </w:pPr>
      <w:r>
        <w:t xml:space="preserve">La historia temprana de GitHub Pages es casi una declaración pedagógica. En la entrada original del blog de GitHub, publicada en diciembre de 2008, el servicio se presentó con una idea extremadamente simple: publicar contenido web podía volverse tan fácil como hacer</w:t>
      </w:r>
      <w:r>
        <w:t xml:space="preserve"> </w:t>
      </w:r>
      <w:r>
        <w:rPr>
          <w:rStyle w:val="VerbatimChar"/>
        </w:rPr>
        <w:t xml:space="preserve">git push</w:t>
      </w:r>
      <w:r>
        <w:t xml:space="preserve"> </w:t>
      </w:r>
      <w:r>
        <w:t xml:space="preserve">(</w:t>
      </w:r>
      <w:hyperlink w:anchor="ref-githubpageslaunch2008">
        <w:r>
          <w:rPr>
            <w:rStyle w:val="Hipervnculo"/>
          </w:rPr>
          <w:t xml:space="preserve">GitHub Blog 2008</w:t>
        </w:r>
      </w:hyperlink>
      <w:r>
        <w:t xml:space="preserve">)</w:t>
      </w:r>
      <w:r>
        <w:t xml:space="preserve">. Esa formulación sigue siendo poderosa porque resume muy bien qué vuelve atractivo a Pages en un curso como este: producto y proceso quedan unidos.</w:t>
      </w:r>
    </w:p>
    <w:p>
      <w:pPr>
        <w:pStyle w:val="Textoindependiente"/>
      </w:pPr>
      <w:r>
        <w:t xml:space="preserve">El mismo post original muestra además dos detalles anecdóticos útiles. Para páginas personales, bastaba un repositorio del tipo</w:t>
      </w:r>
      <w:r>
        <w:t xml:space="preserve"> </w:t>
      </w:r>
      <w:r>
        <w:rPr>
          <w:rStyle w:val="VerbatimChar"/>
        </w:rPr>
        <w:t xml:space="preserve">username.github.com</w:t>
      </w:r>
      <w:r>
        <w:t xml:space="preserve">; para muchos proyectos, GitHub permitió publicar desde una rama</w:t>
      </w:r>
      <w:r>
        <w:t xml:space="preserve"> </w:t>
      </w:r>
      <w:r>
        <w:rPr>
          <w:rStyle w:val="VerbatimChar"/>
        </w:rPr>
        <w:t xml:space="preserve">gh-pages</w:t>
      </w:r>
      <w:r>
        <w:t xml:space="preserve"> </w:t>
      </w:r>
      <w:r>
        <w:t xml:space="preserve">separada del resto del código</w:t>
      </w:r>
      <w:r>
        <w:t xml:space="preserve"> </w:t>
      </w:r>
      <w:r>
        <w:t xml:space="preserve">(</w:t>
      </w:r>
      <w:hyperlink w:anchor="ref-githubpageslaunch2008">
        <w:r>
          <w:rPr>
            <w:rStyle w:val="Hipervnculo"/>
          </w:rPr>
          <w:t xml:space="preserve">GitHub Blog 2008</w:t>
        </w:r>
      </w:hyperlink>
      <w:r>
        <w:t xml:space="preserve">)</w:t>
      </w:r>
      <w:r>
        <w:t xml:space="preserve">. No era un capricho técnico. Era una manera de evitar que el sitio publicado ensuciara el directorio principal del proyecto y de mantener una separación razonable entre fuente y publicación</w:t>
      </w:r>
      <w:r>
        <w:t xml:space="preserve"> </w:t>
      </w:r>
      <w:r>
        <w:t xml:space="preserve">(</w:t>
      </w:r>
      <w:hyperlink w:anchor="ref-githubpageslaunch2008">
        <w:r>
          <w:rPr>
            <w:rStyle w:val="Hipervnculo"/>
          </w:rPr>
          <w:t xml:space="preserve">GitHub Blog 2008</w:t>
        </w:r>
      </w:hyperlink>
      <w:r>
        <w:t xml:space="preserve">)</w:t>
      </w:r>
      <w:r>
        <w:t xml:space="preserve">.</w:t>
      </w:r>
    </w:p>
    <w:p>
      <w:pPr>
        <w:pStyle w:val="Textoindependiente"/>
      </w:pPr>
      <w:r>
        <w:t xml:space="preserve">Con el tiempo, la plataforma evolucionó. GitHub explicó después que Pages se convirtió en hogar de millones de sitios y que el servicio terminó apoyándose en Actions para construir y desplegar con más flexibilidad</w:t>
      </w:r>
      <w:r>
        <w:t xml:space="preserve"> </w:t>
      </w:r>
      <w:r>
        <w:t xml:space="preserve">(</w:t>
      </w:r>
      <w:hyperlink w:anchor="ref-githubpages2026">
        <w:r>
          <w:rPr>
            <w:rStyle w:val="Hipervnculo"/>
          </w:rPr>
          <w:t xml:space="preserve">GitHub Docs 2026d</w:t>
        </w:r>
      </w:hyperlink>
      <w:r>
        <w:t xml:space="preserve">)</w:t>
      </w:r>
      <w:r>
        <w:t xml:space="preserve">. Pero la intuición fundacional sigue siendo la misma: publicar desde el repositorio sin romper la trazabilidad del trabajo.</w:t>
      </w:r>
    </w:p>
    <w:bookmarkEnd w:id="550"/>
    <w:bookmarkStart w:id="551" w:name="qué-necesitas-antes"/>
    <w:p>
      <w:pPr>
        <w:pStyle w:val="Ttulo2"/>
      </w:pPr>
      <w:r>
        <w:t xml:space="preserve">Qué necesitas antes</w:t>
      </w:r>
    </w:p>
    <w:p>
      <w:pPr>
        <w:pStyle w:val="Compact"/>
        <w:numPr>
          <w:ilvl w:val="0"/>
          <w:numId w:val="1112"/>
        </w:numPr>
      </w:pPr>
      <w:r>
        <w:t xml:space="preserve">una cuenta en GitHub y acceso estable al repositorio donde está el sitio</w:t>
      </w:r>
      <w:r>
        <w:t xml:space="preserve"> </w:t>
      </w:r>
      <w:r>
        <w:t xml:space="preserve">(</w:t>
      </w:r>
      <w:hyperlink w:anchor="ref-githubpages2026">
        <w:r>
          <w:rPr>
            <w:rStyle w:val="Hipervnculo"/>
          </w:rPr>
          <w:t xml:space="preserve">GitHub Docs 2026d</w:t>
        </w:r>
      </w:hyperlink>
      <w:r>
        <w:t xml:space="preserve">)</w:t>
      </w:r>
      <w:r>
        <w:t xml:space="preserve">;</w:t>
      </w:r>
    </w:p>
    <w:p>
      <w:pPr>
        <w:pStyle w:val="Compact"/>
        <w:numPr>
          <w:ilvl w:val="0"/>
          <w:numId w:val="1112"/>
        </w:numPr>
      </w:pPr>
      <w:r>
        <w:t xml:space="preserve">un repositorio con archivos HTML, CSS y, si hace falta, JavaScript, porque GitHub Pages trabaja con sitios estáticos generados desde esos archivos</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Compact"/>
        <w:numPr>
          <w:ilvl w:val="0"/>
          <w:numId w:val="1112"/>
        </w:numPr>
      </w:pPr>
      <w:r>
        <w:t xml:space="preserve">cambios correctamente sincronizados, para que la versión publicada coincida con el estado real del proyecto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FirstParagraph"/>
      </w:pPr>
      <w:r>
        <w:t xml:space="preserve">Antes de activar la publicación, vale la pena revisar que tu estructura mínima tenga sentido. Si el sitio es pequeño, un archivo</w:t>
      </w:r>
      <w:r>
        <w:t xml:space="preserve"> </w:t>
      </w:r>
      <w:r>
        <w:rPr>
          <w:rStyle w:val="VerbatimChar"/>
        </w:rPr>
        <w:t xml:space="preserve">index.html</w:t>
      </w:r>
      <w:r>
        <w:t xml:space="preserve">, un</w:t>
      </w:r>
      <w:r>
        <w:t xml:space="preserve"> </w:t>
      </w:r>
      <w:r>
        <w:rPr>
          <w:rStyle w:val="VerbatimChar"/>
        </w:rPr>
        <w:t xml:space="preserve">styles.css</w:t>
      </w:r>
      <w:r>
        <w:t xml:space="preserve"> </w:t>
      </w:r>
      <w:r>
        <w:t xml:space="preserve">y una carpeta de imágenes pueden bastar. Lo importante no es tener muchos archivos, sino que las rutas estén claras y que sepas qué archivo funciona como punto de entrada.</w:t>
      </w:r>
    </w:p>
    <w:bookmarkEnd w:id="551"/>
    <w:bookmarkStart w:id="552" w:name="flujo-general"/>
    <w:p>
      <w:pPr>
        <w:pStyle w:val="Ttulo2"/>
      </w:pPr>
      <w:r>
        <w:t xml:space="preserve">Flujo general</w:t>
      </w:r>
    </w:p>
    <w:p>
      <w:pPr>
        <w:pStyle w:val="FirstParagraph"/>
      </w:pPr>
      <w:r>
        <w:t xml:space="preserve">La lógica de trabajo es simple: primero dejas estructurados los archivos del sitio, luego los sincronizas con el repositorio y finalmente activas la publicación desde GitHub. Esa secuencia evita confundir “tener archivos web” con “tener una página efectivamente accesible en línea”</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Compact"/>
        <w:numPr>
          <w:ilvl w:val="0"/>
          <w:numId w:val="1113"/>
        </w:numPr>
      </w:pPr>
      <w:r>
        <w:t xml:space="preserve">crea o identifica tu repositorio;</w:t>
      </w:r>
    </w:p>
    <w:p>
      <w:pPr>
        <w:pStyle w:val="Compact"/>
        <w:numPr>
          <w:ilvl w:val="0"/>
          <w:numId w:val="1113"/>
        </w:numPr>
      </w:pPr>
      <w:r>
        <w:t xml:space="preserve">sube los archivos del sitio;</w:t>
      </w:r>
    </w:p>
    <w:p>
      <w:pPr>
        <w:pStyle w:val="Compact"/>
        <w:numPr>
          <w:ilvl w:val="0"/>
          <w:numId w:val="1113"/>
        </w:numPr>
      </w:pPr>
      <w:r>
        <w:t xml:space="preserve">activa GitHub Pages desde la configuración del repositorio;</w:t>
      </w:r>
    </w:p>
    <w:p>
      <w:pPr>
        <w:pStyle w:val="Compact"/>
        <w:numPr>
          <w:ilvl w:val="0"/>
          <w:numId w:val="1113"/>
        </w:numPr>
      </w:pPr>
      <w:r>
        <w:t xml:space="preserve">verifica la URL pública;</w:t>
      </w:r>
    </w:p>
    <w:p>
      <w:pPr>
        <w:pStyle w:val="Compact"/>
        <w:numPr>
          <w:ilvl w:val="0"/>
          <w:numId w:val="1113"/>
        </w:numPr>
      </w:pPr>
      <w:r>
        <w:t xml:space="preserve">revisa que el sitio cargue bien.</w:t>
      </w:r>
    </w:p>
    <w:p>
      <w:pPr>
        <w:pStyle w:val="FirstParagraph"/>
      </w:pPr>
      <w:r>
        <w:t xml:space="preserve">Esa secuencia puede parecer obvia cuando todo funciona bien. Sin embargo, en la práctica muchos bloqueos aparecen porque alguien activa Pages antes de comprobar si</w:t>
      </w:r>
      <w:r>
        <w:t xml:space="preserve"> </w:t>
      </w:r>
      <w:r>
        <w:rPr>
          <w:rStyle w:val="VerbatimChar"/>
        </w:rPr>
        <w:t xml:space="preserve">index.html</w:t>
      </w:r>
      <w:r>
        <w:t xml:space="preserve"> </w:t>
      </w:r>
      <w:r>
        <w:t xml:space="preserve">existe, si las rutas son correctas o si el último cambio realmente llegó al remoto.</w:t>
      </w:r>
    </w:p>
    <w:bookmarkEnd w:id="552"/>
    <w:bookmarkStart w:id="553" w:name="paso-1.-prepara-la-estructura-del-sitio"/>
    <w:p>
      <w:pPr>
        <w:pStyle w:val="Ttulo2"/>
      </w:pPr>
      <w:r>
        <w:t xml:space="preserve">Paso 1. Prepara la estructura del sitio</w:t>
      </w:r>
    </w:p>
    <w:p>
      <w:pPr>
        <w:pStyle w:val="FirstParagraph"/>
      </w:pPr>
      <w:r>
        <w:t xml:space="preserve">Antes de publicar, abre el repositorio y confirma que el sitio está armado como sitio estático: HTML para estructura, CSS para estilos y, solo si hace falta, JavaScript para comportamiento</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Conviene mirar con atención estos puntos:</w:t>
      </w:r>
    </w:p>
    <w:p>
      <w:pPr>
        <w:pStyle w:val="Compact"/>
        <w:numPr>
          <w:ilvl w:val="0"/>
          <w:numId w:val="1114"/>
        </w:numPr>
      </w:pPr>
      <w:r>
        <w:t xml:space="preserve">que el archivo principal sea</w:t>
      </w:r>
      <w:r>
        <w:t xml:space="preserve"> </w:t>
      </w:r>
      <w:r>
        <w:rPr>
          <w:rStyle w:val="VerbatimChar"/>
        </w:rPr>
        <w:t xml:space="preserve">index.html</w:t>
      </w:r>
      <w:r>
        <w:t xml:space="preserve">;</w:t>
      </w:r>
    </w:p>
    <w:p>
      <w:pPr>
        <w:pStyle w:val="Compact"/>
        <w:numPr>
          <w:ilvl w:val="0"/>
          <w:numId w:val="1114"/>
        </w:numPr>
      </w:pPr>
      <w:r>
        <w:t xml:space="preserve">que los archivos CSS estén enlazados con rutas correctas;</w:t>
      </w:r>
    </w:p>
    <w:p>
      <w:pPr>
        <w:pStyle w:val="Compact"/>
        <w:numPr>
          <w:ilvl w:val="0"/>
          <w:numId w:val="1114"/>
        </w:numPr>
      </w:pPr>
      <w:r>
        <w:t xml:space="preserve">que las imágenes estén dentro del repositorio y no solo en tu máquina;</w:t>
      </w:r>
    </w:p>
    <w:p>
      <w:pPr>
        <w:pStyle w:val="Compact"/>
        <w:numPr>
          <w:ilvl w:val="0"/>
          <w:numId w:val="1114"/>
        </w:numPr>
      </w:pPr>
      <w:r>
        <w:t xml:space="preserve">que no dependas de archivos locales fuera del proyecto.</w:t>
      </w:r>
    </w:p>
    <w:p>
      <w:pPr>
        <w:pStyle w:val="FirstParagraph"/>
      </w:pPr>
      <w:r>
        <w:t xml:space="preserve">Un error muy frecuente es que la página “funcione” en local porque el navegador recuerda archivos o rutas del sistema, pero falle al publicarse porque GitHub Pages solo ve lo que realmente está dentro del repositorio.</w:t>
      </w:r>
    </w:p>
    <w:bookmarkEnd w:id="553"/>
    <w:bookmarkStart w:id="554" w:name="paso-2.-sincroniza-el-repositorio"/>
    <w:p>
      <w:pPr>
        <w:pStyle w:val="Ttulo2"/>
      </w:pPr>
      <w:r>
        <w:t xml:space="preserve">Paso 2. Sincroniza el repositorio</w:t>
      </w:r>
    </w:p>
    <w:p>
      <w:pPr>
        <w:pStyle w:val="FirstParagraph"/>
      </w:pPr>
      <w:r>
        <w:t xml:space="preserve">Publicar con Pages presupone que el estado remoto del repositorio refleja lo que quieres mostrar. Si acabas de hacer cambios, vuelve a revisar:</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"Prepara sitio para publicación"</w:t>
      </w:r>
      <w:r>
        <w:br/>
      </w:r>
      <w:r>
        <w:rPr>
          <w:rStyle w:val="FunctionTok"/>
        </w:rPr>
        <w:t xml:space="preserve">git</w:t>
      </w:r>
      <w:r>
        <w:rPr>
          <w:rStyle w:val="NormalTok"/>
        </w:rPr>
        <w:t xml:space="preserve"> push</w:t>
      </w:r>
    </w:p>
    <w:p>
      <w:pPr>
        <w:pStyle w:val="FirstParagraph"/>
      </w:pPr>
      <w:r>
        <w:t xml:space="preserve">No siempre necesitarás estos cuatro comandos exactamente en ese momento, pero sí necesitas asegurarte de que la versión que GitHub va a publicar sea la correcta. Publicar desde una versión desactualizada es una de las formas más comunes de perder tiempo.</w:t>
      </w:r>
    </w:p>
    <w:bookmarkEnd w:id="554"/>
    <w:bookmarkStart w:id="555" w:name="paso-3.-activa-github-pages"/>
    <w:p>
      <w:pPr>
        <w:pStyle w:val="Ttulo2"/>
      </w:pPr>
      <w:r>
        <w:t xml:space="preserve">Paso 3. Activa GitHub Pages</w:t>
      </w:r>
    </w:p>
    <w:p>
      <w:pPr>
        <w:pStyle w:val="FirstParagraph"/>
      </w:pPr>
      <w:r>
        <w:t xml:space="preserve">En la configuración del repositorio, busca la sección de Pages y selecciona la fuente de publicación. Dependiendo del flujo del repositorio, GitHub puede publicar desde una rama o desde un flujo basado en Actions</w:t>
      </w:r>
      <w:r>
        <w:t xml:space="preserve"> </w:t>
      </w:r>
      <w:r>
        <w:t xml:space="preserve">(</w:t>
      </w:r>
      <w:hyperlink w:anchor="ref-githubpages2026">
        <w:r>
          <w:rPr>
            <w:rStyle w:val="Hipervnculo"/>
          </w:rPr>
          <w:t xml:space="preserve">GitHub Docs 2026d</w:t>
        </w:r>
      </w:hyperlink>
      <w:r>
        <w:t xml:space="preserve">)</w:t>
      </w:r>
      <w:r>
        <w:t xml:space="preserve">. Lee con calma qué opción estás eligiendo y qué directorio o rama estás exponiendo.</w:t>
      </w:r>
    </w:p>
    <w:p>
      <w:pPr>
        <w:pStyle w:val="Textoindependiente"/>
      </w:pPr>
      <w:r>
        <w:t xml:space="preserve">Aquí conviene fijarse en algo muy concreto: no toda configuración “guarda” inmediatamente un sitio visible. A veces GitHub necesita unos minutos para procesar la publicación. Por eso, después de activar Pages, no saques conclusiones demasiado rápido si la URL todavía no responde.</w:t>
      </w:r>
    </w:p>
    <w:bookmarkEnd w:id="555"/>
    <w:bookmarkStart w:id="558" w:name="paso-4.-verifica-la-url-pública"/>
    <w:p>
      <w:pPr>
        <w:pStyle w:val="Ttulo2"/>
      </w:pPr>
      <w:r>
        <w:t xml:space="preserve">Paso 4. Verifica la URL pública</w:t>
      </w:r>
    </w:p>
    <w:p>
      <w:pPr>
        <w:pStyle w:val="FirstParagraph"/>
      </w:pPr>
      <w:r>
        <w:t xml:space="preserve">Cuando GitHub muestre la URL del sitio, ábrela y revisa no solo que cargue, sino cómo carga. Una verificación responsable incluye por lo menos:</w:t>
      </w:r>
    </w:p>
    <w:p>
      <w:pPr>
        <w:pStyle w:val="Compact"/>
        <w:numPr>
          <w:ilvl w:val="0"/>
          <w:numId w:val="1115"/>
        </w:numPr>
      </w:pPr>
      <w:r>
        <w:t xml:space="preserve">abrir la página principal;</w:t>
      </w:r>
    </w:p>
    <w:p>
      <w:pPr>
        <w:pStyle w:val="Compact"/>
        <w:numPr>
          <w:ilvl w:val="0"/>
          <w:numId w:val="1115"/>
        </w:numPr>
      </w:pPr>
      <w:r>
        <w:t xml:space="preserve">hacer clic en uno o dos enlaces internos;</w:t>
      </w:r>
    </w:p>
    <w:p>
      <w:pPr>
        <w:pStyle w:val="Compact"/>
        <w:numPr>
          <w:ilvl w:val="0"/>
          <w:numId w:val="1115"/>
        </w:numPr>
      </w:pPr>
      <w:r>
        <w:t xml:space="preserve">confirmar que los estilos se aplicaron;</w:t>
      </w:r>
    </w:p>
    <w:p>
      <w:pPr>
        <w:pStyle w:val="Compact"/>
        <w:numPr>
          <w:ilvl w:val="0"/>
          <w:numId w:val="1115"/>
        </w:numPr>
      </w:pPr>
      <w:r>
        <w:t xml:space="preserve">verificar que las imágenes aparecen;</w:t>
      </w:r>
    </w:p>
    <w:p>
      <w:pPr>
        <w:pStyle w:val="Compact"/>
        <w:numPr>
          <w:ilvl w:val="0"/>
          <w:numId w:val="1115"/>
        </w:numPr>
      </w:pPr>
      <w:r>
        <w:t xml:space="preserve">revisar si el sitio se ve razonablemente bien en una ventana más estrecha.</w:t>
      </w:r>
    </w:p>
    <w:p>
      <w:pPr>
        <w:pStyle w:val="FirstParagraph"/>
      </w:pPr>
      <w:r>
        <w:t xml:space="preserve">Esa última comprobación no convierte el tutorial en un curso de diseño responsivo. Solo recuerda algo importante: un sitio publicado no se evalúa únicamente por existir, sino también por ser legible y usable.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Applications/quarto/share/formats/docx/important.png" id="55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Textoindependiente"/>
            </w:pPr>
            <w:pPr>
              <w:spacing w:before="16" w:after="16"/>
            </w:pPr>
            <w:r>
              <w:t xml:space="preserve">No basta con tener el repositorio. Debe existir un enlace público funcional al sitio publicado, porque GitHub Pages se evalúa como publicación efectiva y no solo como intención de publicar</w:t>
            </w:r>
            <w:r>
              <w:t xml:space="preserve"> </w:t>
            </w:r>
            <w:r>
              <w:t xml:space="preserve">(</w:t>
            </w:r>
            <w:hyperlink w:anchor="ref-githubpages2026">
              <w:r>
                <w:rPr>
                  <w:rStyle w:val="Hipervnculo"/>
                </w:rPr>
                <w:t xml:space="preserve">GitHub Docs 2026d</w:t>
              </w:r>
            </w:hyperlink>
            <w:r>
              <w:t xml:space="preserve">)</w:t>
            </w:r>
            <w:r>
              <w:t xml:space="preserve">.</w:t>
            </w:r>
          </w:p>
          <w:p/>
        </w:tc>
      </w:tr>
    </w:tbl>
    <w:bookmarkEnd w:id="558"/>
    <w:bookmarkStart w:id="559" w:name="qué-revisar-si-no-publica-bien"/>
    <w:p>
      <w:pPr>
        <w:pStyle w:val="Ttulo2"/>
      </w:pPr>
      <w:r>
        <w:t xml:space="preserve">Qué revisar si no publica bien</w:t>
      </w:r>
    </w:p>
    <w:p>
      <w:pPr>
        <w:pStyle w:val="Compact"/>
        <w:numPr>
          <w:ilvl w:val="0"/>
          <w:numId w:val="1116"/>
        </w:numPr>
      </w:pPr>
      <w:r>
        <w:t xml:space="preserve">Revisa que el archivo principal sea</w:t>
      </w:r>
      <w:r>
        <w:t xml:space="preserve"> </w:t>
      </w:r>
      <w:r>
        <w:rPr>
          <w:rStyle w:val="VerbatimChar"/>
        </w:rPr>
        <w:t xml:space="preserve">index.html</w:t>
      </w:r>
      <w:r>
        <w:t xml:space="preserve">, porque HTML organiza el contenido de la página y ese nombre suele funcionar como punto de entrada del sitio</w:t>
      </w:r>
      <w:r>
        <w:t xml:space="preserve"> </w:t>
      </w:r>
      <w:r>
        <w:t xml:space="preserve">(</w:t>
      </w:r>
      <w:hyperlink w:anchor="ref-mdnhtml2026">
        <w:r>
          <w:rPr>
            <w:rStyle w:val="Hipervnculo"/>
          </w:rPr>
          <w:t xml:space="preserve">MDN Web Docs 2026a</w:t>
        </w:r>
      </w:hyperlink>
      <w:r>
        <w:t xml:space="preserve">)</w:t>
      </w:r>
      <w:r>
        <w:t xml:space="preserve">.</w:t>
      </w:r>
    </w:p>
    <w:p>
      <w:pPr>
        <w:pStyle w:val="Compact"/>
        <w:numPr>
          <w:ilvl w:val="0"/>
          <w:numId w:val="1116"/>
        </w:numPr>
      </w:pPr>
      <w:r>
        <w:t xml:space="preserve">Revisa que las rutas a CSS, imágenes o scripts estén bien escritas, ya que un sitio estático depende de archivos enlazados con precisión y GitHub Pages publica exactamente esa estructura</w:t>
      </w:r>
      <w:r>
        <w:t xml:space="preserve"> </w:t>
      </w:r>
      <w:r>
        <w:t xml:space="preserve">(</w:t>
      </w:r>
      <w:hyperlink w:anchor="ref-githubpages2026">
        <w:r>
          <w:rPr>
            <w:rStyle w:val="Hipervnculo"/>
          </w:rPr>
          <w:t xml:space="preserve">GitHub Docs 2026d</w:t>
        </w:r>
      </w:hyperlink>
      <w:r>
        <w:t xml:space="preserve">;</w:t>
      </w:r>
      <w:r>
        <w:t xml:space="preserve"> </w:t>
      </w:r>
      <w:hyperlink w:anchor="ref-mdncss2026">
        <w:r>
          <w:rPr>
            <w:rStyle w:val="Hipervnculo"/>
          </w:rPr>
          <w:t xml:space="preserve">MDN Web Docs 2026b</w:t>
        </w:r>
      </w:hyperlink>
      <w:r>
        <w:t xml:space="preserve">)</w:t>
      </w:r>
      <w:r>
        <w:t xml:space="preserve">.</w:t>
      </w:r>
    </w:p>
    <w:p>
      <w:pPr>
        <w:pStyle w:val="Compact"/>
        <w:numPr>
          <w:ilvl w:val="0"/>
          <w:numId w:val="1116"/>
        </w:numPr>
      </w:pPr>
      <w:r>
        <w:t xml:space="preserve">Revisa que los cambios estén realmente sincronizados, porque la publicación se hace desde el repositorio remoto y no desde los archivos que quedaron solo en tu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16"/>
        </w:numPr>
      </w:pPr>
      <w:r>
        <w:t xml:space="preserve">Revisa que la configuración de Pages apunte a la rama correcta, para que el servicio publique la versión prevista y no otra</w:t>
      </w:r>
      <w:r>
        <w:t xml:space="preserve"> </w:t>
      </w:r>
      <w:r>
        <w:t xml:space="preserve">(</w:t>
      </w:r>
      <w:hyperlink w:anchor="ref-githubpages2026">
        <w:r>
          <w:rPr>
            <w:rStyle w:val="Hipervnculo"/>
          </w:rPr>
          <w:t xml:space="preserve">GitHub Docs 2026d</w:t>
        </w:r>
      </w:hyperlink>
      <w:r>
        <w:t xml:space="preserve">)</w:t>
      </w:r>
      <w:r>
        <w:t xml:space="preserve">.</w:t>
      </w:r>
    </w:p>
    <w:p>
      <w:pPr>
        <w:pStyle w:val="FirstParagraph"/>
      </w:pPr>
      <w:r>
        <w:t xml:space="preserve">Si algo falla, intenta aislar el problema en este orden:</w:t>
      </w:r>
    </w:p>
    <w:p>
      <w:pPr>
        <w:pStyle w:val="Compact"/>
        <w:numPr>
          <w:ilvl w:val="0"/>
          <w:numId w:val="1117"/>
        </w:numPr>
      </w:pPr>
      <w:r>
        <w:t xml:space="preserve">¿existe</w:t>
      </w:r>
      <w:r>
        <w:t xml:space="preserve"> </w:t>
      </w:r>
      <w:r>
        <w:rPr>
          <w:rStyle w:val="VerbatimChar"/>
        </w:rPr>
        <w:t xml:space="preserve">index.html</w:t>
      </w:r>
      <w:r>
        <w:t xml:space="preserve">?</w:t>
      </w:r>
    </w:p>
    <w:p>
      <w:pPr>
        <w:pStyle w:val="Compact"/>
        <w:numPr>
          <w:ilvl w:val="0"/>
          <w:numId w:val="1117"/>
        </w:numPr>
      </w:pPr>
      <w:r>
        <w:t xml:space="preserve">¿la URL está activa?</w:t>
      </w:r>
    </w:p>
    <w:p>
      <w:pPr>
        <w:pStyle w:val="Compact"/>
        <w:numPr>
          <w:ilvl w:val="0"/>
          <w:numId w:val="1117"/>
        </w:numPr>
      </w:pPr>
      <w:r>
        <w:t xml:space="preserve">¿carga HTML pero no CSS?</w:t>
      </w:r>
    </w:p>
    <w:p>
      <w:pPr>
        <w:pStyle w:val="Compact"/>
        <w:numPr>
          <w:ilvl w:val="0"/>
          <w:numId w:val="1117"/>
        </w:numPr>
      </w:pPr>
      <w:r>
        <w:t xml:space="preserve">¿faltan imágenes o enlaces?</w:t>
      </w:r>
    </w:p>
    <w:p>
      <w:pPr>
        <w:pStyle w:val="Compact"/>
        <w:numPr>
          <w:ilvl w:val="0"/>
          <w:numId w:val="1117"/>
        </w:numPr>
      </w:pPr>
      <w:r>
        <w:t xml:space="preserve">¿el cambio correcto llegó al remoto?</w:t>
      </w:r>
    </w:p>
    <w:p>
      <w:pPr>
        <w:pStyle w:val="FirstParagraph"/>
      </w:pPr>
      <w:r>
        <w:t xml:space="preserve">Resolver problemas en ese orden suele ser más eficaz que cambiar varias cosas al azar.</w:t>
      </w:r>
    </w:p>
    <w:bookmarkEnd w:id="559"/>
    <w:bookmarkStart w:id="560" w:name="recomendación-final"/>
    <w:p>
      <w:pPr>
        <w:pStyle w:val="Ttulo2"/>
      </w:pPr>
      <w:r>
        <w:t xml:space="preserve">Recomendación final</w:t>
      </w:r>
    </w:p>
    <w:p>
      <w:pPr>
        <w:pStyle w:val="FirstParagraph"/>
      </w:pPr>
      <w:r>
        <w:t xml:space="preserve">Publica temprano y corrige después. En publicación web, muchos problemas no son conceptuales sino estructurales: nombres de archivo, rutas, sincronización o configuración del repositorio. Detectarlos con tiempo reduce bloqueos innecesarios y vuelve más claro el vínculo entre producto final y proceso de trabajo</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Textoindependiente"/>
      </w:pPr>
      <w:r>
        <w:t xml:space="preserve">Hay una buena razón para no dejar esto para el último día: Pages funciona mejor cuando se usa como parte del flujo de trabajo, no como ceremonia final. Si publicas temprano, cada mejora del sitio puede aparecer también como mejora visible de tu proceso.</w:t>
      </w:r>
    </w:p>
    <w:bookmarkEnd w:id="560"/>
    <w:bookmarkEnd w:id="561"/>
    <w:bookmarkStart w:id="668" w:name="referencias"/>
    <w:p>
      <w:pPr>
        <w:pStyle w:val="Ttulo1"/>
      </w:pPr>
      <w:r>
        <w:t xml:space="preserve">Referencias</w:t>
      </w:r>
    </w:p>
    <w:bookmarkStart w:id="667" w:name="refs"/>
    <w:bookmarkStart w:id="563" w:name="ref-savelka2021applied"/>
    <w:p>
      <w:pPr>
        <w:pStyle w:val="Bibliografa"/>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62">
        <w:r>
          <w:rPr>
            <w:rStyle w:val="Hipervnculo"/>
          </w:rPr>
          <w:t xml:space="preserve">https://doi.org/10.26826/law-in-context.v37i1.125</w:t>
        </w:r>
      </w:hyperlink>
      <w:r>
        <w:t xml:space="preserve">.</w:t>
      </w:r>
    </w:p>
    <w:bookmarkEnd w:id="563"/>
    <w:bookmarkStart w:id="565" w:name="ref-nistgaiprofile2024"/>
    <w:p>
      <w:pPr>
        <w:pStyle w:val="Bibliografa"/>
      </w:pPr>
      <w:r>
        <w:t xml:space="preserve">Autio, Chloe, Reva Schwartz, Jesse Dunietz, et al. 2024.</w:t>
      </w:r>
      <w:r>
        <w:t xml:space="preserve"> </w:t>
      </w:r>
      <w:r>
        <w:rPr>
          <w:i/>
          <w:iCs/>
        </w:rPr>
        <w:t xml:space="preserve">Artificial Intelligence Risk Management Framework: Generative Artificial Intelligence Profile</w:t>
      </w:r>
      <w:r>
        <w:t xml:space="preserve">. NIST AI 600-1. National Institute of Standards; Technology.</w:t>
      </w:r>
      <w:r>
        <w:t xml:space="preserve"> </w:t>
      </w:r>
      <w:hyperlink r:id="rId564">
        <w:r>
          <w:rPr>
            <w:rStyle w:val="Hipervnculo"/>
          </w:rPr>
          <w:t xml:space="preserve">https://doi.org/10.6028/NIST.AI.600-1</w:t>
        </w:r>
      </w:hyperlink>
      <w:r>
        <w:t xml:space="preserve">.</w:t>
      </w:r>
    </w:p>
    <w:bookmarkEnd w:id="565"/>
    <w:bookmarkStart w:id="566" w:name="ref-bain2007softwarelibre1"/>
    <w:p>
      <w:pPr>
        <w:pStyle w:val="Bibliografa"/>
      </w:pPr>
      <w:r>
        <w:t xml:space="preserve">Bain, Malcolm, Manuel Gallego Rodríguez, Manuel Martínez Ribas, and Judit Rius Sanjuán. 2007a.</w:t>
      </w:r>
      <w:r>
        <w:t xml:space="preserve"> </w:t>
      </w:r>
      <w:r>
        <w:rPr>
          <w:i/>
          <w:iCs/>
        </w:rPr>
        <w:t xml:space="preserve">Aspectos Legales y de Explotaci</w:t>
      </w:r>
      <w:r>
        <w:rPr>
          <w:i/>
          <w:iCs/>
        </w:rPr>
        <w:t xml:space="preserve">ó</w:t>
      </w:r>
      <w:r>
        <w:rPr>
          <w:i/>
          <w:iCs/>
        </w:rPr>
        <w:t xml:space="preserve">n Del Software Libre. Parte i</w:t>
      </w:r>
      <w:r>
        <w:t xml:space="preserve">. Fundaci</w:t>
      </w:r>
      <w:r>
        <w:t xml:space="preserve">ó</w:t>
      </w:r>
      <w:r>
        <w:t xml:space="preserve"> </w:t>
      </w:r>
      <w:r>
        <w:t xml:space="preserve">per a la Universitat Oberta de Catalunya.</w:t>
      </w:r>
    </w:p>
    <w:bookmarkEnd w:id="566"/>
    <w:bookmarkStart w:id="567" w:name="ref-bain2007softwarelibre2"/>
    <w:p>
      <w:pPr>
        <w:pStyle w:val="Bibliografa"/>
      </w:pPr>
      <w:r>
        <w:t xml:space="preserve">Bain, Malcolm, Manuel Gallego Rodríguez, Manuel Martínez Ribas, and Judit Rius Sanjuán. 2007b.</w:t>
      </w:r>
      <w:r>
        <w:t xml:space="preserve"> </w:t>
      </w:r>
      <w:r>
        <w:rPr>
          <w:i/>
          <w:iCs/>
        </w:rPr>
        <w:t xml:space="preserve">Aspectos Legales y de Explotaci</w:t>
      </w:r>
      <w:r>
        <w:rPr>
          <w:i/>
          <w:iCs/>
        </w:rPr>
        <w:t xml:space="preserve">ó</w:t>
      </w:r>
      <w:r>
        <w:rPr>
          <w:i/>
          <w:iCs/>
        </w:rPr>
        <w:t xml:space="preserve">n Del Software Libre. Parte II</w:t>
      </w:r>
      <w:r>
        <w:t xml:space="preserve">. Fundaci</w:t>
      </w:r>
      <w:r>
        <w:t xml:space="preserve">ó</w:t>
      </w:r>
      <w:r>
        <w:t xml:space="preserve"> </w:t>
      </w:r>
      <w:r>
        <w:t xml:space="preserve">per a la Universitat Oberta de Catalunya.</w:t>
      </w:r>
    </w:p>
    <w:bookmarkEnd w:id="567"/>
    <w:bookmarkStart w:id="569" w:name="ref-cairo2017visualizacion"/>
    <w:p>
      <w:pPr>
        <w:pStyle w:val="Bibliografa"/>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568">
        <w:r>
          <w:rPr>
            <w:rStyle w:val="Hipervnculo"/>
          </w:rPr>
          <w:t xml:space="preserve">https://doi.org/10.3145/epi.2017.nov.02</w:t>
        </w:r>
      </w:hyperlink>
      <w:r>
        <w:t xml:space="preserve">.</w:t>
      </w:r>
    </w:p>
    <w:bookmarkEnd w:id="569"/>
    <w:bookmarkStart w:id="571" w:name="ref-chaconstraub2014progit"/>
    <w:p>
      <w:pPr>
        <w:pStyle w:val="Bibliografa"/>
      </w:pPr>
      <w:r>
        <w:t xml:space="preserve">Chacon, Scott, and Ben Straub. 2014.</w:t>
      </w:r>
      <w:r>
        <w:t xml:space="preserve"> </w:t>
      </w:r>
      <w:r>
        <w:rPr>
          <w:i/>
          <w:iCs/>
        </w:rPr>
        <w:t xml:space="preserve">Pro Git</w:t>
      </w:r>
      <w:r>
        <w:t xml:space="preserve">. 2nd ed. Apress.</w:t>
      </w:r>
      <w:r>
        <w:t xml:space="preserve"> </w:t>
      </w:r>
      <w:hyperlink r:id="rId570">
        <w:r>
          <w:rPr>
            <w:rStyle w:val="Hipervnculo"/>
          </w:rPr>
          <w:t xml:space="preserve">https://git-scm.com/book/en/v2</w:t>
        </w:r>
      </w:hyperlink>
      <w:r>
        <w:t xml:space="preserve">.</w:t>
      </w:r>
    </w:p>
    <w:bookmarkEnd w:id="571"/>
    <w:bookmarkStart w:id="573" w:name="ref-choosealicense2026"/>
    <w:p>
      <w:pPr>
        <w:pStyle w:val="Bibliografa"/>
      </w:pPr>
      <w:r>
        <w:t xml:space="preserve">Choose a License. 2026a.</w:t>
      </w:r>
      <w:r>
        <w:t xml:space="preserve"> </w:t>
      </w:r>
      <w:r>
        <w:t xml:space="preserve">“Choose an Open Source License.”</w:t>
      </w:r>
      <w:r>
        <w:t xml:space="preserve"> </w:t>
      </w:r>
      <w:hyperlink r:id="rId572">
        <w:r>
          <w:rPr>
            <w:rStyle w:val="Hipervnculo"/>
          </w:rPr>
          <w:t xml:space="preserve">https://choosealicense.com/</w:t>
        </w:r>
      </w:hyperlink>
      <w:r>
        <w:t xml:space="preserve">.</w:t>
      </w:r>
    </w:p>
    <w:bookmarkEnd w:id="573"/>
    <w:bookmarkStart w:id="575" w:name="ref-choosealicenselicenses2026"/>
    <w:p>
      <w:pPr>
        <w:pStyle w:val="Bibliografa"/>
      </w:pPr>
      <w:r>
        <w:t xml:space="preserve">Choose a License. 2026b.</w:t>
      </w:r>
      <w:r>
        <w:t xml:space="preserve"> </w:t>
      </w:r>
      <w:r>
        <w:t xml:space="preserve">“Licenses.”</w:t>
      </w:r>
      <w:r>
        <w:t xml:space="preserve"> </w:t>
      </w:r>
      <w:hyperlink r:id="rId574">
        <w:r>
          <w:rPr>
            <w:rStyle w:val="Hipervnculo"/>
          </w:rPr>
          <w:t xml:space="preserve">https://choosealicense.com/licenses/</w:t>
        </w:r>
      </w:hyperlink>
      <w:r>
        <w:t xml:space="preserve">.</w:t>
      </w:r>
    </w:p>
    <w:bookmarkEnd w:id="575"/>
    <w:bookmarkStart w:id="577" w:name="ref-contreras2020pedagogy"/>
    <w:p>
      <w:pPr>
        <w:pStyle w:val="Bibliografa"/>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576">
        <w:r>
          <w:rPr>
            <w:rStyle w:val="Hipervnculo"/>
          </w:rPr>
          <w:t xml:space="preserve">https://doi.org/10.24926/15529541.3828</w:t>
        </w:r>
      </w:hyperlink>
      <w:r>
        <w:t xml:space="preserve">.</w:t>
      </w:r>
    </w:p>
    <w:bookmarkEnd w:id="577"/>
    <w:bookmarkStart w:id="579" w:name="ref-euaiact2026"/>
    <w:p>
      <w:pPr>
        <w:pStyle w:val="Bibliografa"/>
      </w:pPr>
      <w:r>
        <w:t xml:space="preserve">European Commission. 2026.</w:t>
      </w:r>
      <w:r>
        <w:t xml:space="preserve"> </w:t>
      </w:r>
      <w:r>
        <w:t xml:space="preserve">“AI Act.”</w:t>
      </w:r>
      <w:r>
        <w:t xml:space="preserve"> </w:t>
      </w:r>
      <w:hyperlink r:id="rId578">
        <w:r>
          <w:rPr>
            <w:rStyle w:val="Hipervnculo"/>
          </w:rPr>
          <w:t xml:space="preserve">https://digital-strategy.ec.europa.eu/en/policies/regulatory-framework-ai</w:t>
        </w:r>
      </w:hyperlink>
      <w:r>
        <w:t xml:space="preserve">.</w:t>
      </w:r>
    </w:p>
    <w:bookmarkEnd w:id="579"/>
    <w:bookmarkStart w:id="580" w:name="ref-garciagarcia2021visualizacion"/>
    <w:p>
      <w:pPr>
        <w:pStyle w:val="Bibliografa"/>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580"/>
    <w:bookmarkStart w:id="582" w:name="ref-gitabout2025"/>
    <w:p>
      <w:pPr>
        <w:pStyle w:val="Bibliografa"/>
      </w:pPr>
      <w:r>
        <w:t xml:space="preserve">Git. 2025.</w:t>
      </w:r>
      <w:r>
        <w:t xml:space="preserve"> </w:t>
      </w:r>
      <w:r>
        <w:t xml:space="preserve">“About Git.”</w:t>
      </w:r>
      <w:r>
        <w:t xml:space="preserve"> </w:t>
      </w:r>
      <w:hyperlink r:id="rId581">
        <w:r>
          <w:rPr>
            <w:rStyle w:val="Hipervnculo"/>
          </w:rPr>
          <w:t xml:space="preserve">https://git-scm.com/about.html</w:t>
        </w:r>
      </w:hyperlink>
      <w:r>
        <w:t xml:space="preserve">.</w:t>
      </w:r>
    </w:p>
    <w:bookmarkEnd w:id="582"/>
    <w:bookmarkStart w:id="584" w:name="ref-gitusermanual2026"/>
    <w:p>
      <w:pPr>
        <w:pStyle w:val="Bibliografa"/>
      </w:pPr>
      <w:r>
        <w:t xml:space="preserve">Git Documentation. 2026.</w:t>
      </w:r>
      <w:r>
        <w:t xml:space="preserve"> </w:t>
      </w:r>
      <w:r>
        <w:t xml:space="preserve">“Git User Manual.”</w:t>
      </w:r>
      <w:r>
        <w:t xml:space="preserve"> </w:t>
      </w:r>
      <w:hyperlink r:id="rId583">
        <w:r>
          <w:rPr>
            <w:rStyle w:val="Hipervnculo"/>
          </w:rPr>
          <w:t xml:space="preserve">https://git-scm.com/docs/user-manual</w:t>
        </w:r>
      </w:hyperlink>
      <w:r>
        <w:t xml:space="preserve">.</w:t>
      </w:r>
    </w:p>
    <w:bookmarkEnd w:id="584"/>
    <w:bookmarkStart w:id="586" w:name="ref-githubpress2026"/>
    <w:p>
      <w:pPr>
        <w:pStyle w:val="Bibliografa"/>
      </w:pPr>
      <w:r>
        <w:t xml:space="preserve">GitHub. 2026.</w:t>
      </w:r>
      <w:r>
        <w:t xml:space="preserve"> </w:t>
      </w:r>
      <w:r>
        <w:t xml:space="preserve">“Press.”</w:t>
      </w:r>
      <w:r>
        <w:t xml:space="preserve"> </w:t>
      </w:r>
      <w:hyperlink r:id="rId585">
        <w:r>
          <w:rPr>
            <w:rStyle w:val="Hipervnculo"/>
          </w:rPr>
          <w:t xml:space="preserve">https://github.com/about/press</w:t>
        </w:r>
      </w:hyperlink>
      <w:r>
        <w:t xml:space="preserve">.</w:t>
      </w:r>
    </w:p>
    <w:bookmarkEnd w:id="586"/>
    <w:bookmarkStart w:id="588" w:name="ref-githubpageslaunch2008"/>
    <w:p>
      <w:pPr>
        <w:pStyle w:val="Bibliografa"/>
      </w:pPr>
      <w:r>
        <w:t xml:space="preserve">GitHub Blog. 2008.</w:t>
      </w:r>
      <w:r>
        <w:t xml:space="preserve"> </w:t>
      </w:r>
      <w:r>
        <w:t xml:space="preserve">“GitHub Pages.”</w:t>
      </w:r>
      <w:r>
        <w:t xml:space="preserve"> </w:t>
      </w:r>
      <w:hyperlink r:id="rId587">
        <w:r>
          <w:rPr>
            <w:rStyle w:val="Hipervnculo"/>
          </w:rPr>
          <w:t xml:space="preserve">https://github.blog/news-insights/github-pages/</w:t>
        </w:r>
      </w:hyperlink>
      <w:r>
        <w:t xml:space="preserve">.</w:t>
      </w:r>
    </w:p>
    <w:bookmarkEnd w:id="588"/>
    <w:bookmarkStart w:id="590" w:name="ref-githubprojects2026"/>
    <w:p>
      <w:pPr>
        <w:pStyle w:val="Bibliografa"/>
      </w:pPr>
      <w:r>
        <w:t xml:space="preserve">GitHub Docs. 2026a.</w:t>
      </w:r>
      <w:r>
        <w:t xml:space="preserve"> </w:t>
      </w:r>
      <w:r>
        <w:t xml:space="preserve">“About Projects.”</w:t>
      </w:r>
      <w:r>
        <w:t xml:space="preserve"> </w:t>
      </w:r>
      <w:hyperlink r:id="rId589">
        <w:r>
          <w:rPr>
            <w:rStyle w:val="Hipervnculo"/>
          </w:rPr>
          <w:t xml:space="preserve">https://docs.github.com/en/enterprise-cloud@latest/issues/planning-and-tracking-with-projects/learning-about-projects/about-projects</w:t>
        </w:r>
      </w:hyperlink>
      <w:r>
        <w:t xml:space="preserve">.</w:t>
      </w:r>
    </w:p>
    <w:bookmarkEnd w:id="590"/>
    <w:bookmarkStart w:id="592" w:name="ref-github2fa2026"/>
    <w:p>
      <w:pPr>
        <w:pStyle w:val="Bibliografa"/>
      </w:pPr>
      <w:r>
        <w:t xml:space="preserve">GitHub Docs. 2026b.</w:t>
      </w:r>
      <w:r>
        <w:t xml:space="preserve"> </w:t>
      </w:r>
      <w:r>
        <w:t xml:space="preserve">“About Two-Factor Authentication.”</w:t>
      </w:r>
      <w:r>
        <w:t xml:space="preserve"> </w:t>
      </w:r>
      <w:hyperlink r:id="rId591">
        <w:r>
          <w:rPr>
            <w:rStyle w:val="Hipervnculo"/>
          </w:rPr>
          <w:t xml:space="preserve">https://docs.github.com/en/authentication/securing-your-account-with-two-factor-authentication-2fa/about-two-factor-authentication</w:t>
        </w:r>
      </w:hyperlink>
      <w:r>
        <w:t xml:space="preserve">.</w:t>
      </w:r>
    </w:p>
    <w:bookmarkEnd w:id="592"/>
    <w:bookmarkStart w:id="594" w:name="ref-githublicensing2026"/>
    <w:p>
      <w:pPr>
        <w:pStyle w:val="Bibliografa"/>
      </w:pPr>
      <w:r>
        <w:t xml:space="preserve">GitHub Docs. 2026c.</w:t>
      </w:r>
      <w:r>
        <w:t xml:space="preserve"> </w:t>
      </w:r>
      <w:r>
        <w:t xml:space="preserve">“Licensing a Repository.”</w:t>
      </w:r>
      <w:r>
        <w:t xml:space="preserve"> </w:t>
      </w:r>
      <w:hyperlink r:id="rId593">
        <w:r>
          <w:rPr>
            <w:rStyle w:val="Hipervnculo"/>
          </w:rPr>
          <w:t xml:space="preserve">https://docs.github.com/repositories/managing-your-repositorys-settings-and-features/customizing-your-repository/licensing-a-repository/</w:t>
        </w:r>
      </w:hyperlink>
      <w:r>
        <w:t xml:space="preserve">.</w:t>
      </w:r>
    </w:p>
    <w:bookmarkEnd w:id="594"/>
    <w:bookmarkStart w:id="596" w:name="ref-githubpages2026"/>
    <w:p>
      <w:pPr>
        <w:pStyle w:val="Bibliografa"/>
      </w:pPr>
      <w:r>
        <w:t xml:space="preserve">GitHub Docs. 2026d.</w:t>
      </w:r>
      <w:r>
        <w:t xml:space="preserve"> </w:t>
      </w:r>
      <w:r>
        <w:t xml:space="preserve">“What Is GitHub Pages?”</w:t>
      </w:r>
      <w:r>
        <w:t xml:space="preserve"> </w:t>
      </w:r>
      <w:hyperlink r:id="rId595">
        <w:r>
          <w:rPr>
            <w:rStyle w:val="Hipervnculo"/>
          </w:rPr>
          <w:t xml:space="preserve">https://docs.github.com/en/pages/getting-started-with-github-pages/what-is-github-pages</w:t>
        </w:r>
      </w:hyperlink>
      <w:r>
        <w:t xml:space="preserve">.</w:t>
      </w:r>
    </w:p>
    <w:bookmarkEnd w:id="596"/>
    <w:bookmarkStart w:id="598" w:name="ref-gorgolewski2011nipype"/>
    <w:p>
      <w:pPr>
        <w:pStyle w:val="Bibliografa"/>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597">
        <w:r>
          <w:rPr>
            <w:rStyle w:val="Hipervnculo"/>
          </w:rPr>
          <w:t xml:space="preserve">https://doi.org/10.3389/fninf.2011.00013</w:t>
        </w:r>
      </w:hyperlink>
      <w:r>
        <w:t xml:space="preserve">.</w:t>
      </w:r>
    </w:p>
    <w:bookmarkEnd w:id="598"/>
    <w:bookmarkStart w:id="600" w:name="ref-pep7032023"/>
    <w:p>
      <w:pPr>
        <w:pStyle w:val="Bibliografa"/>
      </w:pPr>
      <w:r>
        <w:t xml:space="preserve">Gross, Sam. 2023.</w:t>
      </w:r>
      <w:r>
        <w:t xml:space="preserve"> </w:t>
      </w:r>
      <w:r>
        <w:t xml:space="preserve">“PEP 703: Making the Global Interpreter Lock Optional in CPython.”</w:t>
      </w:r>
      <w:r>
        <w:t xml:space="preserve"> </w:t>
      </w:r>
      <w:hyperlink r:id="rId599">
        <w:r>
          <w:rPr>
            <w:rStyle w:val="Hipervnculo"/>
          </w:rPr>
          <w:t xml:space="preserve">https://peps.python.org/pep-0703/</w:t>
        </w:r>
      </w:hyperlink>
      <w:r>
        <w:t xml:space="preserve">.</w:t>
      </w:r>
    </w:p>
    <w:bookmarkEnd w:id="600"/>
    <w:bookmarkStart w:id="601" w:name="ref-mapeolegaltechperu2025"/>
    <w:p>
      <w:pPr>
        <w:pStyle w:val="Bibliografa"/>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601"/>
    <w:bookmarkStart w:id="603" w:name="ref-jacovkis2009softwarelibre"/>
    <w:p>
      <w:pPr>
        <w:pStyle w:val="Bibliografa"/>
      </w:pPr>
      <w:r>
        <w:t xml:space="preserve">Jacovkis, David. 2009.</w:t>
      </w:r>
      <w:r>
        <w:t xml:space="preserve"> </w:t>
      </w:r>
      <w:r>
        <w:t xml:space="preserve">“El Software Libre: Producci</w:t>
      </w:r>
      <w:r>
        <w:t xml:space="preserve">ó</w:t>
      </w:r>
      <w:r>
        <w:t xml:space="preserve">n Colectiva de Conocimiento.”</w:t>
      </w:r>
      <w:r>
        <w:t xml:space="preserve"> </w:t>
      </w:r>
      <w:r>
        <w:rPr>
          <w:i/>
          <w:iCs/>
        </w:rPr>
        <w:t xml:space="preserve">IDP. Revista de Internet, Derecho y Pol</w:t>
      </w:r>
      <w:r>
        <w:rPr>
          <w:i/>
          <w:iCs/>
        </w:rPr>
        <w:t xml:space="preserve">í</w:t>
      </w:r>
      <w:r>
        <w:rPr>
          <w:i/>
          <w:iCs/>
        </w:rPr>
        <w:t xml:space="preserve">tica</w:t>
      </w:r>
      <w:r>
        <w:t xml:space="preserve">, no. 8.</w:t>
      </w:r>
      <w:r>
        <w:t xml:space="preserve"> </w:t>
      </w:r>
      <w:hyperlink r:id="rId602">
        <w:r>
          <w:rPr>
            <w:rStyle w:val="Hipervnculo"/>
          </w:rPr>
          <w:t xml:space="preserve">https://idp.uoc.edu/articles/10.7238/idp.v0i8.5398/</w:t>
        </w:r>
      </w:hyperlink>
      <w:r>
        <w:t xml:space="preserve">.</w:t>
      </w:r>
    </w:p>
    <w:bookmarkEnd w:id="603"/>
    <w:bookmarkStart w:id="605" w:name="ref-mdnhtml2026"/>
    <w:p>
      <w:pPr>
        <w:pStyle w:val="Bibliografa"/>
      </w:pPr>
      <w:r>
        <w:t xml:space="preserve">MDN Web Docs. 2026a.</w:t>
      </w:r>
      <w:r>
        <w:t xml:space="preserve"> </w:t>
      </w:r>
      <w:r>
        <w:t xml:space="preserve">“Basic HTML Syntax.”</w:t>
      </w:r>
      <w:r>
        <w:t xml:space="preserve"> </w:t>
      </w:r>
      <w:hyperlink r:id="rId604">
        <w:r>
          <w:rPr>
            <w:rStyle w:val="Hipervnculo"/>
          </w:rPr>
          <w:t xml:space="preserve">https://developer.mozilla.org/en-US/docs/Learn_web_development/Core/Structuring_content/Basic_HTML_syntax</w:t>
        </w:r>
      </w:hyperlink>
      <w:r>
        <w:t xml:space="preserve">.</w:t>
      </w:r>
    </w:p>
    <w:bookmarkEnd w:id="605"/>
    <w:bookmarkStart w:id="607" w:name="ref-mdncss2026"/>
    <w:p>
      <w:pPr>
        <w:pStyle w:val="Bibliografa"/>
      </w:pPr>
      <w:r>
        <w:t xml:space="preserve">MDN Web Docs. 2026b.</w:t>
      </w:r>
      <w:r>
        <w:t xml:space="preserve"> </w:t>
      </w:r>
      <w:r>
        <w:t xml:space="preserve">“Getting Started with CSS.”</w:t>
      </w:r>
      <w:r>
        <w:t xml:space="preserve"> </w:t>
      </w:r>
      <w:hyperlink r:id="rId606">
        <w:r>
          <w:rPr>
            <w:rStyle w:val="Hipervnculo"/>
          </w:rPr>
          <w:t xml:space="preserve">https://developer.mozilla.org/en-US/docs/Learn_web_development/Core/Styling_basics/Getting_started</w:t>
        </w:r>
      </w:hyperlink>
      <w:r>
        <w:t xml:space="preserve">.</w:t>
      </w:r>
    </w:p>
    <w:bookmarkEnd w:id="607"/>
    <w:bookmarkStart w:id="609" w:name="ref-mdnunicode2026"/>
    <w:p>
      <w:pPr>
        <w:pStyle w:val="Bibliografa"/>
      </w:pPr>
      <w:r>
        <w:t xml:space="preserve">MDN Web Docs. 2026c.</w:t>
      </w:r>
      <w:r>
        <w:t xml:space="preserve"> </w:t>
      </w:r>
      <w:r>
        <w:t xml:space="preserve">“Unicode.”</w:t>
      </w:r>
      <w:r>
        <w:t xml:space="preserve"> </w:t>
      </w:r>
      <w:hyperlink r:id="rId608">
        <w:r>
          <w:rPr>
            <w:rStyle w:val="Hipervnculo"/>
          </w:rPr>
          <w:t xml:space="preserve">https://developer.mozilla.org/en-US/docs/Glossary/Unicode</w:t>
        </w:r>
      </w:hyperlink>
      <w:r>
        <w:t xml:space="preserve">.</w:t>
      </w:r>
    </w:p>
    <w:bookmarkEnd w:id="609"/>
    <w:bookmarkStart w:id="610" w:name="ref-mendo2013reutilizacion"/>
    <w:p>
      <w:pPr>
        <w:pStyle w:val="Bibliografa"/>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610"/>
    <w:bookmarkStart w:id="612" w:name="ref-mermaid2026flowcharts"/>
    <w:p>
      <w:pPr>
        <w:pStyle w:val="Bibliografa"/>
      </w:pPr>
      <w:r>
        <w:t xml:space="preserve">Mermaid Documentation. 2026.</w:t>
      </w:r>
      <w:r>
        <w:t xml:space="preserve"> </w:t>
      </w:r>
      <w:r>
        <w:t xml:space="preserve">“Flowcharts: Basic Syntax.”</w:t>
      </w:r>
      <w:r>
        <w:t xml:space="preserve"> </w:t>
      </w:r>
      <w:hyperlink r:id="rId611">
        <w:r>
          <w:rPr>
            <w:rStyle w:val="Hipervnculo"/>
          </w:rPr>
          <w:t xml:space="preserve">https://mermaid.js.org/syntax/flowchart.html</w:t>
        </w:r>
      </w:hyperlink>
      <w:r>
        <w:t xml:space="preserve">.</w:t>
      </w:r>
    </w:p>
    <w:bookmarkEnd w:id="612"/>
    <w:bookmarkStart w:id="614" w:name="ref-microsoftgithub2018"/>
    <w:p>
      <w:pPr>
        <w:pStyle w:val="Bibliografa"/>
      </w:pPr>
      <w:r>
        <w:t xml:space="preserve">Microsoft. 2018.</w:t>
      </w:r>
      <w:r>
        <w:t xml:space="preserve"> </w:t>
      </w:r>
      <w:r>
        <w:t xml:space="preserve">“Microsoft to Acquire GitHub for $7.5 Billion.”</w:t>
      </w:r>
      <w:r>
        <w:t xml:space="preserve"> </w:t>
      </w:r>
      <w:hyperlink r:id="rId613">
        <w:r>
          <w:rPr>
            <w:rStyle w:val="Hipervnculo"/>
          </w:rPr>
          <w:t xml:space="preserve">https://news.microsoft.com/2018/06/04/microsoft-to-acquire-github-for-7-5-billion/</w:t>
        </w:r>
      </w:hyperlink>
      <w:r>
        <w:t xml:space="preserve">.</w:t>
      </w:r>
    </w:p>
    <w:bookmarkEnd w:id="614"/>
    <w:bookmarkStart w:id="615" w:name="ref-mongefallas2024pensamiento"/>
    <w:p>
      <w:pPr>
        <w:pStyle w:val="Bibliografa"/>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615"/>
    <w:bookmarkStart w:id="617" w:name="ref-nistairmf2026"/>
    <w:p>
      <w:pPr>
        <w:pStyle w:val="Bibliografa"/>
      </w:pPr>
      <w:r>
        <w:t xml:space="preserve">NIST. 2026.</w:t>
      </w:r>
      <w:r>
        <w:t xml:space="preserve"> </w:t>
      </w:r>
      <w:r>
        <w:t xml:space="preserve">“AI Risk Management Framework.”</w:t>
      </w:r>
      <w:r>
        <w:t xml:space="preserve"> </w:t>
      </w:r>
      <w:hyperlink r:id="rId616">
        <w:r>
          <w:rPr>
            <w:rStyle w:val="Hipervnculo"/>
          </w:rPr>
          <w:t xml:space="preserve">https://www.nist.gov/itl/ai-risk-management-framework</w:t>
        </w:r>
      </w:hyperlink>
      <w:r>
        <w:t xml:space="preserve">.</w:t>
      </w:r>
    </w:p>
    <w:bookmarkEnd w:id="617"/>
    <w:bookmarkStart w:id="619" w:name="ref-nistplaybook2026"/>
    <w:p>
      <w:pPr>
        <w:pStyle w:val="Bibliografa"/>
      </w:pPr>
      <w:r>
        <w:t xml:space="preserve">NIST AI Resource Center. 2026.</w:t>
      </w:r>
      <w:r>
        <w:t xml:space="preserve"> </w:t>
      </w:r>
      <w:r>
        <w:t xml:space="preserve">“NIST AI RMF Playbook.”</w:t>
      </w:r>
      <w:r>
        <w:t xml:space="preserve"> </w:t>
      </w:r>
      <w:hyperlink r:id="rId618">
        <w:r>
          <w:rPr>
            <w:rStyle w:val="Hipervnculo"/>
          </w:rPr>
          <w:t xml:space="preserve">https://airc.nist.gov/airmf-resources/playbook/</w:t>
        </w:r>
      </w:hyperlink>
      <w:r>
        <w:t xml:space="preserve">.</w:t>
      </w:r>
    </w:p>
    <w:bookmarkEnd w:id="619"/>
    <w:bookmarkStart w:id="621" w:name="ref-oecdaiprinciples2026"/>
    <w:p>
      <w:pPr>
        <w:pStyle w:val="Bibliografa"/>
      </w:pPr>
      <w:r>
        <w:t xml:space="preserve">OECD. 2026.</w:t>
      </w:r>
      <w:r>
        <w:t xml:space="preserve"> </w:t>
      </w:r>
      <w:r>
        <w:t xml:space="preserve">“AI Principles.”</w:t>
      </w:r>
      <w:r>
        <w:t xml:space="preserve"> </w:t>
      </w:r>
      <w:hyperlink r:id="rId620">
        <w:r>
          <w:rPr>
            <w:rStyle w:val="Hipervnculo"/>
          </w:rPr>
          <w:t xml:space="preserve">https://www.oecd.org/en/topics/ai-principles.html</w:t>
        </w:r>
      </w:hyperlink>
      <w:r>
        <w:t xml:space="preserve">.</w:t>
      </w:r>
    </w:p>
    <w:bookmarkEnd w:id="621"/>
    <w:bookmarkStart w:id="622" w:name="ref-padron2021computacional"/>
    <w:p>
      <w:pPr>
        <w:pStyle w:val="Bibliografa"/>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622"/>
    <w:bookmarkStart w:id="624" w:name="ref-paez2025humancentered"/>
    <w:p>
      <w:pPr>
        <w:pStyle w:val="Bibliografa"/>
      </w:pPr>
      <w:r>
        <w:t xml:space="preserve">Páez, Andrés, Juan David Gutiérrez, and Diana Acosta-Navas. 2025.</w:t>
      </w:r>
      <w:r>
        <w:t xml:space="preserve"> </w:t>
      </w:r>
      <w:r>
        <w:t xml:space="preserve">“Hacia Una Inteligencia Artificial Centrada En Los Seres Humanos: Contribuciones de Las Ciencias Sociales.”</w:t>
      </w:r>
      <w:r>
        <w:t xml:space="preserve"> </w:t>
      </w:r>
      <w:r>
        <w:rPr>
          <w:i/>
          <w:iCs/>
        </w:rPr>
        <w:t xml:space="preserve">Revista de Estudios Sociales</w:t>
      </w:r>
      <w:r>
        <w:t xml:space="preserve">, no. 93: 3–18.</w:t>
      </w:r>
      <w:r>
        <w:t xml:space="preserve"> </w:t>
      </w:r>
      <w:hyperlink r:id="rId623">
        <w:r>
          <w:rPr>
            <w:rStyle w:val="Hipervnculo"/>
          </w:rPr>
          <w:t xml:space="preserve">https://doi.org/10.7440/res93.2025.01</w:t>
        </w:r>
      </w:hyperlink>
      <w:r>
        <w:t xml:space="preserve">.</w:t>
      </w:r>
    </w:p>
    <w:bookmarkEnd w:id="624"/>
    <w:bookmarkStart w:id="626" w:name="ref-pedregosa2011scikit"/>
    <w:p>
      <w:pPr>
        <w:pStyle w:val="Bibliografa"/>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625">
        <w:r>
          <w:rPr>
            <w:rStyle w:val="Hipervnculo"/>
          </w:rPr>
          <w:t xml:space="preserve">https://jmlr.org/papers/v12/pedregosa11a.html</w:t>
        </w:r>
      </w:hyperlink>
      <w:r>
        <w:t xml:space="preserve">.</w:t>
      </w:r>
    </w:p>
    <w:bookmarkEnd w:id="626"/>
    <w:bookmarkStart w:id="628" w:name="ref-perezugena2024ia"/>
    <w:p>
      <w:pPr>
        <w:pStyle w:val="Bibliografa"/>
      </w:pPr>
      <w:r>
        <w:t xml:space="preserve">Pérez-Ugena, María. 2024.</w:t>
      </w:r>
      <w:r>
        <w:t xml:space="preserve"> </w:t>
      </w:r>
      <w:r>
        <w:t xml:space="preserve">“La Inteligencia Artificial: Definici</w:t>
      </w:r>
      <w:r>
        <w:t xml:space="preserve">ó</w:t>
      </w:r>
      <w:r>
        <w:t xml:space="preserve">n, Regulaci</w:t>
      </w:r>
      <w:r>
        <w:t xml:space="preserve">ó</w:t>
      </w:r>
      <w:r>
        <w:t xml:space="preserve">n y Riesgos Para Los Derechos Fundamentales.”</w:t>
      </w:r>
      <w:r>
        <w:t xml:space="preserve"> </w:t>
      </w:r>
      <w:r>
        <w:rPr>
          <w:i/>
          <w:iCs/>
        </w:rPr>
        <w:t xml:space="preserve">Estudios de Deusto</w:t>
      </w:r>
      <w:r>
        <w:t xml:space="preserve"> </w:t>
      </w:r>
      <w:r>
        <w:t xml:space="preserve">72 (1): 307–37.</w:t>
      </w:r>
      <w:r>
        <w:t xml:space="preserve"> </w:t>
      </w:r>
      <w:hyperlink r:id="rId627">
        <w:r>
          <w:rPr>
            <w:rStyle w:val="Hipervnculo"/>
          </w:rPr>
          <w:t xml:space="preserve">https://doi.org/10.18543/ed.3108</w:t>
        </w:r>
      </w:hyperlink>
      <w:r>
        <w:t xml:space="preserve">.</w:t>
      </w:r>
    </w:p>
    <w:bookmarkEnd w:id="628"/>
    <w:bookmarkStart w:id="629" w:name="ref-peru2002modernizacion"/>
    <w:p>
      <w:pPr>
        <w:pStyle w:val="Bibliografa"/>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629"/>
    <w:bookmarkStart w:id="630" w:name="ref-peru2022laboratorio"/>
    <w:p>
      <w:pPr>
        <w:pStyle w:val="Bibliografa"/>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630"/>
    <w:bookmarkStart w:id="632" w:name="ref-pinerospolo2024juezrobot"/>
    <w:p>
      <w:pPr>
        <w:pStyle w:val="Bibliografa"/>
      </w:pPr>
      <w:r>
        <w:t xml:space="preserve">Pineros Polo, Elena. 2024.</w:t>
      </w:r>
      <w:r>
        <w:t xml:space="preserve"> </w:t>
      </w:r>
      <w:r>
        <w:t xml:space="preserve">“El Juez-Robot y Su Encaje En La Constituci</w:t>
      </w:r>
      <w:r>
        <w:t xml:space="preserve">ó</w:t>
      </w:r>
      <w:r>
        <w:t xml:space="preserve">n Espa</w:t>
      </w:r>
      <w:r>
        <w:t xml:space="preserve">ñ</w:t>
      </w:r>
      <w:r>
        <w:t xml:space="preserve">ola. La Inteligencia Artificial Utilizada En El</w:t>
      </w:r>
      <w:r>
        <w:t xml:space="preserve"> </w:t>
      </w:r>
      <w:r>
        <w:t xml:space="preserve">á</w:t>
      </w:r>
      <w:r>
        <w:t xml:space="preserve">mbito de La Toma de Decisiones Por Los Tribunales.”</w:t>
      </w:r>
      <w:r>
        <w:t xml:space="preserve"> </w:t>
      </w:r>
      <w:r>
        <w:rPr>
          <w:i/>
          <w:iCs/>
        </w:rPr>
        <w:t xml:space="preserve">Estudios de Deusto</w:t>
      </w:r>
      <w:r>
        <w:t xml:space="preserve"> </w:t>
      </w:r>
      <w:r>
        <w:t xml:space="preserve">72 (1): 53–78.</w:t>
      </w:r>
      <w:r>
        <w:t xml:space="preserve"> </w:t>
      </w:r>
      <w:hyperlink r:id="rId631">
        <w:r>
          <w:rPr>
            <w:rStyle w:val="Hipervnculo"/>
          </w:rPr>
          <w:t xml:space="preserve">https://doi.org/10.18543/ed.3100</w:t>
        </w:r>
      </w:hyperlink>
      <w:r>
        <w:t xml:space="preserve">.</w:t>
      </w:r>
    </w:p>
    <w:bookmarkEnd w:id="632"/>
    <w:bookmarkStart w:id="633" w:name="ref-pcm2002modernizacion"/>
    <w:p>
      <w:pPr>
        <w:pStyle w:val="Bibliografa"/>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633"/>
    <w:bookmarkStart w:id="635" w:name="ref-whatsnew3132024"/>
    <w:p>
      <w:pPr>
        <w:pStyle w:val="Bibliografa"/>
      </w:pPr>
      <w:r>
        <w:t xml:space="preserve">Python Documentation. 2024.</w:t>
      </w:r>
      <w:r>
        <w:t xml:space="preserve"> </w:t>
      </w:r>
      <w:r>
        <w:t xml:space="preserve">“What’s New in Python 3.13.”</w:t>
      </w:r>
      <w:r>
        <w:t xml:space="preserve"> </w:t>
      </w:r>
      <w:hyperlink r:id="rId634">
        <w:r>
          <w:rPr>
            <w:rStyle w:val="Hipervnculo"/>
          </w:rPr>
          <w:t xml:space="preserve">https://docs.python.org/3/whatsnew/3.13.html</w:t>
        </w:r>
      </w:hyperlink>
      <w:r>
        <w:t xml:space="preserve">.</w:t>
      </w:r>
    </w:p>
    <w:bookmarkEnd w:id="635"/>
    <w:bookmarkStart w:id="637" w:name="ref-whatsnew3142025"/>
    <w:p>
      <w:pPr>
        <w:pStyle w:val="Bibliografa"/>
      </w:pPr>
      <w:r>
        <w:t xml:space="preserve">Python Documentation. 2025.</w:t>
      </w:r>
      <w:r>
        <w:t xml:space="preserve"> </w:t>
      </w:r>
      <w:r>
        <w:t xml:space="preserve">“What’s New in Python 3.14.”</w:t>
      </w:r>
      <w:r>
        <w:t xml:space="preserve"> </w:t>
      </w:r>
      <w:hyperlink r:id="rId636">
        <w:r>
          <w:rPr>
            <w:rStyle w:val="Hipervnculo"/>
          </w:rPr>
          <w:t xml:space="preserve">https://docs.python.org/3/whatsnew/3.14.html</w:t>
        </w:r>
      </w:hyperlink>
      <w:r>
        <w:t xml:space="preserve">.</w:t>
      </w:r>
    </w:p>
    <w:bookmarkEnd w:id="637"/>
    <w:bookmarkStart w:id="639" w:name="ref-pythonbuiltintypes2026"/>
    <w:p>
      <w:pPr>
        <w:pStyle w:val="Bibliografa"/>
      </w:pPr>
      <w:r>
        <w:t xml:space="preserve">Python Documentation. 2026a.</w:t>
      </w:r>
      <w:r>
        <w:t xml:space="preserve"> </w:t>
      </w:r>
      <w:r>
        <w:t xml:space="preserve">“Built-in Types.”</w:t>
      </w:r>
      <w:r>
        <w:t xml:space="preserve"> </w:t>
      </w:r>
      <w:hyperlink r:id="rId638">
        <w:r>
          <w:rPr>
            <w:rStyle w:val="Hipervnculo"/>
          </w:rPr>
          <w:t xml:space="preserve">https://docs.python.org/3/library/stdtypes.html</w:t>
        </w:r>
      </w:hyperlink>
      <w:r>
        <w:t xml:space="preserve">.</w:t>
      </w:r>
    </w:p>
    <w:bookmarkEnd w:id="639"/>
    <w:bookmarkStart w:id="641" w:name="ref-pythonfaq2026"/>
    <w:p>
      <w:pPr>
        <w:pStyle w:val="Bibliografa"/>
      </w:pPr>
      <w:r>
        <w:t xml:space="preserve">Python Documentation. 2026b.</w:t>
      </w:r>
      <w:r>
        <w:t xml:space="preserve"> </w:t>
      </w:r>
      <w:r>
        <w:t xml:space="preserve">“General Python FAQ.”</w:t>
      </w:r>
      <w:r>
        <w:t xml:space="preserve"> </w:t>
      </w:r>
      <w:hyperlink r:id="rId640">
        <w:r>
          <w:rPr>
            <w:rStyle w:val="Hipervnculo"/>
          </w:rPr>
          <w:t xml:space="preserve">https://docs.python.org/3/faq/general.html</w:t>
        </w:r>
      </w:hyperlink>
      <w:r>
        <w:t xml:space="preserve">.</w:t>
      </w:r>
    </w:p>
    <w:bookmarkEnd w:id="641"/>
    <w:bookmarkStart w:id="643" w:name="ref-pythonlicense2026"/>
    <w:p>
      <w:pPr>
        <w:pStyle w:val="Bibliografa"/>
      </w:pPr>
      <w:r>
        <w:t xml:space="preserve">Python Documentation. 2026c.</w:t>
      </w:r>
      <w:r>
        <w:t xml:space="preserve"> </w:t>
      </w:r>
      <w:r>
        <w:t xml:space="preserve">“History and License.”</w:t>
      </w:r>
      <w:r>
        <w:t xml:space="preserve"> </w:t>
      </w:r>
      <w:hyperlink r:id="rId642">
        <w:r>
          <w:rPr>
            <w:rStyle w:val="Hipervnculo"/>
          </w:rPr>
          <w:t xml:space="preserve">https://docs.python.org/3/license.html</w:t>
        </w:r>
      </w:hyperlink>
      <w:r>
        <w:t xml:space="preserve">.</w:t>
      </w:r>
    </w:p>
    <w:bookmarkEnd w:id="643"/>
    <w:bookmarkStart w:id="645" w:name="ref-psfabout2026"/>
    <w:p>
      <w:pPr>
        <w:pStyle w:val="Bibliografa"/>
      </w:pPr>
      <w:r>
        <w:t xml:space="preserve">Python Software Foundation. 2026.</w:t>
      </w:r>
      <w:r>
        <w:t xml:space="preserve"> </w:t>
      </w:r>
      <w:r>
        <w:t xml:space="preserve">“About the Python Software Foundation.”</w:t>
      </w:r>
      <w:r>
        <w:t xml:space="preserve"> </w:t>
      </w:r>
      <w:hyperlink r:id="rId644">
        <w:r>
          <w:rPr>
            <w:rStyle w:val="Hipervnculo"/>
          </w:rPr>
          <w:t xml:space="preserve">https://www.python.org/psf/about/</w:t>
        </w:r>
      </w:hyperlink>
      <w:r>
        <w:t xml:space="preserve">.</w:t>
      </w:r>
    </w:p>
    <w:bookmarkEnd w:id="645"/>
    <w:bookmarkStart w:id="647" w:name="ref-pythonversions2026"/>
    <w:p>
      <w:pPr>
        <w:pStyle w:val="Bibliografa"/>
      </w:pPr>
      <w:r>
        <w:t xml:space="preserve">Python.org. 2026.</w:t>
      </w:r>
      <w:r>
        <w:t xml:space="preserve"> </w:t>
      </w:r>
      <w:r>
        <w:t xml:space="preserve">“Python Documentation by Version.”</w:t>
      </w:r>
      <w:r>
        <w:t xml:space="preserve"> </w:t>
      </w:r>
      <w:hyperlink r:id="rId646">
        <w:r>
          <w:rPr>
            <w:rStyle w:val="Hipervnculo"/>
          </w:rPr>
          <w:t xml:space="preserve">https://www.python.org/doc/versions/</w:t>
        </w:r>
      </w:hyperlink>
      <w:r>
        <w:t xml:space="preserve">.</w:t>
      </w:r>
    </w:p>
    <w:bookmarkEnd w:id="647"/>
    <w:bookmarkStart w:id="649" w:name="ref-raschka2020machine"/>
    <w:p>
      <w:pPr>
        <w:pStyle w:val="Bibliografa"/>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648">
        <w:r>
          <w:rPr>
            <w:rStyle w:val="Hipervnculo"/>
          </w:rPr>
          <w:t xml:space="preserve">https://doi.org/10.3390/info11040193</w:t>
        </w:r>
      </w:hyperlink>
      <w:r>
        <w:t xml:space="preserve">.</w:t>
      </w:r>
    </w:p>
    <w:bookmarkEnd w:id="649"/>
    <w:bookmarkStart w:id="651" w:name="ref-ryan2021coding"/>
    <w:p>
      <w:pPr>
        <w:pStyle w:val="Bibliografa"/>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650">
        <w:r>
          <w:rPr>
            <w:rStyle w:val="Hipervnculo"/>
          </w:rPr>
          <w:t xml:space="preserve">https://doi.org/10.53300/001c.36060</w:t>
        </w:r>
      </w:hyperlink>
      <w:r>
        <w:t xml:space="preserve">.</w:t>
      </w:r>
    </w:p>
    <w:bookmarkEnd w:id="651"/>
    <w:bookmarkStart w:id="653" w:name="ref-sqlite2026select"/>
    <w:p>
      <w:pPr>
        <w:pStyle w:val="Bibliografa"/>
      </w:pPr>
      <w:r>
        <w:t xml:space="preserve">SQLite Documentation. 2026.</w:t>
      </w:r>
      <w:r>
        <w:t xml:space="preserve"> </w:t>
      </w:r>
      <w:r>
        <w:t xml:space="preserve">“SELECT.”</w:t>
      </w:r>
      <w:r>
        <w:t xml:space="preserve"> </w:t>
      </w:r>
      <w:hyperlink r:id="rId652">
        <w:r>
          <w:rPr>
            <w:rStyle w:val="Hipervnculo"/>
          </w:rPr>
          <w:t xml:space="preserve">https://www.sqlite.org/lang_select.html</w:t>
        </w:r>
      </w:hyperlink>
      <w:r>
        <w:t xml:space="preserve">.</w:t>
      </w:r>
    </w:p>
    <w:bookmarkEnd w:id="653"/>
    <w:bookmarkStart w:id="655" w:name="ref-virtanen2020scipy"/>
    <w:p>
      <w:pPr>
        <w:pStyle w:val="Bibliografa"/>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654">
        <w:r>
          <w:rPr>
            <w:rStyle w:val="Hipervnculo"/>
          </w:rPr>
          <w:t xml:space="preserve">https://doi.org/10.1038/s41592-019-0686-2</w:t>
        </w:r>
      </w:hyperlink>
      <w:r>
        <w:t xml:space="preserve">.</w:t>
      </w:r>
    </w:p>
    <w:bookmarkEnd w:id="655"/>
    <w:bookmarkStart w:id="657" w:name="ref-vscodehistory2016"/>
    <w:p>
      <w:pPr>
        <w:pStyle w:val="Bibliografa"/>
      </w:pPr>
      <w:r>
        <w:t xml:space="preserve">Visual Studio Code Blog. 2016.</w:t>
      </w:r>
      <w:r>
        <w:t xml:space="preserve"> </w:t>
      </w:r>
      <w:r>
        <w:t xml:space="preserve">“Visual Studio Code 1.0!”</w:t>
      </w:r>
      <w:r>
        <w:t xml:space="preserve"> </w:t>
      </w:r>
      <w:hyperlink r:id="rId656">
        <w:r>
          <w:rPr>
            <w:rStyle w:val="Hipervnculo"/>
          </w:rPr>
          <w:t xml:space="preserve">https://code.visualstudio.com/blogs/2016/04/14/vscode-1.0/</w:t>
        </w:r>
      </w:hyperlink>
      <w:r>
        <w:t xml:space="preserve">.</w:t>
      </w:r>
    </w:p>
    <w:bookmarkEnd w:id="657"/>
    <w:bookmarkStart w:id="659" w:name="ref-vscodeterminal2026"/>
    <w:p>
      <w:pPr>
        <w:pStyle w:val="Bibliografa"/>
      </w:pPr>
      <w:r>
        <w:t xml:space="preserve">Visual Studio Code Documentation. 2026a.</w:t>
      </w:r>
      <w:r>
        <w:t xml:space="preserve"> </w:t>
      </w:r>
      <w:r>
        <w:t xml:space="preserve">“Getting Started with the Terminal.”</w:t>
      </w:r>
      <w:r>
        <w:t xml:space="preserve"> </w:t>
      </w:r>
      <w:hyperlink r:id="rId658">
        <w:r>
          <w:rPr>
            <w:rStyle w:val="Hipervnculo"/>
          </w:rPr>
          <w:t xml:space="preserve">https://code.visualstudio.com/docs/terminal/getting-started</w:t>
        </w:r>
      </w:hyperlink>
      <w:r>
        <w:t xml:space="preserve">.</w:t>
      </w:r>
    </w:p>
    <w:bookmarkEnd w:id="659"/>
    <w:bookmarkStart w:id="661" w:name="ref-vscodesourcecontrol2026"/>
    <w:p>
      <w:pPr>
        <w:pStyle w:val="Bibliografa"/>
      </w:pPr>
      <w:r>
        <w:t xml:space="preserve">Visual Studio Code Documentation. 2026b.</w:t>
      </w:r>
      <w:r>
        <w:t xml:space="preserve"> </w:t>
      </w:r>
      <w:r>
        <w:t xml:space="preserve">“Source Control in VS Code.”</w:t>
      </w:r>
      <w:r>
        <w:t xml:space="preserve"> </w:t>
      </w:r>
      <w:hyperlink r:id="rId660">
        <w:r>
          <w:rPr>
            <w:rStyle w:val="Hipervnculo"/>
          </w:rPr>
          <w:t xml:space="preserve">https://code.visualstudio.com/docs/sourcecontrol/overview</w:t>
        </w:r>
      </w:hyperlink>
      <w:r>
        <w:t xml:space="preserve">.</w:t>
      </w:r>
    </w:p>
    <w:bookmarkEnd w:id="661"/>
    <w:bookmarkStart w:id="663" w:name="ref-vscodegettingstarted2026"/>
    <w:p>
      <w:pPr>
        <w:pStyle w:val="Bibliografa"/>
      </w:pPr>
      <w:r>
        <w:t xml:space="preserve">Visual Studio Code Documentation. 2026c.</w:t>
      </w:r>
      <w:r>
        <w:t xml:space="preserve"> </w:t>
      </w:r>
      <w:r>
        <w:t xml:space="preserve">“Tutorial: Get Started with Visual Studio Code.”</w:t>
      </w:r>
      <w:r>
        <w:t xml:space="preserve"> </w:t>
      </w:r>
      <w:hyperlink r:id="rId662">
        <w:r>
          <w:rPr>
            <w:rStyle w:val="Hipervnculo"/>
          </w:rPr>
          <w:t xml:space="preserve">https://code.visualstudio.com/docs/getstarted/getting-started</w:t>
        </w:r>
      </w:hyperlink>
      <w:r>
        <w:t xml:space="preserve">.</w:t>
      </w:r>
    </w:p>
    <w:bookmarkEnd w:id="663"/>
    <w:bookmarkStart w:id="665" w:name="ref-volini2020technology"/>
    <w:p>
      <w:pPr>
        <w:pStyle w:val="Bibliografa"/>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664">
        <w:r>
          <w:rPr>
            <w:rStyle w:val="Hipervnculo"/>
          </w:rPr>
          <w:t xml:space="preserve">https://digitalcommons.law.scu.edu/chtlj/vol36/iss2/2/</w:t>
        </w:r>
      </w:hyperlink>
      <w:r>
        <w:t xml:space="preserve">.</w:t>
      </w:r>
    </w:p>
    <w:bookmarkEnd w:id="665"/>
    <w:bookmarkStart w:id="666" w:name="ref-fischer2011bpmn"/>
    <w:p>
      <w:pPr>
        <w:pStyle w:val="Bibliografa"/>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666"/>
    <w:bookmarkEnd w:id="667"/>
    <w:bookmarkEnd w:id="668"/>
    <w:sectPr w:rsidR="006076D3">
      <w:footerReference r:id="rId8" w:type="even"/>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08314842"/>
      <w:docPartObj>
        <w:docPartGallery w:val="Page Numbers (Bottom of Page)"/>
        <w:docPartUnique/>
      </w:docPartObj>
    </w:sdtPr>
    <w:sdtContent>
      <w:p w14:paraId="1264FBF5" w14:textId="160D8DDB"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7380D576" w14:textId="77777777" w:rsidR="00114D47" w:rsidRDefault="00114D4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7792712"/>
      <w:docPartObj>
        <w:docPartGallery w:val="Page Numbers (Bottom of Page)"/>
        <w:docPartUnique/>
      </w:docPartObj>
    </w:sdtPr>
    <w:sdtContent>
      <w:p w14:paraId="14A4E485" w14:textId="2C79A14F"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B60B6AB" w14:textId="77777777" w:rsidR="00114D47" w:rsidRDefault="00114D47">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732D1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88175304"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076D3"/>
    <w:rsid w:val="00114D47"/>
    <w:rsid w:val="00145C1E"/>
    <w:rsid w:val="006076D3"/>
    <w:rsid w:val="00E858DA"/>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styleId="Encabezado" w:type="paragraph">
    <w:name w:val="header"/>
    <w:basedOn w:val="Normal"/>
    <w:link w:val="EncabezadoCar"/>
    <w:rsid w:val="00114D47"/>
    <w:pPr>
      <w:tabs>
        <w:tab w:pos="4419" w:val="center"/>
        <w:tab w:pos="8838" w:val="right"/>
      </w:tabs>
      <w:spacing w:after="0"/>
    </w:pPr>
  </w:style>
  <w:style w:customStyle="1" w:styleId="EncabezadoCar" w:type="character">
    <w:name w:val="Encabezado Car"/>
    <w:basedOn w:val="Fuentedeprrafopredeter"/>
    <w:link w:val="Encabezado"/>
    <w:rsid w:val="00114D47"/>
  </w:style>
  <w:style w:styleId="Piedepgina" w:type="paragraph">
    <w:name w:val="footer"/>
    <w:basedOn w:val="Normal"/>
    <w:link w:val="PiedepginaCar"/>
    <w:rsid w:val="00114D47"/>
    <w:pPr>
      <w:tabs>
        <w:tab w:pos="4419" w:val="center"/>
        <w:tab w:pos="8838" w:val="right"/>
      </w:tabs>
      <w:spacing w:after="0"/>
    </w:pPr>
  </w:style>
  <w:style w:customStyle="1" w:styleId="PiedepginaCar" w:type="character">
    <w:name w:val="Pie de página Car"/>
    <w:basedOn w:val="Fuentedeprrafopredeter"/>
    <w:link w:val="Piedepgina"/>
    <w:rsid w:val="00114D47"/>
  </w:style>
  <w:style w:styleId="Nmerodepgina" w:type="character">
    <w:name w:val="page number"/>
    <w:basedOn w:val="Fuentedeprrafopredeter"/>
    <w:rsid w:val="00114D47"/>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81" Target="media/rId81.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89" Target="media/rId89.png" /><Relationship Type="http://schemas.openxmlformats.org/officeDocument/2006/relationships/hyperlink" Id="rId618" Target="https://airc.nist.gov/airmf-resources/playbook/" TargetMode="External" /><Relationship Type="http://schemas.openxmlformats.org/officeDocument/2006/relationships/hyperlink" Id="rId572" Target="https://choosealicense.com/" TargetMode="External" /><Relationship Type="http://schemas.openxmlformats.org/officeDocument/2006/relationships/hyperlink" Id="rId574" Target="https://choosealicense.com/licenses/" TargetMode="External" /><Relationship Type="http://schemas.openxmlformats.org/officeDocument/2006/relationships/hyperlink" Id="rId656" Target="https://code.visualstudio.com/blogs/2016/04/14/vscode-1.0/" TargetMode="External" /><Relationship Type="http://schemas.openxmlformats.org/officeDocument/2006/relationships/hyperlink" Id="rId662" Target="https://code.visualstudio.com/docs/getstarted/getting-started" TargetMode="External" /><Relationship Type="http://schemas.openxmlformats.org/officeDocument/2006/relationships/hyperlink" Id="rId660" Target="https://code.visualstudio.com/docs/sourcecontrol/overview" TargetMode="External" /><Relationship Type="http://schemas.openxmlformats.org/officeDocument/2006/relationships/hyperlink" Id="rId658" Target="https://code.visualstudio.com/docs/terminal/getting-started" TargetMode="External" /><Relationship Type="http://schemas.openxmlformats.org/officeDocument/2006/relationships/hyperlink" Id="rId608" Target="https://developer.mozilla.org/en-US/docs/Glossary/Unicode" TargetMode="External" /><Relationship Type="http://schemas.openxmlformats.org/officeDocument/2006/relationships/hyperlink" Id="rId604" Target="https://developer.mozilla.org/en-US/docs/Learn_web_development/Core/Structuring_content/Basic_HTML_syntax" TargetMode="External" /><Relationship Type="http://schemas.openxmlformats.org/officeDocument/2006/relationships/hyperlink" Id="rId606" Target="https://developer.mozilla.org/en-US/docs/Learn_web_development/Core/Styling_basics/Getting_started" TargetMode="External" /><Relationship Type="http://schemas.openxmlformats.org/officeDocument/2006/relationships/hyperlink" Id="rId578" Target="https://digital-strategy.ec.europa.eu/en/policies/regulatory-framework-ai" TargetMode="External" /><Relationship Type="http://schemas.openxmlformats.org/officeDocument/2006/relationships/hyperlink" Id="rId664" Target="https://digitalcommons.law.scu.edu/chtlj/vol36/iss2/2/" TargetMode="External" /><Relationship Type="http://schemas.openxmlformats.org/officeDocument/2006/relationships/hyperlink" Id="rId591" Target="https://docs.github.com/en/authentication/securing-your-account-with-two-factor-authentication-2fa/about-two-factor-authentication" TargetMode="External" /><Relationship Type="http://schemas.openxmlformats.org/officeDocument/2006/relationships/hyperlink" Id="rId589" Target="https://docs.github.com/en/enterprise-cloud@latest/issues/planning-and-tracking-with-projects/learning-about-projects/about-projects" TargetMode="External" /><Relationship Type="http://schemas.openxmlformats.org/officeDocument/2006/relationships/hyperlink" Id="rId595" Target="https://docs.github.com/en/pages/getting-started-with-github-pages/what-is-github-pages" TargetMode="External" /><Relationship Type="http://schemas.openxmlformats.org/officeDocument/2006/relationships/hyperlink" Id="rId593" Target="https://docs.github.com/repositories/managing-your-repositorys-settings-and-features/customizing-your-repository/licensing-a-repository/" TargetMode="External" /><Relationship Type="http://schemas.openxmlformats.org/officeDocument/2006/relationships/hyperlink" Id="rId640" Target="https://docs.python.org/3/faq/general.html" TargetMode="External" /><Relationship Type="http://schemas.openxmlformats.org/officeDocument/2006/relationships/hyperlink" Id="rId638" Target="https://docs.python.org/3/library/stdtypes.html" TargetMode="External" /><Relationship Type="http://schemas.openxmlformats.org/officeDocument/2006/relationships/hyperlink" Id="rId642" Target="https://docs.python.org/3/license.html" TargetMode="External" /><Relationship Type="http://schemas.openxmlformats.org/officeDocument/2006/relationships/hyperlink" Id="rId634" Target="https://docs.python.org/3/whatsnew/3.13.html" TargetMode="External" /><Relationship Type="http://schemas.openxmlformats.org/officeDocument/2006/relationships/hyperlink" Id="rId636" Target="https://docs.python.org/3/whatsnew/3.14.html" TargetMode="External" /><Relationship Type="http://schemas.openxmlformats.org/officeDocument/2006/relationships/hyperlink" Id="rId654" Target="https://doi.org/10.1038/s41592-019-0686-2" TargetMode="External" /><Relationship Type="http://schemas.openxmlformats.org/officeDocument/2006/relationships/hyperlink" Id="rId631" Target="https://doi.org/10.18543/ed.3100" TargetMode="External" /><Relationship Type="http://schemas.openxmlformats.org/officeDocument/2006/relationships/hyperlink" Id="rId627" Target="https://doi.org/10.18543/ed.3108" TargetMode="External" /><Relationship Type="http://schemas.openxmlformats.org/officeDocument/2006/relationships/hyperlink" Id="rId576" Target="https://doi.org/10.24926/15529541.3828" TargetMode="External" /><Relationship Type="http://schemas.openxmlformats.org/officeDocument/2006/relationships/hyperlink" Id="rId562" Target="https://doi.org/10.26826/law-in-context.v37i1.125" TargetMode="External" /><Relationship Type="http://schemas.openxmlformats.org/officeDocument/2006/relationships/hyperlink" Id="rId568" Target="https://doi.org/10.3145/epi.2017.nov.02" TargetMode="External" /><Relationship Type="http://schemas.openxmlformats.org/officeDocument/2006/relationships/hyperlink" Id="rId597" Target="https://doi.org/10.3389/fninf.2011.00013" TargetMode="External" /><Relationship Type="http://schemas.openxmlformats.org/officeDocument/2006/relationships/hyperlink" Id="rId648" Target="https://doi.org/10.3390/info11040193" TargetMode="External" /><Relationship Type="http://schemas.openxmlformats.org/officeDocument/2006/relationships/hyperlink" Id="rId650" Target="https://doi.org/10.53300/001c.36060" TargetMode="External" /><Relationship Type="http://schemas.openxmlformats.org/officeDocument/2006/relationships/hyperlink" Id="rId564" Target="https://doi.org/10.6028/NIST.AI.600-1" TargetMode="External" /><Relationship Type="http://schemas.openxmlformats.org/officeDocument/2006/relationships/hyperlink" Id="rId623" Target="https://doi.org/10.7440/res93.2025.01" TargetMode="External" /><Relationship Type="http://schemas.openxmlformats.org/officeDocument/2006/relationships/hyperlink" Id="rId581" Target="https://git-scm.com/about.html" TargetMode="External" /><Relationship Type="http://schemas.openxmlformats.org/officeDocument/2006/relationships/hyperlink" Id="rId570" Target="https://git-scm.com/book/en/v2" TargetMode="External" /><Relationship Type="http://schemas.openxmlformats.org/officeDocument/2006/relationships/hyperlink" Id="rId583" Target="https://git-scm.com/docs/user-manual" TargetMode="External" /><Relationship Type="http://schemas.openxmlformats.org/officeDocument/2006/relationships/hyperlink" Id="rId587" Target="https://github.blog/news-insights/github-pages/" TargetMode="External" /><Relationship Type="http://schemas.openxmlformats.org/officeDocument/2006/relationships/hyperlink" Id="rId585" Target="https://github.com/about/press" TargetMode="External" /><Relationship Type="http://schemas.openxmlformats.org/officeDocument/2006/relationships/hyperlink" Id="rId602" Target="https://idp.uoc.edu/articles/10.7238/idp.v0i8.5398/" TargetMode="External" /><Relationship Type="http://schemas.openxmlformats.org/officeDocument/2006/relationships/hyperlink" Id="rId625" Target="https://jmlr.org/papers/v12/pedregosa11a.html" TargetMode="External" /><Relationship Type="http://schemas.openxmlformats.org/officeDocument/2006/relationships/hyperlink" Id="rId611" Target="https://mermaid.js.org/syntax/flowchart.html" TargetMode="External" /><Relationship Type="http://schemas.openxmlformats.org/officeDocument/2006/relationships/hyperlink" Id="rId613" Target="https://news.microsoft.com/2018/06/04/microsoft-to-acquire-github-for-7-5-billion/" TargetMode="External" /><Relationship Type="http://schemas.openxmlformats.org/officeDocument/2006/relationships/hyperlink" Id="rId599" Target="https://peps.python.org/pep-0703/" TargetMode="External" /><Relationship Type="http://schemas.openxmlformats.org/officeDocument/2006/relationships/hyperlink" Id="rId616" Target="https://www.nist.gov/itl/ai-risk-management-framework" TargetMode="External" /><Relationship Type="http://schemas.openxmlformats.org/officeDocument/2006/relationships/hyperlink" Id="rId620" Target="https://www.oecd.org/en/topics/ai-principles.html" TargetMode="External" /><Relationship Type="http://schemas.openxmlformats.org/officeDocument/2006/relationships/hyperlink" Id="rId646" Target="https://www.python.org/doc/versions/" TargetMode="External" /><Relationship Type="http://schemas.openxmlformats.org/officeDocument/2006/relationships/hyperlink" Id="rId644" Target="https://www.python.org/psf/about/" TargetMode="External" /><Relationship Type="http://schemas.openxmlformats.org/officeDocument/2006/relationships/hyperlink" Id="rId652"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618" Target="https://airc.nist.gov/airmf-resources/playbook/" TargetMode="External" /><Relationship Type="http://schemas.openxmlformats.org/officeDocument/2006/relationships/hyperlink" Id="rId572" Target="https://choosealicense.com/" TargetMode="External" /><Relationship Type="http://schemas.openxmlformats.org/officeDocument/2006/relationships/hyperlink" Id="rId574" Target="https://choosealicense.com/licenses/" TargetMode="External" /><Relationship Type="http://schemas.openxmlformats.org/officeDocument/2006/relationships/hyperlink" Id="rId656" Target="https://code.visualstudio.com/blogs/2016/04/14/vscode-1.0/" TargetMode="External" /><Relationship Type="http://schemas.openxmlformats.org/officeDocument/2006/relationships/hyperlink" Id="rId662" Target="https://code.visualstudio.com/docs/getstarted/getting-started" TargetMode="External" /><Relationship Type="http://schemas.openxmlformats.org/officeDocument/2006/relationships/hyperlink" Id="rId660" Target="https://code.visualstudio.com/docs/sourcecontrol/overview" TargetMode="External" /><Relationship Type="http://schemas.openxmlformats.org/officeDocument/2006/relationships/hyperlink" Id="rId658" Target="https://code.visualstudio.com/docs/terminal/getting-started" TargetMode="External" /><Relationship Type="http://schemas.openxmlformats.org/officeDocument/2006/relationships/hyperlink" Id="rId608" Target="https://developer.mozilla.org/en-US/docs/Glossary/Unicode" TargetMode="External" /><Relationship Type="http://schemas.openxmlformats.org/officeDocument/2006/relationships/hyperlink" Id="rId604" Target="https://developer.mozilla.org/en-US/docs/Learn_web_development/Core/Structuring_content/Basic_HTML_syntax" TargetMode="External" /><Relationship Type="http://schemas.openxmlformats.org/officeDocument/2006/relationships/hyperlink" Id="rId606" Target="https://developer.mozilla.org/en-US/docs/Learn_web_development/Core/Styling_basics/Getting_started" TargetMode="External" /><Relationship Type="http://schemas.openxmlformats.org/officeDocument/2006/relationships/hyperlink" Id="rId578" Target="https://digital-strategy.ec.europa.eu/en/policies/regulatory-framework-ai" TargetMode="External" /><Relationship Type="http://schemas.openxmlformats.org/officeDocument/2006/relationships/hyperlink" Id="rId664" Target="https://digitalcommons.law.scu.edu/chtlj/vol36/iss2/2/" TargetMode="External" /><Relationship Type="http://schemas.openxmlformats.org/officeDocument/2006/relationships/hyperlink" Id="rId591" Target="https://docs.github.com/en/authentication/securing-your-account-with-two-factor-authentication-2fa/about-two-factor-authentication" TargetMode="External" /><Relationship Type="http://schemas.openxmlformats.org/officeDocument/2006/relationships/hyperlink" Id="rId589" Target="https://docs.github.com/en/enterprise-cloud@latest/issues/planning-and-tracking-with-projects/learning-about-projects/about-projects" TargetMode="External" /><Relationship Type="http://schemas.openxmlformats.org/officeDocument/2006/relationships/hyperlink" Id="rId595" Target="https://docs.github.com/en/pages/getting-started-with-github-pages/what-is-github-pages" TargetMode="External" /><Relationship Type="http://schemas.openxmlformats.org/officeDocument/2006/relationships/hyperlink" Id="rId593" Target="https://docs.github.com/repositories/managing-your-repositorys-settings-and-features/customizing-your-repository/licensing-a-repository/" TargetMode="External" /><Relationship Type="http://schemas.openxmlformats.org/officeDocument/2006/relationships/hyperlink" Id="rId640" Target="https://docs.python.org/3/faq/general.html" TargetMode="External" /><Relationship Type="http://schemas.openxmlformats.org/officeDocument/2006/relationships/hyperlink" Id="rId638" Target="https://docs.python.org/3/library/stdtypes.html" TargetMode="External" /><Relationship Type="http://schemas.openxmlformats.org/officeDocument/2006/relationships/hyperlink" Id="rId642" Target="https://docs.python.org/3/license.html" TargetMode="External" /><Relationship Type="http://schemas.openxmlformats.org/officeDocument/2006/relationships/hyperlink" Id="rId634" Target="https://docs.python.org/3/whatsnew/3.13.html" TargetMode="External" /><Relationship Type="http://schemas.openxmlformats.org/officeDocument/2006/relationships/hyperlink" Id="rId636" Target="https://docs.python.org/3/whatsnew/3.14.html" TargetMode="External" /><Relationship Type="http://schemas.openxmlformats.org/officeDocument/2006/relationships/hyperlink" Id="rId654" Target="https://doi.org/10.1038/s41592-019-0686-2" TargetMode="External" /><Relationship Type="http://schemas.openxmlformats.org/officeDocument/2006/relationships/hyperlink" Id="rId631" Target="https://doi.org/10.18543/ed.3100" TargetMode="External" /><Relationship Type="http://schemas.openxmlformats.org/officeDocument/2006/relationships/hyperlink" Id="rId627" Target="https://doi.org/10.18543/ed.3108" TargetMode="External" /><Relationship Type="http://schemas.openxmlformats.org/officeDocument/2006/relationships/hyperlink" Id="rId576" Target="https://doi.org/10.24926/15529541.3828" TargetMode="External" /><Relationship Type="http://schemas.openxmlformats.org/officeDocument/2006/relationships/hyperlink" Id="rId562" Target="https://doi.org/10.26826/law-in-context.v37i1.125" TargetMode="External" /><Relationship Type="http://schemas.openxmlformats.org/officeDocument/2006/relationships/hyperlink" Id="rId568" Target="https://doi.org/10.3145/epi.2017.nov.02" TargetMode="External" /><Relationship Type="http://schemas.openxmlformats.org/officeDocument/2006/relationships/hyperlink" Id="rId597" Target="https://doi.org/10.3389/fninf.2011.00013" TargetMode="External" /><Relationship Type="http://schemas.openxmlformats.org/officeDocument/2006/relationships/hyperlink" Id="rId648" Target="https://doi.org/10.3390/info11040193" TargetMode="External" /><Relationship Type="http://schemas.openxmlformats.org/officeDocument/2006/relationships/hyperlink" Id="rId650" Target="https://doi.org/10.53300/001c.36060" TargetMode="External" /><Relationship Type="http://schemas.openxmlformats.org/officeDocument/2006/relationships/hyperlink" Id="rId564" Target="https://doi.org/10.6028/NIST.AI.600-1" TargetMode="External" /><Relationship Type="http://schemas.openxmlformats.org/officeDocument/2006/relationships/hyperlink" Id="rId623" Target="https://doi.org/10.7440/res93.2025.01" TargetMode="External" /><Relationship Type="http://schemas.openxmlformats.org/officeDocument/2006/relationships/hyperlink" Id="rId581" Target="https://git-scm.com/about.html" TargetMode="External" /><Relationship Type="http://schemas.openxmlformats.org/officeDocument/2006/relationships/hyperlink" Id="rId570" Target="https://git-scm.com/book/en/v2" TargetMode="External" /><Relationship Type="http://schemas.openxmlformats.org/officeDocument/2006/relationships/hyperlink" Id="rId583" Target="https://git-scm.com/docs/user-manual" TargetMode="External" /><Relationship Type="http://schemas.openxmlformats.org/officeDocument/2006/relationships/hyperlink" Id="rId587" Target="https://github.blog/news-insights/github-pages/" TargetMode="External" /><Relationship Type="http://schemas.openxmlformats.org/officeDocument/2006/relationships/hyperlink" Id="rId585" Target="https://github.com/about/press" TargetMode="External" /><Relationship Type="http://schemas.openxmlformats.org/officeDocument/2006/relationships/hyperlink" Id="rId602" Target="https://idp.uoc.edu/articles/10.7238/idp.v0i8.5398/" TargetMode="External" /><Relationship Type="http://schemas.openxmlformats.org/officeDocument/2006/relationships/hyperlink" Id="rId625" Target="https://jmlr.org/papers/v12/pedregosa11a.html" TargetMode="External" /><Relationship Type="http://schemas.openxmlformats.org/officeDocument/2006/relationships/hyperlink" Id="rId611" Target="https://mermaid.js.org/syntax/flowchart.html" TargetMode="External" /><Relationship Type="http://schemas.openxmlformats.org/officeDocument/2006/relationships/hyperlink" Id="rId613" Target="https://news.microsoft.com/2018/06/04/microsoft-to-acquire-github-for-7-5-billion/" TargetMode="External" /><Relationship Type="http://schemas.openxmlformats.org/officeDocument/2006/relationships/hyperlink" Id="rId599" Target="https://peps.python.org/pep-0703/" TargetMode="External" /><Relationship Type="http://schemas.openxmlformats.org/officeDocument/2006/relationships/hyperlink" Id="rId616" Target="https://www.nist.gov/itl/ai-risk-management-framework" TargetMode="External" /><Relationship Type="http://schemas.openxmlformats.org/officeDocument/2006/relationships/hyperlink" Id="rId620" Target="https://www.oecd.org/en/topics/ai-principles.html" TargetMode="External" /><Relationship Type="http://schemas.openxmlformats.org/officeDocument/2006/relationships/hyperlink" Id="rId646" Target="https://www.python.org/doc/versions/" TargetMode="External" /><Relationship Type="http://schemas.openxmlformats.org/officeDocument/2006/relationships/hyperlink" Id="rId644" Target="https://www.python.org/psf/about/" TargetMode="External" /><Relationship Type="http://schemas.openxmlformats.org/officeDocument/2006/relationships/hyperlink" Id="rId652"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Tech, Manual del Curso</dc:title>
  <dc:creator>Dante Guerrero</dc:creator>
  <cp:keywords/>
  <dcterms:created xsi:type="dcterms:W3CDTF">2026-05-25T03:38:06Z</dcterms:created>
  <dcterms:modified xsi:type="dcterms:W3CDTF">2026-05-25T03:38:06Z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ubtitle">
    <vt:lpwstr>Manual del Curso 2026</vt:lpwstr>
  </property>
  <property fmtid="{D5CDD505-2E9C-101B-9397-08002B2CF9AE}" pid="15" name="suppress-bibliography">
    <vt:lpwstr>False</vt:lpwstr>
  </property>
  <property fmtid="{D5CDD505-2E9C-101B-9397-08002B2CF9AE}" pid="16" name="template-partials">
    <vt:lpwstr/>
  </property>
  <property fmtid="{D5CDD505-2E9C-101B-9397-08002B2CF9AE}" pid="17" name="title-block-style">
    <vt:lpwstr>default</vt:lpwstr>
  </property>
  <property fmtid="{D5CDD505-2E9C-101B-9397-08002B2CF9AE}" pid="18" name="toc-title">
    <vt:lpwstr>Table of contents</vt:lpwstr>
  </property>
</Properties>
</file>