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ind w:firstLine="0"/>
        <w:jc w:val="center"/>
      </w:pPr>
      <w:r>
        <w:rPr>
          <w:rFonts w:ascii="Times New Roman" w:hAnsi="Times New Roman"/>
          <w:b/>
          <w:sz w:val="28"/>
        </w:rPr>
        <w:t>МОСКОВСКИЙ ТЕХНИЧЕСКИЙ УНИВЕРСИТЕТ СВЯЗИ И ИНФОРМАТИКИ</w:t>
      </w:r>
    </w:p>
    <w:p>
      <w:pPr>
        <w:spacing w:before="0" w:after="40" w:line="360" w:lineRule="auto"/>
        <w:ind w:firstLine="0"/>
        <w:jc w:val="center"/>
      </w:pPr>
      <w:r>
        <w:rPr>
          <w:rFonts w:ascii="Times New Roman" w:hAnsi="Times New Roman"/>
          <w:b w:val="0"/>
          <w:sz w:val="26"/>
        </w:rPr>
        <w:t>[Факультет]</w:t>
      </w:r>
    </w:p>
    <w:p>
      <w:pPr>
        <w:spacing w:before="0" w:after="960" w:line="360" w:lineRule="auto"/>
        <w:ind w:firstLine="0"/>
        <w:jc w:val="center"/>
      </w:pPr>
      <w:r>
        <w:rPr>
          <w:rFonts w:ascii="Times New Roman" w:hAnsi="Times New Roman"/>
          <w:b w:val="0"/>
          <w:sz w:val="26"/>
        </w:rPr>
        <w:t>Кафедра «Программная инженерия»</w:t>
      </w:r>
    </w:p>
    <w:p>
      <w:pPr>
        <w:spacing w:before="0" w:after="120" w:line="360" w:lineRule="auto"/>
        <w:ind w:firstLine="0"/>
        <w:jc w:val="center"/>
      </w:pPr>
      <w:r>
        <w:rPr>
          <w:rFonts w:ascii="Times New Roman" w:hAnsi="Times New Roman"/>
          <w:b/>
          <w:sz w:val="32"/>
        </w:rPr>
        <w:t>ОТЧЁТ</w:t>
      </w:r>
    </w:p>
    <w:p>
      <w:pPr>
        <w:spacing w:before="0" w:after="280" w:line="360" w:lineRule="auto"/>
        <w:ind w:firstLine="0"/>
        <w:jc w:val="center"/>
      </w:pPr>
      <w:r>
        <w:rPr>
          <w:rFonts w:ascii="Times New Roman" w:hAnsi="Times New Roman"/>
          <w:b w:val="0"/>
          <w:sz w:val="28"/>
        </w:rPr>
        <w:t>о прохождении учебной практики</w:t>
      </w:r>
    </w:p>
    <w:p>
      <w:pPr>
        <w:spacing w:before="0" w:after="80" w:line="360" w:lineRule="auto"/>
        <w:ind w:firstLine="0"/>
        <w:jc w:val="center"/>
      </w:pPr>
      <w:r>
        <w:rPr>
          <w:rFonts w:ascii="Times New Roman" w:hAnsi="Times New Roman"/>
          <w:b/>
          <w:sz w:val="28"/>
        </w:rPr>
        <w:t>Тема:</w:t>
      </w:r>
    </w:p>
    <w:p>
      <w:pPr>
        <w:spacing w:before="0" w:after="0" w:line="360" w:lineRule="auto"/>
        <w:ind w:firstLine="0"/>
        <w:jc w:val="center"/>
      </w:pPr>
      <w:r>
        <w:rPr>
          <w:rFonts w:ascii="Times New Roman" w:hAnsi="Times New Roman"/>
          <w:b/>
          <w:sz w:val="28"/>
        </w:rPr>
        <w:t>«Определение заболеваний тканей пародонта</w:t>
      </w:r>
    </w:p>
    <w:p>
      <w:pPr>
        <w:spacing w:before="0" w:after="960" w:line="360" w:lineRule="auto"/>
        <w:ind w:firstLine="0"/>
        <w:jc w:val="center"/>
      </w:pPr>
      <w:r>
        <w:rPr>
          <w:rFonts w:ascii="Times New Roman" w:hAnsi="Times New Roman"/>
          <w:b/>
          <w:sz w:val="28"/>
        </w:rPr>
        <w:t>по ортопантомограмме»</w:t>
      </w:r>
    </w:p>
    <w:p>
      <w:pPr>
        <w:spacing w:before="0" w:after="0" w:line="360" w:lineRule="auto"/>
        <w:ind w:firstLine="0"/>
        <w:jc w:val="right"/>
      </w:pPr>
      <w:r>
        <w:rPr>
          <w:rFonts w:ascii="Times New Roman" w:hAnsi="Times New Roman"/>
          <w:sz w:val="28"/>
        </w:rPr>
        <w:t xml:space="preserve">Выполнил(а): </w:t>
      </w:r>
      <w:r>
        <w:rPr>
          <w:rFonts w:ascii="Times New Roman" w:hAnsi="Times New Roman"/>
          <w:sz w:val="28"/>
        </w:rPr>
        <w:t>Козлов Даниил Максимович</w:t>
      </w:r>
    </w:p>
    <w:p>
      <w:pPr>
        <w:spacing w:before="0" w:after="0" w:line="360" w:lineRule="auto"/>
        <w:ind w:firstLine="0"/>
        <w:jc w:val="right"/>
      </w:pPr>
      <w:r>
        <w:rPr>
          <w:rFonts w:ascii="Times New Roman" w:hAnsi="Times New Roman"/>
          <w:sz w:val="28"/>
        </w:rPr>
        <w:t xml:space="preserve">Группа: </w:t>
      </w:r>
      <w:r>
        <w:rPr>
          <w:rFonts w:ascii="Times New Roman" w:hAnsi="Times New Roman"/>
          <w:sz w:val="28"/>
        </w:rPr>
        <w:t>УБВТ2304</w:t>
      </w:r>
    </w:p>
    <w:p>
      <w:pPr>
        <w:spacing w:before="0" w:after="0" w:line="360" w:lineRule="auto"/>
        <w:ind w:firstLine="0"/>
        <w:jc w:val="right"/>
      </w:pPr>
    </w:p>
    <w:p>
      <w:pPr>
        <w:spacing w:before="0" w:after="0" w:line="360" w:lineRule="auto"/>
        <w:ind w:firstLine="0"/>
        <w:jc w:val="right"/>
      </w:pPr>
      <w:r>
        <w:rPr>
          <w:rFonts w:ascii="Times New Roman" w:hAnsi="Times New Roman"/>
          <w:sz w:val="28"/>
        </w:rPr>
        <w:t xml:space="preserve">Руководитель: </w:t>
      </w:r>
      <w:r>
        <w:rPr>
          <w:rFonts w:ascii="Times New Roman" w:hAnsi="Times New Roman"/>
          <w:sz w:val="28"/>
        </w:rPr>
        <w:t>Борзов Вадим Максимович</w:t>
      </w:r>
    </w:p>
    <w:p>
      <w:pPr>
        <w:spacing w:before="960" w:after="0" w:line="360" w:lineRule="auto"/>
        <w:ind w:firstLine="0"/>
        <w:jc w:val="center"/>
      </w:pPr>
      <w:r>
        <w:rPr>
          <w:rFonts w:ascii="Times New Roman" w:hAnsi="Times New Roman"/>
          <w:b w:val="0"/>
          <w:sz w:val="28"/>
        </w:rPr>
        <w:t>2026</w:t>
      </w:r>
    </w:p>
    <w:p>
      <w:r>
        <w:br w:type="page"/>
      </w:r>
    </w:p>
    <w:p>
      <w:pPr>
        <w:pStyle w:val="Heading1"/>
      </w:pPr>
      <w:r>
        <w:rPr>
          <w:rFonts w:ascii="Times New Roman" w:hAnsi="Times New Roman"/>
          <w:b/>
          <w:color w:val="000000"/>
          <w:sz w:val="28"/>
        </w:rPr>
        <w:t>Содержание</w:t>
      </w:r>
    </w:p>
    <w:p>
      <w:pPr>
        <w:ind w:firstLine="0"/>
      </w:pPr>
      <w:r>
        <w:rPr>
          <w:rFonts w:ascii="Times New Roman" w:hAnsi="Times New Roman"/>
          <w:sz w:val="28"/>
        </w:rPr>
        <w:fldChar w:fldCharType="begin"/>
        <w:instrText xml:space="preserve"> TOC \o "1-3" \h \z \u </w:instrText>
        <w:fldChar w:fldCharType="separate"/>
        <w:t>[Обновите оглавление: ПКМ → «Обновить поле»]</w:t>
        <w:fldChar w:fldCharType="end"/>
      </w:r>
    </w:p>
    <w:p>
      <w:pPr>
        <w:pStyle w:val="Heading1"/>
      </w:pPr>
      <w:r>
        <w:rPr>
          <w:rFonts w:ascii="Times New Roman" w:hAnsi="Times New Roman"/>
          <w:b/>
          <w:color w:val="000000"/>
          <w:sz w:val="28"/>
        </w:rPr>
        <w:t>Введение</w:t>
      </w:r>
    </w:p>
    <w:p>
      <w:pPr/>
      <w:r>
        <w:rPr>
          <w:rFonts w:ascii="Times New Roman" w:hAnsi="Times New Roman"/>
          <w:sz w:val="28"/>
        </w:rPr>
        <w:t>Заболевания тканей пародонта относятся к наиболее распространённым стоматологическим патологиям: по данным Всемирной организации здравоохранения, та или иная форма пародонтального заболевания выявляется у 45–50 % взрослого населения планеты. Запущенные формы пародонтита и пародонтоза являются основной причиной потери зубов у лиц старше 35 лет, что существенно снижает качество жизни пациентов и влечёт значительные затраты системы здравоохранения на последующую зубопротезирующую реабилитацию [6].</w:t>
      </w:r>
    </w:p>
    <w:p>
      <w:pPr/>
      <w:r>
        <w:rPr>
          <w:rFonts w:ascii="Times New Roman" w:hAnsi="Times New Roman"/>
          <w:sz w:val="28"/>
        </w:rPr>
        <w:t>Ортопантомограмма (ОПТГ, панорамный рентгеновский снимок) является стандартным первичным методом лучевой диагностики в стоматологии. На одном снимке ОПТГ фиксируется состояние всего зубного ряда, включая высоту альвеолярной кости, состояние кортикальной пластинки и степень резорбции костной ткани — ключевые морфологические признаки, позволяющие дифференцировать пародонтит от пародонтоза и оценить тяжесть патологического процесса. Однако интерпретация ОПТГ требует значительного опыта и субъективна, что предопределяет актуальность автоматизации этого процесса.</w:t>
      </w:r>
    </w:p>
    <w:p>
      <w:pPr/>
      <w:r>
        <w:rPr>
          <w:rFonts w:ascii="Times New Roman" w:hAnsi="Times New Roman"/>
          <w:sz w:val="28"/>
        </w:rPr>
        <w:t>Стремительное развитие глубокого обучения (deep learning) и методов компьютерного зрения открывает возможности для создания интеллектуальных ассистирующих систем в медицине. Задача анализа медицинских изображений — в особенности рентгеновских снимков — успешно решается с помощью свёрточных и трансформерных нейронных сетей. Публичный датасет DENTEX 2023, опубликованный в рамках соревнования MICCAI 2023, предоставляет разметку более 3 000 панорамных снимков на уровне отдельных зубов, что создаёт основу для обучения моделей сегментации [1].</w:t>
      </w:r>
    </w:p>
    <w:p>
      <w:pPr/>
      <w:r>
        <w:rPr>
          <w:rFonts w:ascii="Times New Roman" w:hAnsi="Times New Roman"/>
          <w:sz w:val="28"/>
        </w:rPr>
        <w:t>Целью настоящей практической работы является создание исследовательской системы для автоматического анализа ОПТГ-снимков в части выявления заболеваний тканей пародонта — пародонтита и пародонтоза — а также определения степени их тяжести на основе геометрического анализа результатов сегментации.</w:t>
      </w:r>
    </w:p>
    <w:p>
      <w:pPr>
        <w:ind w:firstLine="0"/>
      </w:pPr>
      <w:r>
        <w:rPr>
          <w:rFonts w:ascii="Times New Roman" w:hAnsi="Times New Roman"/>
          <w:sz w:val="28"/>
        </w:rPr>
        <w:t>Для достижения поставленной цели решались следующие задачи:</w:t>
      </w:r>
    </w:p>
    <w:p>
      <w:pPr>
        <w:ind w:firstLine="0" w:left="709"/>
      </w:pPr>
      <w:r>
        <w:rPr>
          <w:rFonts w:ascii="Times New Roman" w:hAnsi="Times New Roman"/>
          <w:sz w:val="28"/>
        </w:rPr>
        <w:t>1. Анализ существующих открытых датасетов панорамных рентгеновских снимков и выбор информационной базы.</w:t>
      </w:r>
    </w:p>
    <w:p>
      <w:pPr>
        <w:ind w:firstLine="0" w:left="709"/>
      </w:pPr>
      <w:r>
        <w:rPr>
          <w:rFonts w:ascii="Times New Roman" w:hAnsi="Times New Roman"/>
          <w:sz w:val="28"/>
        </w:rPr>
        <w:t>2. Разработка пайплайна предобработки изображений (CLAHE, нормализация, аугментация).</w:t>
      </w:r>
    </w:p>
    <w:p>
      <w:pPr>
        <w:ind w:firstLine="0" w:left="709"/>
      </w:pPr>
      <w:r>
        <w:rPr>
          <w:rFonts w:ascii="Times New Roman" w:hAnsi="Times New Roman"/>
          <w:sz w:val="28"/>
        </w:rPr>
        <w:t>3. Реализация и сравнение не менее пяти архитектур сегментационных нейронных сетей: U-Net, U-Net++, Swin-UNet, SegFormer, YOLOv8-seg, DeepLabV3+.</w:t>
      </w:r>
    </w:p>
    <w:p>
      <w:pPr>
        <w:ind w:firstLine="0" w:left="709"/>
      </w:pPr>
      <w:r>
        <w:rPr>
          <w:rFonts w:ascii="Times New Roman" w:hAnsi="Times New Roman"/>
          <w:sz w:val="28"/>
        </w:rPr>
        <w:t>4. Разработка двухэтапного пайплайна: этап сегментации → этап геометрического измерения потери кости → правиловая классификация.</w:t>
      </w:r>
    </w:p>
    <w:p>
      <w:pPr>
        <w:ind w:firstLine="0" w:left="709"/>
      </w:pPr>
      <w:r>
        <w:rPr>
          <w:rFonts w:ascii="Times New Roman" w:hAnsi="Times New Roman"/>
          <w:sz w:val="28"/>
        </w:rPr>
        <w:t>5. Сравнение архитектур по метрикам mIoU, Dice, AUROC, F1-мера и скорости обработки.</w:t>
      </w:r>
    </w:p>
    <w:p>
      <w:pPr>
        <w:ind w:firstLine="0" w:left="709"/>
      </w:pPr>
      <w:r>
        <w:rPr>
          <w:rFonts w:ascii="Times New Roman" w:hAnsi="Times New Roman"/>
          <w:sz w:val="28"/>
        </w:rPr>
        <w:t>6. Создание веб-приложения (Gradio) для демонстрации результатов с обязательным указанием ограничений медицинской интерпретации.</w:t>
      </w:r>
    </w:p>
    <w:p>
      <w:pPr>
        <w:pStyle w:val="Heading2"/>
      </w:pPr>
      <w:r>
        <w:rPr>
          <w:rFonts w:ascii="Times New Roman" w:hAnsi="Times New Roman"/>
          <w:b/>
          <w:color w:val="000000"/>
          <w:sz w:val="28"/>
        </w:rPr>
        <w:t>Обзор аналогов по тематике</w:t>
      </w:r>
    </w:p>
    <w:p>
      <w:pPr/>
      <w:r>
        <w:rPr>
          <w:rFonts w:ascii="Times New Roman" w:hAnsi="Times New Roman"/>
          <w:sz w:val="28"/>
        </w:rPr>
        <w:t>Задача автоматического анализа рентгеновских снимков зубов активно исследуется с 2018 года. Среди коммерческих решений следует отметить системы Denti.AI, Apteryx Imaging и Pearl Second Opinion, которые применяют свёрточные нейронные сети для детекции кариеса, периапикальных патологий и убыли кости на прицельных снимках. Однако эти системы, как правило, являются закрытыми и не позволяют проводить сравнительный анализ архитектур.</w:t>
      </w:r>
    </w:p>
    <w:p>
      <w:pPr/>
      <w:r>
        <w:rPr>
          <w:rFonts w:ascii="Times New Roman" w:hAnsi="Times New Roman"/>
          <w:sz w:val="28"/>
        </w:rPr>
        <w:t>В академической литературе задача оценки потери альвеолярной кости по ОПТГ рассматривалась в работах Bayrakdar et al. [9], где предложена свёрточная нейронная сеть для одновременного обнаружения пародонтальной потери кости и кариозных поражений. Schwendicke et al. [6] представили обзор возможностей и вызовов применения искусственного интеллекта в стоматологии, в котором подчёркивается потребность в стандартизированных публичных датасетах и воспроизводимых методологиях. Конкурс DENTEX 2023 [1] впервые предоставил публичный бенчмарк для систематического сравнения методов на панорамных снимках.</w:t>
      </w:r>
    </w:p>
    <w:p>
      <w:pPr/>
      <w:r>
        <w:rPr>
          <w:rFonts w:ascii="Times New Roman" w:hAnsi="Times New Roman"/>
          <w:sz w:val="28"/>
        </w:rPr>
        <w:t>Настоящая работа отличается от имеющихся подходов двухэтапной архитектурой, в которой результат сегментации напрямую преобразуется в клинически интерпретируемые показатели (отношение потери кости к длине корня), а также систематическим сравнением шести современных архитектур — от классического U-Net до трансформерных моделей Swin-UNet и SegFormer.</w:t>
      </w:r>
    </w:p>
    <w:p>
      <w:pPr/>
      <w:r>
        <w:rPr>
          <w:rFonts w:ascii="Times New Roman" w:hAnsi="Times New Roman"/>
          <w:sz w:val="28"/>
        </w:rPr>
        <w:t>Отчёт состоит из трёх разделов, заключения, списка из 12 библиографических источников и двух приложений. Общий объём работы составляет около 30 страниц. Раздел 1 посвящён определению объекта, предмета и цели исследования. Раздел 2 описывает постановку задач и выполненные разработки. Раздел 3 содержит описание результатов практической деятельности.</w:t>
      </w:r>
    </w:p>
    <w:p>
      <w:pPr>
        <w:pStyle w:val="Heading1"/>
      </w:pPr>
      <w:r>
        <w:rPr>
          <w:rFonts w:ascii="Times New Roman" w:hAnsi="Times New Roman"/>
          <w:b/>
          <w:color w:val="000000"/>
          <w:sz w:val="28"/>
        </w:rPr>
        <w:t>1. Определение объекта, предмета и цели исследования</w:t>
      </w:r>
    </w:p>
    <w:p>
      <w:pPr>
        <w:pStyle w:val="Heading2"/>
      </w:pPr>
      <w:r>
        <w:rPr>
          <w:rFonts w:ascii="Times New Roman" w:hAnsi="Times New Roman"/>
          <w:b/>
          <w:color w:val="000000"/>
          <w:sz w:val="28"/>
        </w:rPr>
        <w:t>1.1. Объект исследования</w:t>
      </w:r>
    </w:p>
    <w:p>
      <w:pPr/>
      <w:r>
        <w:rPr>
          <w:rFonts w:ascii="Times New Roman" w:hAnsi="Times New Roman"/>
          <w:sz w:val="28"/>
        </w:rPr>
        <w:t>Объектом исследования являются ортопантомограммы (ОПТГ) — цифровые панорамные рентгеновские изображения зубочелюстной системы. ОПТГ получают с помощью специализированного аппарата-ортопантомографа, в котором рентгеновская трубка и детектор вращаются вокруг головы пациента по криволинейной траектории, формируя двумерную проекцию трёхмерной анатомической структуры. Типичное разрешение цифровой ОПТГ составляет от 1 500 × 800 до 3 000 × 1 500 пикселей при динамическом диапазоне 12–14 бит в оттенках серого.</w:t>
      </w:r>
    </w:p>
    <w:p>
      <w:pPr/>
      <w:r>
        <w:rPr>
          <w:rFonts w:ascii="Times New Roman" w:hAnsi="Times New Roman"/>
          <w:sz w:val="28"/>
        </w:rPr>
        <w:t>На ОПТГ отображаются: коронки и корни всех зубов, межзубные альвеолярные перегородки, кортикальная пластинка альвеолярного отростка, канал нижней челюсти, гайморовы пазухи и другие анатомические структуры. Именно состояние межзубных перегородок и уровень кортикальной пластинки являются диагностическими маркерами заболеваний пародонта: снижение высоты перегородки относительно цементно-эмалевой границы (ЦЭГ) и исчезновение чёткой кортикальной пластинки свидетельствуют о деструктивном пародонтальном процессе.</w:t>
      </w:r>
    </w:p>
    <w:p>
      <w:pPr>
        <w:pStyle w:val="Heading2"/>
      </w:pPr>
      <w:r>
        <w:rPr>
          <w:rFonts w:ascii="Times New Roman" w:hAnsi="Times New Roman"/>
          <w:b/>
          <w:color w:val="000000"/>
          <w:sz w:val="28"/>
        </w:rPr>
        <w:t>1.2. Предмет исследования</w:t>
      </w:r>
    </w:p>
    <w:p>
      <w:pPr/>
      <w:r>
        <w:rPr>
          <w:rFonts w:ascii="Times New Roman" w:hAnsi="Times New Roman"/>
          <w:sz w:val="28"/>
        </w:rPr>
        <w:t>Предметом исследования являются методы автоматической семантической и инстанс-сегментации медицинских изображений, применяемые для выделения анатомических структур пародонта на ОПТГ, а также алгоритмы геометрического измерения степени резорбции костной ткани и правиловой классификации пародонтальных патологий.</w:t>
      </w:r>
    </w:p>
    <w:p>
      <w:pPr>
        <w:pStyle w:val="Heading2"/>
      </w:pPr>
      <w:r>
        <w:rPr>
          <w:rFonts w:ascii="Times New Roman" w:hAnsi="Times New Roman"/>
          <w:b/>
          <w:color w:val="000000"/>
          <w:sz w:val="28"/>
        </w:rPr>
        <w:t>1.3. Цель исследования</w:t>
      </w:r>
    </w:p>
    <w:p>
      <w:pPr/>
      <w:r>
        <w:rPr>
          <w:rFonts w:ascii="Times New Roman" w:hAnsi="Times New Roman"/>
          <w:sz w:val="28"/>
        </w:rPr>
        <w:t>Цель исследования — разработать и апробировать исследовательскую систему для автоматического выявления и классификации заболеваний тканей пародонта по ортопантомограммам на основе сравнения нескольких архитектур глубокого обучения, сориентированных на задачу сегментации.</w:t>
      </w:r>
    </w:p>
    <w:p>
      <w:pPr>
        <w:pStyle w:val="Heading2"/>
      </w:pPr>
      <w:r>
        <w:rPr>
          <w:rFonts w:ascii="Times New Roman" w:hAnsi="Times New Roman"/>
          <w:b/>
          <w:color w:val="000000"/>
          <w:sz w:val="28"/>
        </w:rPr>
        <w:t>1.4. Краткая характеристика предметной области</w:t>
      </w:r>
    </w:p>
    <w:p>
      <w:pPr/>
      <w:r>
        <w:rPr>
          <w:rFonts w:ascii="Times New Roman" w:hAnsi="Times New Roman"/>
          <w:sz w:val="28"/>
        </w:rPr>
        <w:t>Пародонт — комплекс тканей, окружающих и удерживающих зуб: десна, периодонтальная связка, цемент корня и альвеолярная кость. Заболевания пародонта делятся на воспалительные (гингивит, пародонтит) и дистрофические (пародонтоз). В контексте данной работы рассматриваются три диагностические категории.</w:t>
      </w:r>
    </w:p>
    <w:p>
      <w:pPr/>
      <w:r>
        <w:rPr>
          <w:rFonts w:ascii="Times New Roman" w:hAnsi="Times New Roman"/>
          <w:sz w:val="28"/>
        </w:rPr>
        <w:t>Норма: высота альвеолярной кости соответствует анатомической норме (ЦЭГ — гребень альвеолярной перегородки ≤ 2 мм), кортикальная пластинка сохранена, рентгеновская плотность кости однородна.</w:t>
      </w:r>
    </w:p>
    <w:p>
      <w:pPr/>
      <w:r>
        <w:rPr>
          <w:rFonts w:ascii="Times New Roman" w:hAnsi="Times New Roman"/>
          <w:sz w:val="28"/>
        </w:rPr>
        <w:t>Пародонтит — воспалительное заболевание пародонта, клинически проявляющееся резорбцией альвеолярной кости и разрушением кортикальной пластинки. На ОПТГ: размытие или полное отсутствие кортикальной пластинки у вершины межзубной перегородки, нередко неравномерная (угловая) резорбция. Выделяют локализованный пародонтит (1–3 зуба) и генерализованный (весь зубной ряд). Степень тяжести определяется отношением высоты резорбции кости к длине корня: лёгкая — до ⅓, средняя — до ⅔, тяжёлая — свыше ⅔ [9].</w:t>
      </w:r>
    </w:p>
    <w:p>
      <w:pPr/>
      <w:r>
        <w:rPr>
          <w:rFonts w:ascii="Times New Roman" w:hAnsi="Times New Roman"/>
          <w:sz w:val="28"/>
        </w:rPr>
        <w:t>Пародонтоз — дистрофическое заболевание пародонта невоспалительной природы, характеризующееся равномерной убылью альвеолярной кости на всём протяжении зубного ряда при сохранении кортикальной пластинки. На ОПТГ: горизонтальный тип резорбции, чёткая непрерывная кортикальная пластинка, отсутствие угловых карманов. Степень тяжести определяется аналогично пародонтиту по отношению потери кости к длине корня.</w:t>
      </w:r>
    </w:p>
    <w:p>
      <w:pPr/>
      <w:r>
        <w:rPr>
          <w:rFonts w:ascii="Times New Roman" w:hAnsi="Times New Roman"/>
          <w:sz w:val="28"/>
        </w:rPr>
        <w:t>Ключевым рентгенологическим признаком, дифференцирующим пародонтит и пародонтоз, является состояние кортикальной пластинки: её отсутствие указывает на воспалительный характер процесса (пародонтит), тогда как сохранение — на дистрофический (пародонтоз). Именно этот признак лёг в основу правиловой части классификатора данной работы.</w:t>
      </w:r>
    </w:p>
    <w:p>
      <w:pPr>
        <w:pStyle w:val="Heading1"/>
      </w:pPr>
      <w:r>
        <w:rPr>
          <w:rFonts w:ascii="Times New Roman" w:hAnsi="Times New Roman"/>
          <w:b/>
          <w:color w:val="000000"/>
          <w:sz w:val="28"/>
        </w:rPr>
        <w:t>2. Постановка задач практической разработки</w:t>
      </w:r>
    </w:p>
    <w:p>
      <w:pPr>
        <w:pStyle w:val="Heading2"/>
      </w:pPr>
      <w:r>
        <w:rPr>
          <w:rFonts w:ascii="Times New Roman" w:hAnsi="Times New Roman"/>
          <w:b/>
          <w:color w:val="000000"/>
          <w:sz w:val="28"/>
        </w:rPr>
        <w:t>2.1. Описание выполненных работ</w:t>
      </w:r>
    </w:p>
    <w:p>
      <w:pPr/>
      <w:r>
        <w:rPr>
          <w:rFonts w:ascii="Times New Roman" w:hAnsi="Times New Roman"/>
          <w:sz w:val="28"/>
        </w:rPr>
        <w:t>В ходе практики разработан программный комплекс, включающий: пайплайн предобработки данных, шесть реализованных и настроенных архитектур сегментационных нейронных сетей, двухэтапный диагностический пайплайн (сегментация → геометрический анализ → классификация), скрипты обучения, оценки и сравнения моделей, а также веб-приложение Gradio. Программный код организован в виде Python-пакета с конфигурационными YAML-файлами и поддержкой логирования экспериментов через MLflow [12].</w:t>
      </w:r>
    </w:p>
    <w:p>
      <w:pPr>
        <w:pStyle w:val="Heading2"/>
      </w:pPr>
      <w:r>
        <w:rPr>
          <w:rFonts w:ascii="Times New Roman" w:hAnsi="Times New Roman"/>
          <w:b/>
          <w:color w:val="000000"/>
          <w:sz w:val="28"/>
        </w:rPr>
        <w:t>2.2. Информационная база исследования</w:t>
      </w:r>
    </w:p>
    <w:p>
      <w:pPr/>
      <w:r>
        <w:rPr>
          <w:rFonts w:ascii="Times New Roman" w:hAnsi="Times New Roman"/>
          <w:sz w:val="28"/>
        </w:rPr>
        <w:t>Основным источником данных является датасет DENTEX 2023 (Dental Enumeration and Diagnosis from Panoramic X-rays), опубликованный в рамках соревнования MICCAI 2023 Challenge [1]. Датасет содержит 3 000 панорамных рентгеновских снимков с разметкой на уровне отдельных зубов в формате COCO JSON: полигональные маски, ограничивающие прямоугольники, квадрантные метки и метки болезней (кариес, глубокий кариес, периапикальные поражения). Изображения предоставлены стоматологическими клиниками Турции и обезличены в соответствии с требованиями этического комитета.</w:t>
      </w:r>
    </w:p>
    <w:p>
      <w:pPr/>
      <w:r>
        <w:rPr>
          <w:rFonts w:ascii="Times New Roman" w:hAnsi="Times New Roman"/>
          <w:sz w:val="28"/>
        </w:rPr>
        <w:t>Важным ограничением является отсутствие в публичных датасетах готовых масок альвеолярной кости и кортикальной пластинки. Для получения необходимых аннотаций разработана стратегия полуавтоматической разметки: полигоны зубов из DENTEX используются как исходные данные для выделения области зубных экземпляров, после чего применяется модель SAM (Segment Anything Model) с подсказками-bbox для сегментации костных структур. Результирующие маски подлежат ручной верификации и корректировке в программе LabelMe с последующим экспортом в формат COCO JSON.</w:t>
      </w:r>
    </w:p>
    <w:p>
      <w:pPr/>
      <w:r>
        <w:rPr>
          <w:rFonts w:ascii="Times New Roman" w:hAnsi="Times New Roman"/>
          <w:sz w:val="28"/>
        </w:rPr>
        <w:t>Дополнительным источником данных служит Tufts Dental Database — база из 1 000 прицельных и панорамных снимков с поэлементными метками, предоставляемая для научных исследований по заявке на официальном сайте Университета Тафтса. Совместное использование двух датасетов позволяет повысить репрезентативность обучающей выборки и снизить датасет-специфичное смещение результатов.</w:t>
      </w:r>
    </w:p>
    <w:p>
      <w:pPr>
        <w:pStyle w:val="Heading2"/>
      </w:pPr>
      <w:r>
        <w:rPr>
          <w:rFonts w:ascii="Times New Roman" w:hAnsi="Times New Roman"/>
          <w:b/>
          <w:color w:val="000000"/>
          <w:sz w:val="28"/>
        </w:rPr>
        <w:t>2.3. Предобработка данных</w:t>
      </w:r>
    </w:p>
    <w:p>
      <w:pPr/>
      <w:r>
        <w:rPr>
          <w:rFonts w:ascii="Times New Roman" w:hAnsi="Times New Roman"/>
          <w:sz w:val="28"/>
        </w:rPr>
        <w:t>Все изображения приводятся к единому формату: оттенки серого → CLAHE-контрастирование → масштабирование до 1 024 × 512 пикселей → сохранение в PNG. Алгоритм CLAHE (Contrast Limited Adaptive Histogram Equalization) с параметрами clipLimit = 2,0 и tileGridSize = 8 × 8 применяется для локального улучшения контраста без вымывания мелких деталей (кортикальная пластинка) на однородных участках. Нормализация пикселей производится по статистике набора ImageNet (среднее [0,485; 0,456; 0,406], стд [0,229; 0,224; 0,225]) с трёхканальным дублированием изображения в оттенках серого, что необходимо для использования предобученных на ImageNet энкодеров.</w:t>
      </w:r>
    </w:p>
    <w:p>
      <w:pPr/>
      <w:r>
        <w:rPr>
          <w:rFonts w:ascii="Times New Roman" w:hAnsi="Times New Roman"/>
          <w:sz w:val="28"/>
        </w:rPr>
        <w:t>Для обучения применяются следующие аугментации (библиотека Albumentations [5]): горизонтальное зеркалирование (p = 0,5; ОПТГ симметрична относительно срединной линии), случайное изменение яркости и контраста (p = 0,3), дополнительное CLAHE (p = 0,3), упругая деформация ElasticTransform (α = 50, σ = 5, p = 0,2), гауссов шум (p = 0,3), грубые выпадения CoarseDropout (p = 0,2). Цветовые аугментации намеренно не применяются, поскольку яркость пикселей в рентгенографии несёт физический смысл (рентгеновская плотность). Выборка разбита на обучающую, валидационную и тестовую части в соотношении 70 / 15 / 15 % с группировкой по пациенту во избежание утечки данных.</w:t>
      </w:r>
    </w:p>
    <w:p>
      <w:pPr>
        <w:pStyle w:val="Heading2"/>
      </w:pPr>
      <w:r>
        <w:rPr>
          <w:rFonts w:ascii="Times New Roman" w:hAnsi="Times New Roman"/>
          <w:b/>
          <w:color w:val="000000"/>
          <w:sz w:val="28"/>
        </w:rPr>
        <w:t>2.4. Архитектуры исследуемых моделей</w:t>
      </w:r>
    </w:p>
    <w:p>
      <w:pPr>
        <w:pStyle w:val="Heading3"/>
      </w:pPr>
      <w:r>
        <w:rPr>
          <w:rFonts w:ascii="Times New Roman" w:hAnsi="Times New Roman"/>
          <w:b/>
          <w:color w:val="000000"/>
          <w:sz w:val="28"/>
        </w:rPr>
        <w:t>2.4.1. U-Net</w:t>
      </w:r>
    </w:p>
    <w:p>
      <w:pPr/>
      <w:r>
        <w:rPr>
          <w:rFonts w:ascii="Times New Roman" w:hAnsi="Times New Roman"/>
          <w:sz w:val="28"/>
        </w:rPr>
        <w:t>U-Net — классическая архитектура энкодер-декодер с симметричными боковыми соединениями (skip connections), предложенная для сегментации биомедицинских изображений. В данной работе используется реализация из библиотеки segmentation-models-pytorch с энкодером ResNet-50, предобученным на ImageNet. Архитектура является базовой линией (baseline): простота обучения, хорошая интерпретируемость градиентов и умеренные требования к видеопамяти (~4,5 ГБ при размере батча 4).</w:t>
      </w:r>
    </w:p>
    <w:p>
      <w:pPr>
        <w:pStyle w:val="Heading3"/>
      </w:pPr>
      <w:r>
        <w:rPr>
          <w:rFonts w:ascii="Times New Roman" w:hAnsi="Times New Roman"/>
          <w:b/>
          <w:color w:val="000000"/>
          <w:sz w:val="28"/>
        </w:rPr>
        <w:t>2.4.2. U-Net++</w:t>
      </w:r>
    </w:p>
    <w:p>
      <w:pPr/>
      <w:r>
        <w:rPr>
          <w:rFonts w:ascii="Times New Roman" w:hAnsi="Times New Roman"/>
          <w:sz w:val="28"/>
        </w:rPr>
        <w:t>U-Net++ (Nested U-Net) расширяет оригинальную архитектуру плотными вложенными skip-блоками и поддерживает глубокий супервайзинг — вычисление функции потерь на каждом уровне декодера [2]. В качестве энкодера использован EfficientNet-B4, обеспечивающий лучшее соотношение точности и числа параметров по сравнению с ResNet-50. Ожидаемое улучшение mIoU по сравнению с базовым U-Net составляет 2–5 % на схожих задачах сегментации медицинских изображений.</w:t>
      </w:r>
    </w:p>
    <w:p>
      <w:pPr>
        <w:pStyle w:val="Heading3"/>
      </w:pPr>
      <w:r>
        <w:rPr>
          <w:rFonts w:ascii="Times New Roman" w:hAnsi="Times New Roman"/>
          <w:b/>
          <w:color w:val="000000"/>
          <w:sz w:val="28"/>
        </w:rPr>
        <w:t>2.4.3. Swin-UNet</w:t>
      </w:r>
    </w:p>
    <w:p>
      <w:pPr/>
      <w:r>
        <w:rPr>
          <w:rFonts w:ascii="Times New Roman" w:hAnsi="Times New Roman"/>
          <w:sz w:val="28"/>
        </w:rPr>
        <w:t>Swin-UNet представляет собой гибридную архитектуру, в которой в качестве энкодера используется Swin Transformer [3] — иерархический трансформер с локальными окнами внимания и сдвиговым механизмом (shifted window attention). Энкодер Swin-B предобучен на ImageNet-22k, что обеспечивает богатые семантические представления. Декодер реализован как набор блоков из транспонированных свёрток с пространственным выравниванием по skip-соединениям энкодера. Swin-UNet требует наибольших ресурсов (≥ 8 ГБ VRAM) и применяется с gradient checkpointing для экономии памяти.</w:t>
      </w:r>
    </w:p>
    <w:p>
      <w:pPr>
        <w:pStyle w:val="Heading3"/>
      </w:pPr>
      <w:r>
        <w:rPr>
          <w:rFonts w:ascii="Times New Roman" w:hAnsi="Times New Roman"/>
          <w:b/>
          <w:color w:val="000000"/>
          <w:sz w:val="28"/>
        </w:rPr>
        <w:t>2.4.4. SegFormer</w:t>
      </w:r>
    </w:p>
    <w:p>
      <w:pPr/>
      <w:r>
        <w:rPr>
          <w:rFonts w:ascii="Times New Roman" w:hAnsi="Times New Roman"/>
          <w:sz w:val="28"/>
        </w:rPr>
        <w:t>SegFormer [2] использует иерархический трансформер MixTransformer (MiT) в качестве энкодера и лёгкую полносвязную (all-MLP) голову декодера без позиционного кодирования, что устраняет трудности с обобщением на изображения произвольных размеров. Предобученная версия nvidia/mit-b3 из репозитория HuggingFace Transformers обеспечивает хороший баланс между ёмкостью модели и вычислительными затратами. Выход декодера интерполируется билинейно до исходного разрешения перед вычислением функции потерь.</w:t>
      </w:r>
    </w:p>
    <w:p>
      <w:pPr>
        <w:pStyle w:val="Heading3"/>
      </w:pPr>
      <w:r>
        <w:rPr>
          <w:rFonts w:ascii="Times New Roman" w:hAnsi="Times New Roman"/>
          <w:b/>
          <w:color w:val="000000"/>
          <w:sz w:val="28"/>
        </w:rPr>
        <w:t>2.4.5. YOLOv8-seg</w:t>
      </w:r>
    </w:p>
    <w:p>
      <w:pPr/>
      <w:r>
        <w:rPr>
          <w:rFonts w:ascii="Times New Roman" w:hAnsi="Times New Roman"/>
          <w:sz w:val="28"/>
        </w:rPr>
        <w:t>YOLOv8-seg [4] — модель инстанс-сегментации из семейства YOLO, обеспечивающая одновременное обнаружение и сегментацию объектов в рамках единой архитектуры. В отличие от остальных моделей, YOLOv8-seg выдаёт маски для каждого зуба как отдельного экземпляра (instance), что естественным образом соответствует логике второго этапа пайплайна (per-tooth measurement). Обучение YOLOv8-seg производится через утилиту Ultralytics CLI с данными в формате COCO JSON; оценка выполняется через единый интерфейс src/metrics/.</w:t>
      </w:r>
    </w:p>
    <w:p>
      <w:pPr>
        <w:pStyle w:val="Heading3"/>
      </w:pPr>
      <w:r>
        <w:rPr>
          <w:rFonts w:ascii="Times New Roman" w:hAnsi="Times New Roman"/>
          <w:b/>
          <w:color w:val="000000"/>
          <w:sz w:val="28"/>
        </w:rPr>
        <w:t>2.4.6. DeepLabV3+</w:t>
      </w:r>
    </w:p>
    <w:p>
      <w:pPr/>
      <w:r>
        <w:rPr>
          <w:rFonts w:ascii="Times New Roman" w:hAnsi="Times New Roman"/>
          <w:sz w:val="28"/>
        </w:rPr>
        <w:t>DeepLabV3+ дополняет энкодер ResNet-101 модулем ASPP (Atrous Spatial Pyramid Pooling), который захватывает многомасштабный контекст без потери пространственного разрешения за счёт dilated (расширенных) свёрток с различными коэффициентами. DeepLabV3+ включён в сравнение как представитель классических CNN-подходов с явной многомасштабной обработкой, что важно для сегментации структур с сильно различающимися размерами (корни зубов и тонкая кортикальная пластинка).</w:t>
      </w:r>
    </w:p>
    <w:p>
      <w:pPr>
        <w:pStyle w:val="Heading2"/>
      </w:pPr>
      <w:r>
        <w:rPr>
          <w:rFonts w:ascii="Times New Roman" w:hAnsi="Times New Roman"/>
          <w:b/>
          <w:color w:val="000000"/>
          <w:sz w:val="28"/>
        </w:rPr>
        <w:t>2.5. Двухэтапный диагностический пайплайн</w:t>
      </w:r>
    </w:p>
    <w:p>
      <w:pPr/>
      <w:r>
        <w:rPr>
          <w:rFonts w:ascii="Times New Roman" w:hAnsi="Times New Roman"/>
          <w:sz w:val="28"/>
        </w:rPr>
        <w:t>Архитектура системы построена по двухэтапному принципу, что обусловлено клинической природой задачи: степень тяжести заболевания пародонта определяется не классификационным ярлыком, а измеримой геометрической характеристикой — отношением высоты потери кости к длине корня зуба.</w:t>
      </w:r>
    </w:p>
    <w:p>
      <w:pPr/>
      <w:r>
        <w:rPr>
          <w:rFonts w:ascii="Times New Roman" w:hAnsi="Times New Roman"/>
          <w:sz w:val="28"/>
        </w:rPr>
        <w:t>Этап 1 — Сегментация. Предобработанное ОПТГ-изображение подаётся на вход сегментационной модели, которая формирует маску с четырьмя классами: фон (0), зуб (1), альвеолярная кость (2), кортикальная пластинка (3). Результат — три бинарных маски: mask_tooth, mask_bone, mask_cortical.</w:t>
      </w:r>
    </w:p>
    <w:p>
      <w:pPr/>
      <w:r>
        <w:rPr>
          <w:rFonts w:ascii="Times New Roman" w:hAnsi="Times New Roman"/>
          <w:sz w:val="28"/>
        </w:rPr>
        <w:t>Этап 2 — Геометрический анализ и классификация. Для каждого экземпляра зуба вычисляются: (а) ЦЭГ_y — приближённое положение цементно-эмалевой границы (40 % высоты зуба от коронки); (б) root_tip_y — нижняя точка корня; (в) bone_crest_y — верхний край альвеолярной кости в столбцах зуба. Из этих координат рассчитывается bone_loss_ratio = (bone_crest_y − ЦЭГ_y) / root_length, где root_length = |root_tip_y − ЦЭГ_y|. Дополнительно оценивается покрытие кортикальной пластинки: доля столбцов ширины зуба, в которых mask_cortical присутствует в полосе ±5 пикселей вокруг bone_crest_y.</w:t>
      </w:r>
    </w:p>
    <w:p>
      <w:pPr/>
      <w:r>
        <w:rPr>
          <w:rFonts w:ascii="Times New Roman" w:hAnsi="Times New Roman"/>
          <w:sz w:val="28"/>
        </w:rPr>
        <w:t>Правиловый классификатор формирует диагноз: если кортикальная пластинка отсутствует (покрытие &lt; 30 %), диагноз — пародонтит; при сохранённой пластинке и bone_loss_ratio ≥ 0,10 — пародонтоз; иначе — норма. Тяжесть: лёгкая (ratio ≤ 0,33), средняя (ratio ≤ 0,67), тяжёлая (ratio &gt; 0,67). Распространённость: локализованная (&lt; 4 зубов) или генерализованная (≥ 4 зубов). Ограничение метода состоит в том, что ЦЭГ определяется как анатомическое приближение, а не прямым измерением, что вносит систематическую погрешность для зубов с нестандартными пропорциями коронки и корня.</w:t>
      </w:r>
    </w:p>
    <w:p>
      <w:pPr>
        <w:pStyle w:val="Heading2"/>
      </w:pPr>
      <w:r>
        <w:rPr>
          <w:rFonts w:ascii="Times New Roman" w:hAnsi="Times New Roman"/>
          <w:b/>
          <w:color w:val="000000"/>
          <w:sz w:val="28"/>
        </w:rPr>
        <w:t>2.6. Метрики качества</w:t>
      </w:r>
    </w:p>
    <w:p>
      <w:pPr/>
      <w:r>
        <w:rPr>
          <w:rFonts w:ascii="Times New Roman" w:hAnsi="Times New Roman"/>
          <w:sz w:val="28"/>
        </w:rPr>
        <w:t>Для оценки качества сегментационных моделей используются: mIoU (mean Intersection over Union) — основная агрегированная метрика, усредняющая IoU по всем четырём классам; Dice-коэффициент по каждому классу отдельно (особенно важен Dice_cortical, так как кортикальная пластинка занимает ничтожную долю пикселей); расстояние Хаусдорфа для контура кости (клинически значимая геометрическая ошибка); скорость вывода FPS (кадров в секунду) при batch = 1.</w:t>
      </w:r>
    </w:p>
    <w:p>
      <w:pPr/>
      <w:r>
        <w:rPr>
          <w:rFonts w:ascii="Times New Roman" w:hAnsi="Times New Roman"/>
          <w:sz w:val="28"/>
        </w:rPr>
        <w:t>Для оценки классификационного пайплайна используются: AUROC (площадь под ROC-кривой, схема «один против всех») по каждому классу и как макро-среднее; F1-мера по каждому классу и как макро-среднее; взвешенный каппа Коэна, учитывающий порядковую природу тяжести. Анализ дисбаланса классов производится через распределение пикселей и частоту меток на уровне снимков.</w:t>
      </w:r>
    </w:p>
    <w:p>
      <w:pPr>
        <w:pStyle w:val="Heading2"/>
      </w:pPr>
      <w:r>
        <w:rPr>
          <w:rFonts w:ascii="Times New Roman" w:hAnsi="Times New Roman"/>
          <w:b/>
          <w:color w:val="000000"/>
          <w:sz w:val="28"/>
        </w:rPr>
        <w:t>2.7. Технологический стек</w:t>
      </w:r>
    </w:p>
    <w:p>
      <w:pPr/>
      <w:r>
        <w:rPr>
          <w:rFonts w:ascii="Times New Roman" w:hAnsi="Times New Roman"/>
          <w:sz w:val="28"/>
        </w:rPr>
        <w:t>Разработка ведётся на языке Python 3.12 с использованием следующих основных библиотек и фреймворков: PyTorch 2.7 (основной фреймворк), PyTorch Lightning 2.x [11] (управление циклом обучения), segmentation-models-pytorch (реализации U-Net, U-Net++, DeepLabV3+), HuggingFace Transformers (SegFormer), timm (энкодер Swin Transformer), Ultralytics 8.x [4] (YOLOv8-seg), Albumentations [5] (аугментации), MLflow [12] (трекинг экспериментов), Gradio (веб-интерфейс приложения). Вычисления выполняются на GPU NVIDIA RTX 4070 (12 ГБ VRAM) с поддержкой автоматического смешанного точного вывода (AMP FP16).</w:t>
      </w:r>
    </w:p>
    <w:p>
      <w:pPr>
        <w:pStyle w:val="Heading1"/>
      </w:pPr>
      <w:r>
        <w:rPr>
          <w:rFonts w:ascii="Times New Roman" w:hAnsi="Times New Roman"/>
          <w:b/>
          <w:color w:val="000000"/>
          <w:sz w:val="28"/>
        </w:rPr>
        <w:t>3. Описание результатов практической деятельности</w:t>
      </w:r>
    </w:p>
    <w:p>
      <w:pPr>
        <w:pStyle w:val="Heading2"/>
      </w:pPr>
      <w:r>
        <w:rPr>
          <w:rFonts w:ascii="Times New Roman" w:hAnsi="Times New Roman"/>
          <w:b/>
          <w:color w:val="000000"/>
          <w:sz w:val="28"/>
        </w:rPr>
        <w:t>3.1. Структура разработанного программного комплекса</w:t>
      </w:r>
    </w:p>
    <w:p>
      <w:pPr/>
      <w:r>
        <w:rPr>
          <w:rFonts w:ascii="Times New Roman" w:hAnsi="Times New Roman"/>
          <w:sz w:val="28"/>
        </w:rPr>
        <w:t>В ходе практики разработан программный комплекс с модульной структурой. Корневая директория проекта содержит следующие подсистемы: configs/ (конфигурационные YAML-файлы для каждой модели), data/ (сырые и предобработанные данные, разбивки на выборки), src/ (исходный код в виде Python-пакета), scripts/ (скрипты для скачивания данных, предобработки, обучения, оценки, сравнения и экспорта), notebooks/ (Jupyter-ноутбуки для исследовательского анализа), app/ (веб-приложение Gradio).</w:t>
      </w:r>
    </w:p>
    <w:p>
      <w:pPr>
        <w:ind w:firstLine="0"/>
      </w:pPr>
      <w:r>
        <w:rPr>
          <w:rFonts w:ascii="Times New Roman" w:hAnsi="Times New Roman"/>
          <w:b/>
          <w:sz w:val="28"/>
        </w:rPr>
        <w:t xml:space="preserve">Табл. 1. </w:t>
      </w:r>
      <w:r>
        <w:rPr>
          <w:rFonts w:ascii="Times New Roman" w:hAnsi="Times New Roman"/>
          <w:sz w:val="28"/>
        </w:rPr>
        <w:t>Основные модули программного комплекса</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4"/>
              </w:rPr>
              <w:t>Модуль</w:t>
            </w:r>
          </w:p>
        </w:tc>
        <w:tc>
          <w:tcPr>
            <w:tcW w:type="dxa" w:w="4536"/>
          </w:tcPr>
          <w:p>
            <w:pPr>
              <w:jc w:val="center"/>
            </w:pPr>
            <w:r>
              <w:rPr>
                <w:rFonts w:ascii="Times New Roman" w:hAnsi="Times New Roman"/>
                <w:b/>
                <w:sz w:val="24"/>
              </w:rPr>
              <w:t>Назначение</w:t>
            </w:r>
          </w:p>
        </w:tc>
      </w:tr>
      <w:tr>
        <w:tc>
          <w:tcPr>
            <w:tcW w:type="dxa" w:w="4536"/>
          </w:tcPr>
          <w:p>
            <w:pPr>
              <w:jc w:val="center"/>
            </w:pPr>
            <w:r>
              <w:rPr>
                <w:rFonts w:ascii="Times New Roman" w:hAnsi="Times New Roman"/>
                <w:sz w:val="24"/>
              </w:rPr>
              <w:t>src/data/</w:t>
            </w:r>
          </w:p>
        </w:tc>
        <w:tc>
          <w:tcPr>
            <w:tcW w:type="dxa" w:w="4536"/>
          </w:tcPr>
          <w:p>
            <w:pPr>
              <w:jc w:val="center"/>
            </w:pPr>
            <w:r>
              <w:rPr>
                <w:rFonts w:ascii="Times New Roman" w:hAnsi="Times New Roman"/>
                <w:sz w:val="24"/>
              </w:rPr>
              <w:t>Dataset, DataModule, трансформации (Albumentations)</w:t>
            </w:r>
          </w:p>
        </w:tc>
      </w:tr>
      <w:tr>
        <w:tc>
          <w:tcPr>
            <w:tcW w:type="dxa" w:w="4536"/>
          </w:tcPr>
          <w:p>
            <w:pPr>
              <w:jc w:val="center"/>
            </w:pPr>
            <w:r>
              <w:rPr>
                <w:rFonts w:ascii="Times New Roman" w:hAnsi="Times New Roman"/>
                <w:sz w:val="24"/>
              </w:rPr>
              <w:t>src/models/</w:t>
            </w:r>
          </w:p>
        </w:tc>
        <w:tc>
          <w:tcPr>
            <w:tcW w:type="dxa" w:w="4536"/>
          </w:tcPr>
          <w:p>
            <w:pPr>
              <w:jc w:val="center"/>
            </w:pPr>
            <w:r>
              <w:rPr>
                <w:rFonts w:ascii="Times New Roman" w:hAnsi="Times New Roman"/>
                <w:sz w:val="24"/>
              </w:rPr>
              <w:t>U-Net, U-Net++, Swin-UNet, SegFormer, YOLOv8-seg, DeepLabV3+, фабрика</w:t>
            </w:r>
          </w:p>
        </w:tc>
      </w:tr>
      <w:tr>
        <w:tc>
          <w:tcPr>
            <w:tcW w:type="dxa" w:w="4536"/>
          </w:tcPr>
          <w:p>
            <w:pPr>
              <w:jc w:val="center"/>
            </w:pPr>
            <w:r>
              <w:rPr>
                <w:rFonts w:ascii="Times New Roman" w:hAnsi="Times New Roman"/>
                <w:sz w:val="24"/>
              </w:rPr>
              <w:t>src/losses/</w:t>
            </w:r>
          </w:p>
        </w:tc>
        <w:tc>
          <w:tcPr>
            <w:tcW w:type="dxa" w:w="4536"/>
          </w:tcPr>
          <w:p>
            <w:pPr>
              <w:jc w:val="center"/>
            </w:pPr>
            <w:r>
              <w:rPr>
                <w:rFonts w:ascii="Times New Roman" w:hAnsi="Times New Roman"/>
                <w:sz w:val="24"/>
              </w:rPr>
              <w:t>DiceLoss + CrossEntropy / Focal Loss</w:t>
            </w:r>
          </w:p>
        </w:tc>
      </w:tr>
      <w:tr>
        <w:tc>
          <w:tcPr>
            <w:tcW w:type="dxa" w:w="4536"/>
          </w:tcPr>
          <w:p>
            <w:pPr>
              <w:jc w:val="center"/>
            </w:pPr>
            <w:r>
              <w:rPr>
                <w:rFonts w:ascii="Times New Roman" w:hAnsi="Times New Roman"/>
                <w:sz w:val="24"/>
              </w:rPr>
              <w:t>src/metrics/</w:t>
            </w:r>
          </w:p>
        </w:tc>
        <w:tc>
          <w:tcPr>
            <w:tcW w:type="dxa" w:w="4536"/>
          </w:tcPr>
          <w:p>
            <w:pPr>
              <w:jc w:val="center"/>
            </w:pPr>
            <w:r>
              <w:rPr>
                <w:rFonts w:ascii="Times New Roman" w:hAnsi="Times New Roman"/>
                <w:sz w:val="24"/>
              </w:rPr>
              <w:t>mIoU, Dice по классам, AUROC, F1, каппа Коэна</w:t>
            </w:r>
          </w:p>
        </w:tc>
      </w:tr>
      <w:tr>
        <w:tc>
          <w:tcPr>
            <w:tcW w:type="dxa" w:w="4536"/>
          </w:tcPr>
          <w:p>
            <w:pPr>
              <w:jc w:val="center"/>
            </w:pPr>
            <w:r>
              <w:rPr>
                <w:rFonts w:ascii="Times New Roman" w:hAnsi="Times New Roman"/>
                <w:sz w:val="24"/>
              </w:rPr>
              <w:t>src/pipeline/</w:t>
            </w:r>
          </w:p>
        </w:tc>
        <w:tc>
          <w:tcPr>
            <w:tcW w:type="dxa" w:w="4536"/>
          </w:tcPr>
          <w:p>
            <w:pPr>
              <w:jc w:val="center"/>
            </w:pPr>
            <w:r>
              <w:rPr>
                <w:rFonts w:ascii="Times New Roman" w:hAnsi="Times New Roman"/>
                <w:sz w:val="24"/>
              </w:rPr>
              <w:t>Этап 1 (сегментация), Этап 2 (геометрия + классификация)</w:t>
            </w:r>
          </w:p>
        </w:tc>
      </w:tr>
      <w:tr>
        <w:tc>
          <w:tcPr>
            <w:tcW w:type="dxa" w:w="4536"/>
          </w:tcPr>
          <w:p>
            <w:pPr>
              <w:jc w:val="center"/>
            </w:pPr>
            <w:r>
              <w:rPr>
                <w:rFonts w:ascii="Times New Roman" w:hAnsi="Times New Roman"/>
                <w:sz w:val="24"/>
              </w:rPr>
              <w:t>src/training/</w:t>
            </w:r>
          </w:p>
        </w:tc>
        <w:tc>
          <w:tcPr>
            <w:tcW w:type="dxa" w:w="4536"/>
          </w:tcPr>
          <w:p>
            <w:pPr>
              <w:jc w:val="center"/>
            </w:pPr>
            <w:r>
              <w:rPr>
                <w:rFonts w:ascii="Times New Roman" w:hAnsi="Times New Roman"/>
                <w:sz w:val="24"/>
              </w:rPr>
              <w:t>PyTorch Lightning LightningModule</w:t>
            </w:r>
          </w:p>
        </w:tc>
      </w:tr>
      <w:tr>
        <w:tc>
          <w:tcPr>
            <w:tcW w:type="dxa" w:w="4536"/>
          </w:tcPr>
          <w:p>
            <w:pPr>
              <w:jc w:val="center"/>
            </w:pPr>
            <w:r>
              <w:rPr>
                <w:rFonts w:ascii="Times New Roman" w:hAnsi="Times New Roman"/>
                <w:sz w:val="24"/>
              </w:rPr>
              <w:t>src/utils/</w:t>
            </w:r>
          </w:p>
        </w:tc>
        <w:tc>
          <w:tcPr>
            <w:tcW w:type="dxa" w:w="4536"/>
          </w:tcPr>
          <w:p>
            <w:pPr>
              <w:jc w:val="center"/>
            </w:pPr>
            <w:r>
              <w:rPr>
                <w:rFonts w:ascii="Times New Roman" w:hAnsi="Times New Roman"/>
                <w:sz w:val="24"/>
              </w:rPr>
              <w:t>Визуализация, воспроизводимость</w:t>
            </w:r>
          </w:p>
        </w:tc>
      </w:tr>
      <w:tr>
        <w:tc>
          <w:tcPr>
            <w:tcW w:type="dxa" w:w="4536"/>
          </w:tcPr>
          <w:p>
            <w:pPr>
              <w:jc w:val="center"/>
            </w:pPr>
            <w:r>
              <w:rPr>
                <w:rFonts w:ascii="Times New Roman" w:hAnsi="Times New Roman"/>
                <w:sz w:val="24"/>
              </w:rPr>
              <w:t>scripts/</w:t>
            </w:r>
          </w:p>
        </w:tc>
        <w:tc>
          <w:tcPr>
            <w:tcW w:type="dxa" w:w="4536"/>
          </w:tcPr>
          <w:p>
            <w:pPr>
              <w:jc w:val="center"/>
            </w:pPr>
            <w:r>
              <w:rPr>
                <w:rFonts w:ascii="Times New Roman" w:hAnsi="Times New Roman"/>
                <w:sz w:val="24"/>
              </w:rPr>
              <w:t>Скачивание данных, предобработка, обучение, оценка, экспорт ONNX</w:t>
            </w:r>
          </w:p>
        </w:tc>
      </w:tr>
      <w:tr>
        <w:tc>
          <w:tcPr>
            <w:tcW w:type="dxa" w:w="4536"/>
          </w:tcPr>
          <w:p>
            <w:pPr>
              <w:jc w:val="center"/>
            </w:pPr>
            <w:r>
              <w:rPr>
                <w:rFonts w:ascii="Times New Roman" w:hAnsi="Times New Roman"/>
                <w:sz w:val="24"/>
              </w:rPr>
              <w:t>app/app.py</w:t>
            </w:r>
          </w:p>
        </w:tc>
        <w:tc>
          <w:tcPr>
            <w:tcW w:type="dxa" w:w="4536"/>
          </w:tcPr>
          <w:p>
            <w:pPr>
              <w:jc w:val="center"/>
            </w:pPr>
            <w:r>
              <w:rPr>
                <w:rFonts w:ascii="Times New Roman" w:hAnsi="Times New Roman"/>
                <w:sz w:val="24"/>
              </w:rPr>
              <w:t>Gradio UI для загрузки ОПТГ и отображения результатов</w:t>
            </w:r>
          </w:p>
        </w:tc>
      </w:tr>
    </w:tbl>
    <w:p/>
    <w:p>
      <w:pPr>
        <w:pStyle w:val="Heading2"/>
      </w:pPr>
      <w:r>
        <w:rPr>
          <w:rFonts w:ascii="Times New Roman" w:hAnsi="Times New Roman"/>
          <w:b/>
          <w:color w:val="000000"/>
          <w:sz w:val="28"/>
        </w:rPr>
        <w:t>3.2. Результаты сегментации</w:t>
      </w:r>
    </w:p>
    <w:p>
      <w:pPr/>
      <w:r>
        <w:rPr>
          <w:rFonts w:ascii="Times New Roman" w:hAnsi="Times New Roman"/>
          <w:sz w:val="28"/>
        </w:rPr>
        <w:t>В таблице 2 приведены сводные метрики качества сегментации для всех исследуемых архитектур на тестовой выборке. Особое внимание уделяется Dice_cortical — метрике качества сегментации кортикальной пластинки, которая занимает наименьшую долю пикселей (≈ 0,3–0,5 %) и является наиболее сложным для сегментации классом. Именно этот показатель критически важен для правильной дифференциации пародонтита и пародонтоза.</w:t>
      </w:r>
    </w:p>
    <w:p>
      <w:pPr>
        <w:ind w:firstLine="0"/>
      </w:pPr>
      <w:r>
        <w:rPr>
          <w:rFonts w:ascii="Times New Roman" w:hAnsi="Times New Roman"/>
          <w:b/>
          <w:sz w:val="28"/>
        </w:rPr>
        <w:t xml:space="preserve">Табл. 2. </w:t>
      </w:r>
      <w:r>
        <w:rPr>
          <w:rFonts w:ascii="Times New Roman" w:hAnsi="Times New Roman"/>
          <w:sz w:val="28"/>
        </w:rPr>
        <w:t>Сводные метрики сегментации на тестовой выборке</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Times New Roman" w:hAnsi="Times New Roman"/>
                <w:b/>
                <w:sz w:val="24"/>
              </w:rPr>
              <w:t>Модель</w:t>
            </w:r>
          </w:p>
        </w:tc>
        <w:tc>
          <w:tcPr>
            <w:tcW w:type="dxa" w:w="1512"/>
          </w:tcPr>
          <w:p>
            <w:pPr>
              <w:jc w:val="center"/>
            </w:pPr>
            <w:r>
              <w:rPr>
                <w:rFonts w:ascii="Times New Roman" w:hAnsi="Times New Roman"/>
                <w:b/>
                <w:sz w:val="24"/>
              </w:rPr>
              <w:t>mIoU</w:t>
            </w:r>
          </w:p>
        </w:tc>
        <w:tc>
          <w:tcPr>
            <w:tcW w:type="dxa" w:w="1512"/>
          </w:tcPr>
          <w:p>
            <w:pPr>
              <w:jc w:val="center"/>
            </w:pPr>
            <w:r>
              <w:rPr>
                <w:rFonts w:ascii="Times New Roman" w:hAnsi="Times New Roman"/>
                <w:b/>
                <w:sz w:val="24"/>
              </w:rPr>
              <w:t>Dice_tooth</w:t>
            </w:r>
          </w:p>
        </w:tc>
        <w:tc>
          <w:tcPr>
            <w:tcW w:type="dxa" w:w="1512"/>
          </w:tcPr>
          <w:p>
            <w:pPr>
              <w:jc w:val="center"/>
            </w:pPr>
            <w:r>
              <w:rPr>
                <w:rFonts w:ascii="Times New Roman" w:hAnsi="Times New Roman"/>
                <w:b/>
                <w:sz w:val="24"/>
              </w:rPr>
              <w:t>Dice_bone</w:t>
            </w:r>
          </w:p>
        </w:tc>
        <w:tc>
          <w:tcPr>
            <w:tcW w:type="dxa" w:w="1512"/>
          </w:tcPr>
          <w:p>
            <w:pPr>
              <w:jc w:val="center"/>
            </w:pPr>
            <w:r>
              <w:rPr>
                <w:rFonts w:ascii="Times New Roman" w:hAnsi="Times New Roman"/>
                <w:b/>
                <w:sz w:val="24"/>
              </w:rPr>
              <w:t>Dice_cortical</w:t>
            </w:r>
          </w:p>
        </w:tc>
        <w:tc>
          <w:tcPr>
            <w:tcW w:type="dxa" w:w="1512"/>
          </w:tcPr>
          <w:p>
            <w:pPr>
              <w:jc w:val="center"/>
            </w:pPr>
            <w:r>
              <w:rPr>
                <w:rFonts w:ascii="Times New Roman" w:hAnsi="Times New Roman"/>
                <w:b/>
                <w:sz w:val="24"/>
              </w:rPr>
              <w:t>FPS</w:t>
            </w:r>
          </w:p>
        </w:tc>
      </w:tr>
      <w:tr>
        <w:tc>
          <w:tcPr>
            <w:tcW w:type="dxa" w:w="1512"/>
          </w:tcPr>
          <w:p>
            <w:pPr>
              <w:jc w:val="center"/>
            </w:pPr>
            <w:r>
              <w:rPr>
                <w:rFonts w:ascii="Times New Roman" w:hAnsi="Times New Roman"/>
                <w:sz w:val="24"/>
              </w:rPr>
              <w:t>U-Net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r>
        <w:tc>
          <w:tcPr>
            <w:tcW w:type="dxa" w:w="1512"/>
          </w:tcPr>
          <w:p>
            <w:pPr>
              <w:jc w:val="center"/>
            </w:pPr>
            <w:r>
              <w:rPr>
                <w:rFonts w:ascii="Times New Roman" w:hAnsi="Times New Roman"/>
                <w:sz w:val="24"/>
              </w:rPr>
              <w:t>U-Net++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r>
        <w:tc>
          <w:tcPr>
            <w:tcW w:type="dxa" w:w="1512"/>
          </w:tcPr>
          <w:p>
            <w:pPr>
              <w:jc w:val="center"/>
            </w:pPr>
            <w:r>
              <w:rPr>
                <w:rFonts w:ascii="Times New Roman" w:hAnsi="Times New Roman"/>
                <w:sz w:val="24"/>
              </w:rPr>
              <w:t>Swin-UNet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r>
        <w:tc>
          <w:tcPr>
            <w:tcW w:type="dxa" w:w="1512"/>
          </w:tcPr>
          <w:p>
            <w:pPr>
              <w:jc w:val="center"/>
            </w:pPr>
            <w:r>
              <w:rPr>
                <w:rFonts w:ascii="Times New Roman" w:hAnsi="Times New Roman"/>
                <w:sz w:val="24"/>
              </w:rPr>
              <w:t>SegFormer</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r>
        <w:tc>
          <w:tcPr>
            <w:tcW w:type="dxa" w:w="1512"/>
          </w:tcPr>
          <w:p>
            <w:pPr>
              <w:jc w:val="center"/>
            </w:pPr>
            <w:r>
              <w:rPr>
                <w:rFonts w:ascii="Times New Roman" w:hAnsi="Times New Roman"/>
                <w:sz w:val="24"/>
              </w:rPr>
              <w:t>YOLOv8-seg</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r>
        <w:tc>
          <w:tcPr>
            <w:tcW w:type="dxa" w:w="1512"/>
          </w:tcPr>
          <w:p>
            <w:pPr>
              <w:jc w:val="center"/>
            </w:pPr>
            <w:r>
              <w:rPr>
                <w:rFonts w:ascii="Times New Roman" w:hAnsi="Times New Roman"/>
                <w:sz w:val="24"/>
              </w:rPr>
              <w:t>DeepLabV3+</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c>
          <w:tcPr>
            <w:tcW w:type="dxa" w:w="1512"/>
          </w:tcPr>
          <w:p>
            <w:pPr>
              <w:jc w:val="center"/>
            </w:pPr>
            <w:r>
              <w:rPr>
                <w:rFonts w:ascii="Times New Roman" w:hAnsi="Times New Roman"/>
                <w:sz w:val="24"/>
              </w:rPr>
              <w:t>—</w:t>
            </w:r>
          </w:p>
        </w:tc>
      </w:tr>
    </w:tbl>
    <w:p>
      <w:pPr/>
      <w:r>
        <w:rPr>
          <w:rFonts w:ascii="Times New Roman" w:hAnsi="Times New Roman"/>
          <w:sz w:val="28"/>
        </w:rPr>
        <w:t>Примечание: ячейки таблицы заполняются по результатам обучения и тестирования моделей. Значение «—» означает, что обучение ещё не завершено. Команда для запуска обучения и оценки: python scripts/train.py --config configs/&lt;model&gt;.yaml; python scripts/evaluate.py --config configs/&lt;model&gt;.yaml --checkpoint &lt;path&gt;.</w:t>
      </w:r>
    </w:p>
    <w:p/>
    <w:p>
      <w:pPr>
        <w:pStyle w:val="Heading2"/>
      </w:pPr>
      <w:r>
        <w:rPr>
          <w:rFonts w:ascii="Times New Roman" w:hAnsi="Times New Roman"/>
          <w:b/>
          <w:color w:val="000000"/>
          <w:sz w:val="28"/>
        </w:rPr>
        <w:t>3.3. Результаты классификации пародонтальных патологий</w:t>
      </w:r>
    </w:p>
    <w:p>
      <w:pPr/>
      <w:r>
        <w:rPr>
          <w:rFonts w:ascii="Times New Roman" w:hAnsi="Times New Roman"/>
          <w:sz w:val="28"/>
        </w:rPr>
        <w:t>Классификация производится на основе выходных масок сегментационной модели без дополнительного обучения классификационной головы — исключительно на основании геометрических измерений bone_loss_ratio и cortical_coverage. Такой подход исключает проблему «ярлычного» переобучения и обеспечивает клинически интерпретируемый результат.</w:t>
      </w:r>
    </w:p>
    <w:p>
      <w:pPr>
        <w:ind w:firstLine="0"/>
      </w:pPr>
      <w:r>
        <w:rPr>
          <w:rFonts w:ascii="Times New Roman" w:hAnsi="Times New Roman"/>
          <w:b/>
          <w:sz w:val="28"/>
        </w:rPr>
        <w:t xml:space="preserve">Табл. 3. </w:t>
      </w:r>
      <w:r>
        <w:rPr>
          <w:rFonts w:ascii="Times New Roman" w:hAnsi="Times New Roman"/>
          <w:sz w:val="28"/>
        </w:rPr>
        <w:t>Метрики классификации пародонтальных патологий</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24"/>
              </w:rPr>
              <w:t>Модель сегментации</w:t>
            </w:r>
          </w:p>
        </w:tc>
        <w:tc>
          <w:tcPr>
            <w:tcW w:type="dxa" w:w="2268"/>
          </w:tcPr>
          <w:p>
            <w:pPr>
              <w:jc w:val="center"/>
            </w:pPr>
            <w:r>
              <w:rPr>
                <w:rFonts w:ascii="Times New Roman" w:hAnsi="Times New Roman"/>
                <w:b/>
                <w:sz w:val="24"/>
              </w:rPr>
              <w:t>AUROC (macro)</w:t>
            </w:r>
          </w:p>
        </w:tc>
        <w:tc>
          <w:tcPr>
            <w:tcW w:type="dxa" w:w="2268"/>
          </w:tcPr>
          <w:p>
            <w:pPr>
              <w:jc w:val="center"/>
            </w:pPr>
            <w:r>
              <w:rPr>
                <w:rFonts w:ascii="Times New Roman" w:hAnsi="Times New Roman"/>
                <w:b/>
                <w:sz w:val="24"/>
              </w:rPr>
              <w:t>F1 (macro)</w:t>
            </w:r>
          </w:p>
        </w:tc>
        <w:tc>
          <w:tcPr>
            <w:tcW w:type="dxa" w:w="2268"/>
          </w:tcPr>
          <w:p>
            <w:pPr>
              <w:jc w:val="center"/>
            </w:pPr>
            <w:r>
              <w:rPr>
                <w:rFonts w:ascii="Times New Roman" w:hAnsi="Times New Roman"/>
                <w:b/>
                <w:sz w:val="24"/>
              </w:rPr>
              <w:t>Каппа Коэна</w:t>
            </w:r>
          </w:p>
        </w:tc>
      </w:tr>
      <w:tr>
        <w:tc>
          <w:tcPr>
            <w:tcW w:type="dxa" w:w="2268"/>
          </w:tcPr>
          <w:p>
            <w:pPr>
              <w:jc w:val="center"/>
            </w:pPr>
            <w:r>
              <w:rPr>
                <w:rFonts w:ascii="Times New Roman" w:hAnsi="Times New Roman"/>
                <w:sz w:val="24"/>
              </w:rPr>
              <w:t>U-Net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r>
        <w:tc>
          <w:tcPr>
            <w:tcW w:type="dxa" w:w="2268"/>
          </w:tcPr>
          <w:p>
            <w:pPr>
              <w:jc w:val="center"/>
            </w:pPr>
            <w:r>
              <w:rPr>
                <w:rFonts w:ascii="Times New Roman" w:hAnsi="Times New Roman"/>
                <w:sz w:val="24"/>
              </w:rPr>
              <w:t>U-Net++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r>
        <w:tc>
          <w:tcPr>
            <w:tcW w:type="dxa" w:w="2268"/>
          </w:tcPr>
          <w:p>
            <w:pPr>
              <w:jc w:val="center"/>
            </w:pPr>
            <w:r>
              <w:rPr>
                <w:rFonts w:ascii="Times New Roman" w:hAnsi="Times New Roman"/>
                <w:sz w:val="24"/>
              </w:rPr>
              <w:t>Swin-UNet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r>
        <w:tc>
          <w:tcPr>
            <w:tcW w:type="dxa" w:w="2268"/>
          </w:tcPr>
          <w:p>
            <w:pPr>
              <w:jc w:val="center"/>
            </w:pPr>
            <w:r>
              <w:rPr>
                <w:rFonts w:ascii="Times New Roman" w:hAnsi="Times New Roman"/>
                <w:sz w:val="24"/>
              </w:rPr>
              <w:t>SegFormer</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r>
        <w:tc>
          <w:tcPr>
            <w:tcW w:type="dxa" w:w="2268"/>
          </w:tcPr>
          <w:p>
            <w:pPr>
              <w:jc w:val="center"/>
            </w:pPr>
            <w:r>
              <w:rPr>
                <w:rFonts w:ascii="Times New Roman" w:hAnsi="Times New Roman"/>
                <w:sz w:val="24"/>
              </w:rPr>
              <w:t>YOLOv8-seg</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r>
        <w:tc>
          <w:tcPr>
            <w:tcW w:type="dxa" w:w="2268"/>
          </w:tcPr>
          <w:p>
            <w:pPr>
              <w:jc w:val="center"/>
            </w:pPr>
            <w:r>
              <w:rPr>
                <w:rFonts w:ascii="Times New Roman" w:hAnsi="Times New Roman"/>
                <w:sz w:val="24"/>
              </w:rPr>
              <w:t>DeepLabV3+</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c>
          <w:tcPr>
            <w:tcW w:type="dxa" w:w="2268"/>
          </w:tcPr>
          <w:p>
            <w:pPr>
              <w:jc w:val="center"/>
            </w:pPr>
            <w:r>
              <w:rPr>
                <w:rFonts w:ascii="Times New Roman" w:hAnsi="Times New Roman"/>
                <w:sz w:val="24"/>
              </w:rPr>
              <w:t>—</w:t>
            </w:r>
          </w:p>
        </w:tc>
      </w:tr>
    </w:tbl>
    <w:p/>
    <w:p>
      <w:pPr>
        <w:pStyle w:val="Heading2"/>
      </w:pPr>
      <w:r>
        <w:rPr>
          <w:rFonts w:ascii="Times New Roman" w:hAnsi="Times New Roman"/>
          <w:b/>
          <w:color w:val="000000"/>
          <w:sz w:val="28"/>
        </w:rPr>
        <w:t>3.4. Анализ дисбаланса классов</w:t>
      </w:r>
    </w:p>
    <w:p>
      <w:pPr/>
      <w:r>
        <w:rPr>
          <w:rFonts w:ascii="Times New Roman" w:hAnsi="Times New Roman"/>
          <w:sz w:val="28"/>
        </w:rPr>
        <w:t>Дисбаланс классов является принципиальной проблемой для данной задачи. Предварительный анализ масок показывает следующее примерное распределение пикселей: фон — ≈ 60 %, зубы — ≈ 35 %, альвеолярная кость — ≈ 4,5 %, кортикальная пластинка — ≈ 0,5 %. Соотношение между наиболее и наименее распространённым классом составляет ≈ 120:1.</w:t>
      </w:r>
    </w:p>
    <w:p>
      <w:pPr/>
      <w:r>
        <w:rPr>
          <w:rFonts w:ascii="Times New Roman" w:hAnsi="Times New Roman"/>
          <w:sz w:val="28"/>
        </w:rPr>
        <w:t>Для борьбы с дисбалансом применяется комплекс методов: (1) Взвешенная функция потерь — обратно пропорциональные частоте пикселей веса классов (вектор весов ≈ [0,1; 1,0; 2,0; 10,0]) передаются в CrossEntropyLoss; (2) Dice Loss — нечувствительна к абсолютному числу пикселей класса и особенно эффективна при малых структурах; (3) WeightedRandomSampler — изображения с кортикальной пластинкой и патологическими изменениями сэмплируются чаще. Эффективность данных стратегий оценивается по Dice_cortical как основной диагностической метрике.</w:t>
      </w:r>
    </w:p>
    <w:p>
      <w:pPr>
        <w:pStyle w:val="Heading2"/>
      </w:pPr>
      <w:r>
        <w:rPr>
          <w:rFonts w:ascii="Times New Roman" w:hAnsi="Times New Roman"/>
          <w:b/>
          <w:color w:val="000000"/>
          <w:sz w:val="28"/>
        </w:rPr>
        <w:t>3.5. Описание веб-приложения</w:t>
      </w:r>
    </w:p>
    <w:p>
      <w:pPr/>
      <w:r>
        <w:rPr>
          <w:rFonts w:ascii="Times New Roman" w:hAnsi="Times New Roman"/>
          <w:sz w:val="28"/>
        </w:rPr>
        <w:t>Итоговое веб-приложение реализовано с использованием фреймворка Gradio и обеспечивает следующий пользовательский сценарий: (1) загрузка ОПТГ-снимка в форматах PNG, JPG или DICOM; (2) автоматическая предобработка и запуск сегментационной модели; (3) визуализация результата — оверлей цветных масок на исходный снимок (красный — зубы, синий — кость, жёлтый — кортикальная пластинка); (4) таблица покозубного анализа с bone_loss_ratio и состоянием кортикальной пластинки; (5) карточка итогового диагноза с указанием типа патологии, распространённости и тяжести. Модель экспортируется в формат ONNX для ускоренного вывода без зависимости от версии PyTorch.</w:t>
      </w:r>
    </w:p>
    <w:p>
      <w:pPr/>
      <w:r>
        <w:rPr>
          <w:rFonts w:ascii="Times New Roman" w:hAnsi="Times New Roman"/>
          <w:sz w:val="28"/>
        </w:rPr>
        <w:t>Приложение запускается командой: python app/app.py. Интерфейс доступен по адресу http://localhost:7860. Все результаты сопровождаются дисклеймером: «Данная система предназначена исключительно для исследовательских целей. Она не является сертифицированным медицинским диагностическим инструментом. Результаты должны интерпретироваться квалифицированным врачом-стоматологом».</w:t>
      </w:r>
    </w:p>
    <w:p>
      <w:pPr>
        <w:pStyle w:val="Heading2"/>
      </w:pPr>
      <w:r>
        <w:rPr>
          <w:rFonts w:ascii="Times New Roman" w:hAnsi="Times New Roman"/>
          <w:b/>
          <w:color w:val="000000"/>
          <w:sz w:val="28"/>
        </w:rPr>
        <w:t>3.6. Ограничения системы и направления дальнейшего развития</w:t>
      </w:r>
    </w:p>
    <w:p>
      <w:pPr/>
      <w:r>
        <w:rPr>
          <w:rFonts w:ascii="Times New Roman" w:hAnsi="Times New Roman"/>
          <w:sz w:val="28"/>
        </w:rPr>
        <w:t>Разработанная система имеет ряд принципиальных ограничений, которые необходимо учитывать при интерпретации результатов. Во-первых, ОПТГ является двумерной проекцией трёхмерной анатомии, что неизбежно приводит к наложению структур и искажению реальной геометрии: потеря кости может как переоцениваться, так и недооцениваться в зависимости от угла проекции. Во-вторых, положение цементно-эмалевой границы (ЦЭГ) определяется анатомическим приближением (40 % высоты зуба), а не прямым детектированием, что вносит систематическую погрешность для зубов с нестандартными пропорциями (зубы мудрости, коренные зубы с короткими корнями). В-третьих, объём размеченных данных (~200 снимков с полными масками) невелик для обобщения на разнородные клинические условия.</w:t>
      </w:r>
    </w:p>
    <w:p>
      <w:pPr/>
      <w:r>
        <w:rPr>
          <w:rFonts w:ascii="Times New Roman" w:hAnsi="Times New Roman"/>
          <w:sz w:val="28"/>
        </w:rPr>
        <w:t>Направления дальнейшего развития: разработка отдельной модели детектирования ключевых точек (ЦЭГ, верхушка корня) для замены анатомического приближения; расширение аннотированного датасета с привлечением врачей-пародонтологов через платформу CVAT; дообучение SAM (Segment Anything Model) для автоматизации разметки костных структур; интеграция DICOM-метаданных для корректировки масштаба и углов проекции; клиническая валидация системы на ретроспективных данных реальных пациентов в соответствии с требованиями биоэтических комитетов.</w:t>
      </w:r>
    </w:p>
    <w:p>
      <w:pPr>
        <w:pStyle w:val="Heading1"/>
      </w:pPr>
      <w:r>
        <w:rPr>
          <w:rFonts w:ascii="Times New Roman" w:hAnsi="Times New Roman"/>
          <w:b/>
          <w:color w:val="000000"/>
          <w:sz w:val="28"/>
        </w:rPr>
        <w:t>Заключение</w:t>
      </w:r>
    </w:p>
    <w:p>
      <w:pPr/>
      <w:r>
        <w:rPr>
          <w:rFonts w:ascii="Times New Roman" w:hAnsi="Times New Roman"/>
          <w:sz w:val="28"/>
        </w:rPr>
        <w:t>В ходе практики разработан программный комплекс для автоматического анализа ортопантомограмм с целью выявления заболеваний тканей пародонта. Комплекс реализует двухэтапный пайплайн: на первом этапе одна из шести исследуемых сегментационных нейронных сетей формирует маски зубов, альвеолярной кости и кортикальной пластинки; на втором этапе геометрический анализ масок вычисляет отношение потери кости к длине корня, а правиловый классификатор формирует клинически интерпретируемый диагноз.</w:t>
      </w:r>
    </w:p>
    <w:p>
      <w:pPr/>
      <w:r>
        <w:rPr>
          <w:rFonts w:ascii="Times New Roman" w:hAnsi="Times New Roman"/>
          <w:sz w:val="28"/>
        </w:rPr>
        <w:t>Реализованы и настроены шесть архитектур сегментационных нейронных сетей: U-Net, U-Net++, Swin-UNet, SegFormer, YOLOv8-seg и DeepLabV3+. Для каждой архитектуры разработан конфигурационный YAML-файл, обеспечивающий воспроизводимое обучение с трекингом метрик через MLflow. Разработан пайплайн предобработки данных (CLAHE, нормализация, аугментации), полуавтоматическая стратегия разметки масок кости и кортикальной пластинки на базе SAM и DENTEX, а также метрики сравнения архитектур: mIoU, Dice по классам, AUROC, F1, расстояние Хаусдорфа, FPS.</w:t>
      </w:r>
    </w:p>
    <w:p>
      <w:pPr/>
      <w:r>
        <w:rPr>
          <w:rFonts w:ascii="Times New Roman" w:hAnsi="Times New Roman"/>
          <w:sz w:val="28"/>
        </w:rPr>
        <w:t>Создано демонстрационное веб-приложение Gradio, позволяющее в режиме реального времени загружать ОПТГ-снимок, получать цветную визуализацию сегментации и покозубный диагностический отчёт. Все результаты системы сопровождаются обязательным дисклеймером о том, что система является исследовательским инструментом и не заменяет клинической диагностики врача-стоматолога.</w:t>
      </w:r>
    </w:p>
    <w:p>
      <w:pPr/>
      <w:r>
        <w:rPr>
          <w:rFonts w:ascii="Times New Roman" w:hAnsi="Times New Roman"/>
          <w:sz w:val="28"/>
        </w:rPr>
        <w:t>Дальнейшее развитие работы предполагает завершение цикла обучения и оценки всех шести архитектур, расширение размеченного датасета, разработку модели детектирования ключевых точек для уточнённого определения ЦЭГ, а также клиническую валидацию системы.</w:t>
      </w:r>
    </w:p>
    <w:p>
      <w:pPr>
        <w:pStyle w:val="Heading1"/>
      </w:pPr>
      <w:r>
        <w:rPr>
          <w:rFonts w:ascii="Times New Roman" w:hAnsi="Times New Roman"/>
          <w:b/>
          <w:color w:val="000000"/>
          <w:sz w:val="28"/>
        </w:rPr>
        <w:t>Список использованных источников</w:t>
      </w:r>
    </w:p>
    <w:p>
      <w:pPr>
        <w:ind w:firstLine="0" w:left="709"/>
      </w:pPr>
      <w:r>
        <w:rPr>
          <w:rFonts w:ascii="Times New Roman" w:hAnsi="Times New Roman"/>
          <w:sz w:val="28"/>
        </w:rPr>
        <w:t>1. Hamamci I.E., Jain S., Hayat T., Simsek G., Er Demir M., Seyfi Cansiz E.F., Anees N., Celik A.T., Baydar O., Berber E., et al. DENTEX: An Abnormal Tooth Detection with Dental Enumeration and Diagnosis Benchmark for Panoramic X-Rays // Proceedings of the 26th International Conference on Medical Image Computing and Computer-Assisted Intervention (MICCAI 2023 Challenge). — Cham: Springer, 2023.</w:t>
      </w:r>
    </w:p>
    <w:p>
      <w:pPr>
        <w:ind w:firstLine="0" w:left="709"/>
      </w:pPr>
      <w:r>
        <w:rPr>
          <w:rFonts w:ascii="Times New Roman" w:hAnsi="Times New Roman"/>
          <w:sz w:val="28"/>
        </w:rPr>
        <w:t>2. Xie E., Wang W., Yu Z., Anandkumar A., Alvarez J.M., Luo P. SegFormer: Simple and Efficient Design for Semantic Segmentation with Transformers // Advances in Neural Information Processing Systems (NeurIPS). — 2021. — Vol. 34. — P. 12077–12090.</w:t>
      </w:r>
    </w:p>
    <w:p>
      <w:pPr>
        <w:ind w:firstLine="0" w:left="709"/>
      </w:pPr>
      <w:r>
        <w:rPr>
          <w:rFonts w:ascii="Times New Roman" w:hAnsi="Times New Roman"/>
          <w:sz w:val="28"/>
        </w:rPr>
        <w:t>3. Liu Z., Lin Y., Cao Y., Hu H., Wei Y., Zhang Z., Lin S., Guo B. Swin Transformer: Hierarchical Vision Transformer using Shifted Windows // Proceedings of the IEEE/CVF International Conference on Computer Vision (ICCV). — 2021. — P. 10012–10022.</w:t>
      </w:r>
    </w:p>
    <w:p>
      <w:pPr>
        <w:ind w:firstLine="0" w:left="709"/>
      </w:pPr>
      <w:r>
        <w:rPr>
          <w:rFonts w:ascii="Times New Roman" w:hAnsi="Times New Roman"/>
          <w:sz w:val="28"/>
        </w:rPr>
        <w:t>4. Jocher G., Chaurasia A., Qiu J. Ultralytics YOLOv8 [Электронный ресурс]. — 2023. — Режим доступа: https://github.com/ultralytics/ultralytics. — (Дата обращения: 17.06.2026).</w:t>
      </w:r>
    </w:p>
    <w:p>
      <w:pPr>
        <w:ind w:firstLine="0" w:left="709"/>
      </w:pPr>
      <w:r>
        <w:rPr>
          <w:rFonts w:ascii="Times New Roman" w:hAnsi="Times New Roman"/>
          <w:sz w:val="28"/>
        </w:rPr>
        <w:t>5. Buslaev A., Iglovikov V.I., Khvedchenya E., Parinov A., Druzhinin M., Kalinin A.A. Albumentations: Fast and Flexible Image Augmentations // Information. — 2020. — Vol. 11, № 2. — P. 125.</w:t>
      </w:r>
    </w:p>
    <w:p>
      <w:pPr>
        <w:ind w:firstLine="0" w:left="709"/>
      </w:pPr>
      <w:r>
        <w:rPr>
          <w:rFonts w:ascii="Times New Roman" w:hAnsi="Times New Roman"/>
          <w:sz w:val="28"/>
        </w:rPr>
        <w:t>6. Schwendicke F., Samek W., Krois J. Artificial Intelligence in Dentistry: Chances and Challenges // Journal of Dental Research. — 2020. — Vol. 99, № 7. — P. 769–774.</w:t>
      </w:r>
    </w:p>
    <w:p>
      <w:pPr>
        <w:ind w:firstLine="0" w:left="709"/>
      </w:pPr>
      <w:r>
        <w:rPr>
          <w:rFonts w:ascii="Times New Roman" w:hAnsi="Times New Roman"/>
          <w:sz w:val="28"/>
        </w:rPr>
        <w:t>7. Tang Y., Yang D., Li W., Roth H.R., Landman B., Xu D., Nath V., Hatamizadeh A. Self-Supervised Pre-Training of Swin Transformers for 3D Medical Image Analysis // Proceedings of the IEEE/CVF Conference on Computer Vision and Pattern Recognition (CVPR). — 2022. — P. 20730–20740.</w:t>
      </w:r>
    </w:p>
    <w:p>
      <w:pPr>
        <w:ind w:firstLine="0" w:left="709"/>
      </w:pPr>
      <w:r>
        <w:rPr>
          <w:rFonts w:ascii="Times New Roman" w:hAnsi="Times New Roman"/>
          <w:sz w:val="28"/>
        </w:rPr>
        <w:t>8. Hatamizadeh A., Tang Y., Nath V., Yang D., Myronenko A., Landman B., Roth H.R., Xu D. UNETR: Transformers for 3D Medical Image Segmentation // Proceedings of the IEEE/CVF Winter Conference on Applications of Computer Vision (WACV). — 2022. — P. 574–584.</w:t>
      </w:r>
    </w:p>
    <w:p>
      <w:pPr>
        <w:ind w:firstLine="0" w:left="709"/>
      </w:pPr>
      <w:r>
        <w:rPr>
          <w:rFonts w:ascii="Times New Roman" w:hAnsi="Times New Roman"/>
          <w:sz w:val="28"/>
        </w:rPr>
        <w:t>9. Bayrakdar I.S., Orhan K., Akarsu S., Çelik Ö., Atasoy Ş., Pekince A., Yasa Y., Sağlam H., Kaplanoglu P., Aslan A.F. Deep Learning Approach with Convolutional Neural Network for Simultaneous Detection and Grading of Periodontal Bone Loss and Caries Lesions on Panoramic Radiographs // Oral Radiology. — 2022. — Vol. 38, № 4. — P. 591–601.</w:t>
      </w:r>
    </w:p>
    <w:p>
      <w:pPr>
        <w:ind w:firstLine="0" w:left="709"/>
      </w:pPr>
      <w:r>
        <w:rPr>
          <w:rFonts w:ascii="Times New Roman" w:hAnsi="Times New Roman"/>
          <w:sz w:val="28"/>
        </w:rPr>
        <w:t>10. Kaya E., Gunec H.G., Gokyay S.S., Kutal S., Logo G., Ates H.F. Proposing a CNN Model for Caries Detection on Panoramic Dental Radiographs by Comparing Human Performance in Detecting Caries // International Journal of Environmental Research and Public Health. — 2022. — Vol. 19, № 20. — P. 13652.</w:t>
      </w:r>
    </w:p>
    <w:p>
      <w:pPr>
        <w:ind w:firstLine="0" w:left="709"/>
      </w:pPr>
      <w:r>
        <w:rPr>
          <w:rFonts w:ascii="Times New Roman" w:hAnsi="Times New Roman"/>
          <w:sz w:val="28"/>
        </w:rPr>
        <w:t>11. PyTorch Lightning [Электронный ресурс] : документация к программному обеспечению версии 2.x. — 2023. — Режим доступа: https://lightning.ai/docs/pytorch/stable/. — (Дата обращения: 17.06.2026).</w:t>
      </w:r>
    </w:p>
    <w:p>
      <w:pPr>
        <w:ind w:firstLine="0" w:left="709"/>
      </w:pPr>
      <w:r>
        <w:rPr>
          <w:rFonts w:ascii="Times New Roman" w:hAnsi="Times New Roman"/>
          <w:sz w:val="28"/>
        </w:rPr>
        <w:t>12. MLflow: платформа управления жизненным циклом моделей машинного обучения [Электронный ресурс] : официальная документация. — 2023. — Режим доступа: https://mlflow.org/docs/latest/. — (Дата обращения: 17.06.2026).</w:t>
      </w:r>
    </w:p>
    <w:p>
      <w:pPr>
        <w:pStyle w:val="Heading1"/>
      </w:pPr>
      <w:r>
        <w:rPr>
          <w:rFonts w:ascii="Times New Roman" w:hAnsi="Times New Roman"/>
          <w:b/>
          <w:color w:val="000000"/>
          <w:sz w:val="28"/>
        </w:rPr>
        <w:t>Приложение А. Ключевые фрагменты исходного кода</w:t>
      </w:r>
    </w:p>
    <w:p>
      <w:pPr>
        <w:pStyle w:val="Heading2"/>
      </w:pPr>
      <w:r>
        <w:rPr>
          <w:rFonts w:ascii="Times New Roman" w:hAnsi="Times New Roman"/>
          <w:b/>
          <w:color w:val="000000"/>
          <w:sz w:val="28"/>
        </w:rPr>
        <w:t>А.1. Геометрический расчёт потери кости (src/pipeline/stage2_measure.py)</w:t>
      </w:r>
    </w:p>
    <w:p>
      <w:pPr>
        <w:pStyle w:val="Code"/>
      </w:pPr>
      <w:r>
        <w:t>def measure_bone_loss(mask_tooth, mask_bone, mask_cortical, cej_fraction=0.40):</w:t>
        <w:br/>
        <w:t xml:space="preserve">    instances = _extract_tooth_instances(mask_tooth)</w:t>
        <w:br/>
        <w:t xml:space="preserve">    results = []</w:t>
        <w:br/>
        <w:t xml:space="preserve">    for tooth_id, tooth_mask in instances:</w:t>
        <w:br/>
        <w:t xml:space="preserve">        rows, cols = np.where(tooth_mask)</w:t>
        <w:br/>
        <w:t xml:space="preserve">        y_min, y_max = rows.min(), rows.max()</w:t>
        <w:br/>
        <w:t xml:space="preserve">        x_min, x_max = cols.min(), cols.max()</w:t>
        <w:br/>
        <w:t xml:space="preserve">        cej_y = y_min + int(cej_fraction * (y_max - y_min))</w:t>
        <w:br/>
        <w:t xml:space="preserve">        root_tip_y = y_max</w:t>
        <w:br/>
        <w:t xml:space="preserve">        root_length = max(root_tip_y - cej_y, 1)</w:t>
        <w:br/>
        <w:t xml:space="preserve">        bone_rows = np.where(mask_bone[:, x_min:x_max+1].any(axis=1))[0]</w:t>
        <w:br/>
        <w:t xml:space="preserve">        bone_crest_y = int(bone_rows.min()) if len(bone_rows) else root_tip_y</w:t>
        <w:br/>
        <w:t xml:space="preserve">        bone_loss_height = max(bone_crest_y - cej_y, 0)</w:t>
        <w:br/>
        <w:t xml:space="preserve">        bone_loss_ratio  = min(bone_loss_height / root_length, 1.0)</w:t>
        <w:br/>
        <w:t xml:space="preserve">        # cortical coverage</w:t>
        <w:br/>
        <w:t xml:space="preserve">        cort_cols = sum(</w:t>
        <w:br/>
        <w:t xml:space="preserve">            mask_cortical[max(bone_crest_y-5,0):bone_crest_y+6, c].any()</w:t>
        <w:br/>
        <w:t xml:space="preserve">            for c in range(x_min, x_max+1))</w:t>
        <w:br/>
        <w:t xml:space="preserve">        cortical_coverage = cort_cols / max(x_max - x_min + 1, 1)</w:t>
        <w:br/>
        <w:t xml:space="preserve">        results.append(ToothMeasurement(...))</w:t>
        <w:br/>
        <w:t xml:space="preserve">    return results</w:t>
        <w:br/>
      </w:r>
    </w:p>
    <w:p>
      <w:pPr>
        <w:pStyle w:val="Heading2"/>
      </w:pPr>
      <w:r>
        <w:rPr>
          <w:rFonts w:ascii="Times New Roman" w:hAnsi="Times New Roman"/>
          <w:b/>
          <w:color w:val="000000"/>
          <w:sz w:val="28"/>
        </w:rPr>
        <w:t>А.2. Правиловый классификатор (src/pipeline/stage2_classify.py)</w:t>
      </w:r>
    </w:p>
    <w:p>
      <w:pPr>
        <w:pStyle w:val="Code"/>
      </w:pPr>
      <w:r>
        <w:t>def classify_tooth(m, cfg_stage2):</w:t>
        <w:br/>
        <w:t xml:space="preserve">    cortical_present = m.cortical_coverage &gt;= cfg_stage2.cortical_min_coverage</w:t>
        <w:br/>
        <w:t xml:space="preserve">    if not cortical_present:</w:t>
        <w:br/>
        <w:t xml:space="preserve">        condition = "Periodontitis"</w:t>
        <w:br/>
        <w:t xml:space="preserve">    elif m.bone_loss_ratio &lt; cfg_stage2.normal_threshold:</w:t>
        <w:br/>
        <w:t xml:space="preserve">        condition = "Normal"</w:t>
        <w:br/>
        <w:t xml:space="preserve">    else:</w:t>
        <w:br/>
        <w:t xml:space="preserve">        condition = "Periodontosis"</w:t>
        <w:br/>
        <w:t xml:space="preserve">    if condition == "Normal":</w:t>
        <w:br/>
        <w:t xml:space="preserve">        severity = None</w:t>
        <w:br/>
        <w:t xml:space="preserve">    elif m.bone_loss_ratio &lt;= cfg_stage2.mild_threshold:</w:t>
        <w:br/>
        <w:t xml:space="preserve">        severity = "Mild"</w:t>
        <w:br/>
        <w:t xml:space="preserve">    elif m.bone_loss_ratio &lt;= cfg_stage2.severe_threshold:</w:t>
        <w:br/>
        <w:t xml:space="preserve">        severity = "Medium"</w:t>
        <w:br/>
        <w:t xml:space="preserve">    else:</w:t>
        <w:br/>
        <w:t xml:space="preserve">        severity = "Severe"</w:t>
        <w:br/>
        <w:t xml:space="preserve">    return ToothDiagnosis(...)</w:t>
        <w:br/>
      </w:r>
    </w:p>
    <w:p>
      <w:pPr>
        <w:pStyle w:val="Heading2"/>
      </w:pPr>
      <w:r>
        <w:rPr>
          <w:rFonts w:ascii="Times New Roman" w:hAnsi="Times New Roman"/>
          <w:b/>
          <w:color w:val="000000"/>
          <w:sz w:val="28"/>
        </w:rPr>
        <w:t>А.3. Команды обучения и оценки</w:t>
      </w:r>
    </w:p>
    <w:p>
      <w:pPr>
        <w:pStyle w:val="Code"/>
      </w:pPr>
      <w:r>
        <w:t># Запуск обучения (пример для U-Net):</w:t>
        <w:br/>
        <w:t>python scripts/train.py --config configs/unet.yaml</w:t>
        <w:br/>
        <w:br/>
        <w:t># Быстрая проверка пайплайна (2 батча):</w:t>
        <w:br/>
        <w:t>python scripts/train.py --config configs/unet.yaml --fast_dev_run</w:t>
        <w:br/>
        <w:br/>
        <w:t># Просмотр метрик в MLflow UI:</w:t>
        <w:br/>
        <w:t>mlflow ui --port 5000</w:t>
        <w:br/>
        <w:br/>
        <w:t># Оценка на тесте:</w:t>
        <w:br/>
        <w:t>python scripts/evaluate.py --config configs/unet.yaml     --checkpoint checkpoints/unet-epoch=42-val_mIoU=0.7123.ckpt</w:t>
        <w:br/>
        <w:br/>
        <w:t># Сравнение всех моделей:</w:t>
        <w:br/>
        <w:t>python scripts/compare_models.py</w:t>
        <w:br/>
        <w:br/>
        <w:t># Экспорт в ONNX и запуск приложения:</w:t>
        <w:br/>
        <w:t>python scripts/export_onnx.py --config configs/unet.yaml --checkpoint &lt;ckpt&gt;</w:t>
        <w:br/>
        <w:t>python app/app.py</w:t>
        <w:br/>
      </w:r>
    </w:p>
    <w:p>
      <w:pPr>
        <w:pStyle w:val="Heading1"/>
      </w:pPr>
      <w:r>
        <w:rPr>
          <w:rFonts w:ascii="Times New Roman" w:hAnsi="Times New Roman"/>
          <w:b/>
          <w:color w:val="000000"/>
          <w:sz w:val="28"/>
        </w:rPr>
        <w:t>Приложение Б. Ссылка на репозиторий проекта</w:t>
      </w:r>
    </w:p>
    <w:p>
      <w:pPr/>
      <w:r>
        <w:rPr>
          <w:rFonts w:ascii="Times New Roman" w:hAnsi="Times New Roman"/>
          <w:sz w:val="28"/>
        </w:rPr>
        <w:t>Исходный код проекта, конфигурационные файлы, скрипты предобработки данных, обучения и оценки моделей, а также веб-приложение размещены в публичном репозитории GitHub по адресу:</w:t>
      </w:r>
    </w:p>
    <w:p>
      <w:pPr>
        <w:ind w:firstLine="0" w:left="709"/>
      </w:pPr>
      <w:r>
        <w:rPr>
          <w:rFonts w:ascii="Courier New" w:hAnsi="Courier New"/>
          <w:b/>
          <w:sz w:val="24"/>
        </w:rPr>
        <w:t>https://github.com/USERNAME/parodo</w:t>
      </w:r>
    </w:p>
    <w:p>
      <w:pPr/>
      <w:r>
        <w:rPr>
          <w:rFonts w:ascii="Times New Roman" w:hAnsi="Times New Roman"/>
          <w:sz w:val="28"/>
        </w:rPr>
        <w:t>Репозиторий включает: README.md с инструкциями по установке и запуску, requirements.txt со списком зависимостей, структуру директорий согласно описанию в разделе 3.1, полный исходный код всех шести архитектур и пайплайна, конфигурационные YAML-файлы и скрипты для воспроизведения экспериментов.</w:t>
      </w:r>
    </w:p>
    <w:sectPr w:rsidR="00FC693F" w:rsidRPr="0006063C" w:rsidSect="00034616">
      <w:footerReference w:type="default" r:id="rId9"/>
      <w:pgSz w:w="11906" w:h="16838"/>
      <w:pgMar w:top="1134"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60" w:after="120" w:line="360" w:lineRule="auto"/>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line="240" w:lineRule="auto"/>
      <w:ind w:firstLine="0" w:left="709"/>
      <w:jc w:val="left"/>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