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E33D" w14:textId="77777777" w:rsidR="00C20532" w:rsidRDefault="008B1FC4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3360" behindDoc="0" locked="0" layoutInCell="1" allowOverlap="1" wp14:anchorId="5DEF2B0F" wp14:editId="3B53D416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3893B" w14:textId="77777777" w:rsidR="00C20532" w:rsidRPr="00C20532" w:rsidRDefault="00C20532" w:rsidP="00C20532">
      <w:pPr>
        <w:pStyle w:val="KeinLeerraum"/>
      </w:pPr>
    </w:p>
    <w:p w14:paraId="37E46FD4" w14:textId="77777777" w:rsidR="00A46405" w:rsidRPr="00903F03" w:rsidRDefault="00903F03" w:rsidP="00C20532">
      <w:pPr>
        <w:pStyle w:val="Titel"/>
        <w:jc w:val="center"/>
      </w:pPr>
      <w:r w:rsidRPr="00903F03">
        <w:t>Integration of</w:t>
      </w:r>
      <w:r w:rsidR="00265492">
        <w:t xml:space="preserve"> </w:t>
      </w:r>
      <w:r w:rsidR="00512945">
        <w:t>WordPress</w:t>
      </w:r>
      <w:r w:rsidRPr="00903F03">
        <w:t xml:space="preserve"> with </w:t>
      </w:r>
      <w:proofErr w:type="spellStart"/>
      <w:r w:rsidRPr="00903F03">
        <w:t>Doub</w:t>
      </w:r>
      <w:r>
        <w:t>l</w:t>
      </w:r>
      <w:r w:rsidRPr="00903F03">
        <w:t>eClue</w:t>
      </w:r>
      <w:proofErr w:type="spellEnd"/>
      <w:r w:rsidRPr="00903F03">
        <w:t xml:space="preserve"> using </w:t>
      </w:r>
      <w:r w:rsidR="00512945">
        <w:t>OpenID</w:t>
      </w:r>
    </w:p>
    <w:p w14:paraId="51A2F839" w14:textId="77777777" w:rsidR="00411A24" w:rsidRDefault="00411A24" w:rsidP="00512945">
      <w:pPr>
        <w:jc w:val="right"/>
      </w:pPr>
      <w:r>
        <w:rPr>
          <w:noProof/>
          <w:lang w:val="de-DE" w:eastAsia="de-DE"/>
        </w:rPr>
        <w:drawing>
          <wp:anchor distT="0" distB="0" distL="114300" distR="114300" simplePos="0" relativeHeight="251664384" behindDoc="1" locked="0" layoutInCell="1" allowOverlap="1" wp14:anchorId="19FC3094" wp14:editId="7AE05668">
            <wp:simplePos x="0" y="0"/>
            <wp:positionH relativeFrom="margin">
              <wp:posOffset>4953000</wp:posOffset>
            </wp:positionH>
            <wp:positionV relativeFrom="paragraph">
              <wp:posOffset>139700</wp:posOffset>
            </wp:positionV>
            <wp:extent cx="857250" cy="857250"/>
            <wp:effectExtent l="0" t="0" r="0" b="0"/>
            <wp:wrapTight wrapText="bothSides">
              <wp:wrapPolygon edited="0">
                <wp:start x="6720" y="0"/>
                <wp:lineTo x="0" y="3360"/>
                <wp:lineTo x="0" y="16800"/>
                <wp:lineTo x="5280" y="21120"/>
                <wp:lineTo x="6720" y="21120"/>
                <wp:lineTo x="14400" y="21120"/>
                <wp:lineTo x="15840" y="21120"/>
                <wp:lineTo x="21120" y="16800"/>
                <wp:lineTo x="21120" y="3360"/>
                <wp:lineTo x="14400" y="0"/>
                <wp:lineTo x="6720" y="0"/>
              </wp:wrapPolygon>
            </wp:wrapTight>
            <wp:docPr id="4" name="Picture 4" descr="Image result for wordp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ordpress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9853C" w14:textId="77777777" w:rsidR="00411A24" w:rsidRDefault="00411A24" w:rsidP="00512945">
      <w:pPr>
        <w:jc w:val="right"/>
      </w:pPr>
    </w:p>
    <w:p w14:paraId="12194988" w14:textId="77777777" w:rsidR="00903F03" w:rsidRDefault="00903F03" w:rsidP="00512945">
      <w:pPr>
        <w:jc w:val="right"/>
      </w:pPr>
    </w:p>
    <w:p w14:paraId="6F26AE43" w14:textId="77777777" w:rsidR="00903F03" w:rsidRPr="00C20532" w:rsidRDefault="00903F03" w:rsidP="00903F03">
      <w:pPr>
        <w:pStyle w:val="berschrift1"/>
        <w:numPr>
          <w:ilvl w:val="0"/>
          <w:numId w:val="1"/>
        </w:numPr>
        <w:rPr>
          <w:color w:val="0C468B"/>
        </w:rPr>
      </w:pPr>
      <w:r w:rsidRPr="003C6D1D">
        <w:rPr>
          <w:color w:val="005078"/>
        </w:rPr>
        <w:t>Introduction</w:t>
      </w:r>
    </w:p>
    <w:p w14:paraId="39F82199" w14:textId="77777777" w:rsidR="00903F03" w:rsidRDefault="00903F03" w:rsidP="00903F03"/>
    <w:p w14:paraId="7F2DBBBA" w14:textId="77777777" w:rsidR="00A96A4D" w:rsidRDefault="00903F03" w:rsidP="00903F03">
      <w:r>
        <w:t xml:space="preserve">This guide is intended for </w:t>
      </w:r>
      <w:r w:rsidR="000B6398">
        <w:t xml:space="preserve">WordPress </w:t>
      </w:r>
      <w:r w:rsidR="002176C1">
        <w:t xml:space="preserve">administrators </w:t>
      </w:r>
      <w:r>
        <w:t xml:space="preserve">who would like </w:t>
      </w:r>
      <w:r w:rsidR="002176C1">
        <w:t>users of their site</w:t>
      </w:r>
      <w:r w:rsidR="000B6398">
        <w:t xml:space="preserve"> to log in</w:t>
      </w:r>
      <w:r w:rsidR="00D227A6">
        <w:t xml:space="preserve"> with</w:t>
      </w:r>
      <w:r w:rsidR="000B6398">
        <w:t xml:space="preserve"> websites</w:t>
      </w:r>
      <w:r>
        <w:t xml:space="preserve"> via </w:t>
      </w:r>
      <w:proofErr w:type="spellStart"/>
      <w:r w:rsidRPr="00DC02DA">
        <w:t>DoubleClue</w:t>
      </w:r>
      <w:proofErr w:type="spellEnd"/>
      <w:r w:rsidRPr="001443D8">
        <w:rPr>
          <w:i/>
        </w:rPr>
        <w:t xml:space="preserve"> </w:t>
      </w:r>
      <w:r w:rsidR="00A728B8">
        <w:t>Multi-Factor Authentication (MFA)</w:t>
      </w:r>
      <w:r>
        <w:t xml:space="preserve"> </w:t>
      </w:r>
      <w:r w:rsidR="005E2302">
        <w:t>using</w:t>
      </w:r>
      <w:r>
        <w:t xml:space="preserve"> </w:t>
      </w:r>
      <w:r w:rsidR="000B6398">
        <w:t>OpenID</w:t>
      </w:r>
      <w:r>
        <w:t>.</w:t>
      </w:r>
    </w:p>
    <w:p w14:paraId="1887C3E9" w14:textId="77777777" w:rsidR="00903F03" w:rsidRDefault="00903F03" w:rsidP="00903F03">
      <w:r w:rsidRPr="00BC10DF">
        <w:rPr>
          <w:u w:val="single"/>
        </w:rPr>
        <w:t>Requirements</w:t>
      </w:r>
      <w:r>
        <w:t>:</w:t>
      </w:r>
    </w:p>
    <w:p w14:paraId="2B738681" w14:textId="77777777" w:rsidR="00903F03" w:rsidRDefault="000B6398" w:rsidP="00903F03">
      <w:pPr>
        <w:pStyle w:val="Listenabsatz"/>
        <w:numPr>
          <w:ilvl w:val="0"/>
          <w:numId w:val="2"/>
        </w:numPr>
      </w:pPr>
      <w:r>
        <w:t xml:space="preserve">WordPress </w:t>
      </w:r>
      <w:r w:rsidR="000E3A12">
        <w:t>5.2 or newer with the option to install plugins</w:t>
      </w:r>
      <w:r w:rsidR="002176C1">
        <w:rPr>
          <w:rStyle w:val="Funotenzeichen"/>
        </w:rPr>
        <w:footnoteReference w:id="1"/>
      </w:r>
    </w:p>
    <w:p w14:paraId="09FBD9EF" w14:textId="77777777" w:rsidR="00903F03" w:rsidRDefault="004B02D5" w:rsidP="00903F03">
      <w:pPr>
        <w:pStyle w:val="Listenabsatz"/>
        <w:numPr>
          <w:ilvl w:val="0"/>
          <w:numId w:val="2"/>
        </w:numPr>
      </w:pPr>
      <w:proofErr w:type="spellStart"/>
      <w:r>
        <w:t>DoubleClue</w:t>
      </w:r>
      <w:proofErr w:type="spellEnd"/>
      <w:r>
        <w:t xml:space="preserve"> Enterprise Management (</w:t>
      </w:r>
      <w:r w:rsidR="00903F03">
        <w:t>DCEM</w:t>
      </w:r>
      <w:r>
        <w:t>)</w:t>
      </w:r>
      <w:r w:rsidR="00903F03">
        <w:t xml:space="preserve"> installatio</w:t>
      </w:r>
      <w:r w:rsidR="00603DD6">
        <w:t>n with registered users</w:t>
      </w:r>
    </w:p>
    <w:p w14:paraId="1DE45BDA" w14:textId="77777777" w:rsidR="002176C1" w:rsidRDefault="002176C1" w:rsidP="002176C1"/>
    <w:p w14:paraId="5CA46C3F" w14:textId="77777777" w:rsidR="002176C1" w:rsidRPr="002176C1" w:rsidRDefault="002176C1" w:rsidP="002176C1">
      <w:pPr>
        <w:rPr>
          <w:lang w:val="en-US"/>
        </w:rPr>
      </w:pPr>
      <w:r w:rsidRPr="002176C1">
        <w:rPr>
          <w:lang w:val="en-US"/>
        </w:rPr>
        <w:t xml:space="preserve">Please be aware that </w:t>
      </w:r>
      <w:r>
        <w:rPr>
          <w:lang w:val="en-US"/>
        </w:rPr>
        <w:t xml:space="preserve">WordPress, </w:t>
      </w:r>
      <w:r w:rsidR="002A064D">
        <w:rPr>
          <w:lang w:val="en-US"/>
        </w:rPr>
        <w:t>‘</w:t>
      </w:r>
      <w:r w:rsidR="002A064D" w:rsidRPr="002A064D">
        <w:t>OAuth Single Sign On – SSO (OAuth client</w:t>
      </w:r>
      <w:r w:rsidR="002A064D">
        <w:rPr>
          <w:lang w:val="en-US"/>
        </w:rPr>
        <w:t xml:space="preserve">)’ </w:t>
      </w:r>
      <w:r>
        <w:rPr>
          <w:lang w:val="en-US"/>
        </w:rPr>
        <w:t xml:space="preserve">and </w:t>
      </w:r>
      <w:r w:rsidR="002A064D">
        <w:rPr>
          <w:lang w:val="en-US"/>
        </w:rPr>
        <w:t>‘</w:t>
      </w:r>
      <w:r w:rsidRPr="002176C1">
        <w:t>OpenID Connect Generic Client</w:t>
      </w:r>
      <w:r w:rsidR="002A064D">
        <w:t>’</w:t>
      </w:r>
      <w:r>
        <w:rPr>
          <w:lang w:val="en-US"/>
        </w:rPr>
        <w:t xml:space="preserve"> are third party software that are</w:t>
      </w:r>
      <w:r w:rsidRPr="002176C1">
        <w:rPr>
          <w:lang w:val="en-US"/>
        </w:rPr>
        <w:t xml:space="preserve"> not part of the </w:t>
      </w:r>
      <w:proofErr w:type="spellStart"/>
      <w:r w:rsidRPr="002176C1">
        <w:rPr>
          <w:lang w:val="en-US"/>
        </w:rPr>
        <w:t>D</w:t>
      </w:r>
      <w:r>
        <w:rPr>
          <w:lang w:val="en-US"/>
        </w:rPr>
        <w:t>oubleClue</w:t>
      </w:r>
      <w:proofErr w:type="spellEnd"/>
      <w:r>
        <w:rPr>
          <w:lang w:val="en-US"/>
        </w:rPr>
        <w:t xml:space="preserve"> Enterprise Management.</w:t>
      </w:r>
      <w:r w:rsidRPr="002176C1">
        <w:rPr>
          <w:lang w:val="en-US"/>
        </w:rPr>
        <w:t xml:space="preserve"> The installation of new versions may be differe</w:t>
      </w:r>
      <w:r>
        <w:rPr>
          <w:lang w:val="en-US"/>
        </w:rPr>
        <w:t>nt from the one described below.</w:t>
      </w:r>
    </w:p>
    <w:p w14:paraId="2AD9939D" w14:textId="77777777" w:rsidR="005E2302" w:rsidRPr="002176C1" w:rsidRDefault="005E2302" w:rsidP="005E2302">
      <w:pPr>
        <w:rPr>
          <w:lang w:val="en-US"/>
        </w:rPr>
      </w:pPr>
    </w:p>
    <w:p w14:paraId="7800C8FF" w14:textId="77777777" w:rsidR="00903F03" w:rsidRDefault="00C01088" w:rsidP="007F6EAC">
      <w:pPr>
        <w:pStyle w:val="berschrift1"/>
        <w:numPr>
          <w:ilvl w:val="0"/>
          <w:numId w:val="1"/>
        </w:numPr>
        <w:rPr>
          <w:color w:val="005078"/>
        </w:rPr>
      </w:pPr>
      <w:r>
        <w:rPr>
          <w:color w:val="005078"/>
        </w:rPr>
        <w:t>Preparing DCEM to be an OpenID Authentication Server</w:t>
      </w:r>
    </w:p>
    <w:p w14:paraId="512BCC1B" w14:textId="77777777" w:rsidR="006245FF" w:rsidRPr="006245FF" w:rsidRDefault="00C01088" w:rsidP="006245FF">
      <w:pPr>
        <w:pStyle w:val="berschrift3"/>
        <w:numPr>
          <w:ilvl w:val="1"/>
          <w:numId w:val="1"/>
        </w:numPr>
      </w:pPr>
      <w:r>
        <w:t>Initial Preparation</w:t>
      </w:r>
    </w:p>
    <w:p w14:paraId="18421030" w14:textId="77777777" w:rsidR="006245FF" w:rsidRDefault="006245FF" w:rsidP="00B7109E"/>
    <w:p w14:paraId="3973B5E3" w14:textId="698072DF" w:rsidR="00C01088" w:rsidRDefault="00C20532" w:rsidP="00B7109E">
      <w:r>
        <w:t xml:space="preserve">In order to prepare DCEM to be an </w:t>
      </w:r>
      <w:r w:rsidR="000B6398">
        <w:t>OpenID Authentication Server</w:t>
      </w:r>
      <w:r>
        <w:t>, please see chapter 1</w:t>
      </w:r>
      <w:r w:rsidR="008964ED">
        <w:t>3</w:t>
      </w:r>
      <w:r>
        <w:t xml:space="preserve"> of </w:t>
      </w:r>
      <w:hyperlink r:id="rId10" w:anchor="page=92" w:history="1">
        <w:r w:rsidR="004B02D5" w:rsidRPr="00223DDA">
          <w:rPr>
            <w:rStyle w:val="Hyperlink"/>
          </w:rPr>
          <w:t>“</w:t>
        </w:r>
        <w:r w:rsidRPr="00223DDA">
          <w:rPr>
            <w:rStyle w:val="Hyperlink"/>
          </w:rPr>
          <w:t>DCEM_Manual_EN.pdf</w:t>
        </w:r>
        <w:r w:rsidR="004B02D5" w:rsidRPr="00223DDA">
          <w:rPr>
            <w:rStyle w:val="Hyperlink"/>
          </w:rPr>
          <w:t>”</w:t>
        </w:r>
      </w:hyperlink>
      <w:r w:rsidRPr="004B02D5">
        <w:t>.</w:t>
      </w:r>
      <w:r>
        <w:t xml:space="preserve"> </w:t>
      </w:r>
      <w:r w:rsidR="000B6398">
        <w:t xml:space="preserve">You may not need to do anything for this part. Most importantly, check the Issuer field of the OAuth preferences, as detailed in </w:t>
      </w:r>
      <w:hyperlink r:id="rId11" w:anchor="page=94" w:history="1">
        <w:r w:rsidR="000B6398" w:rsidRPr="00223DDA">
          <w:rPr>
            <w:rStyle w:val="Hyperlink"/>
          </w:rPr>
          <w:t>chapter 1</w:t>
        </w:r>
        <w:r w:rsidR="008964ED" w:rsidRPr="00223DDA">
          <w:rPr>
            <w:rStyle w:val="Hyperlink"/>
          </w:rPr>
          <w:t>3</w:t>
        </w:r>
        <w:r w:rsidR="000B6398" w:rsidRPr="00223DDA">
          <w:rPr>
            <w:rStyle w:val="Hyperlink"/>
          </w:rPr>
          <w:t>.1.3</w:t>
        </w:r>
      </w:hyperlink>
      <w:r w:rsidR="000B6398">
        <w:t>.</w:t>
      </w:r>
      <w:r w:rsidR="00C01088">
        <w:t xml:space="preserve"> It needs to be an accessible URL from your WordPress server.</w:t>
      </w:r>
    </w:p>
    <w:p w14:paraId="2715A500" w14:textId="77777777" w:rsidR="00603DD6" w:rsidRDefault="00603DD6" w:rsidP="00B7109E"/>
    <w:p w14:paraId="0467BB2F" w14:textId="77777777" w:rsidR="006245FF" w:rsidRDefault="00C01088" w:rsidP="006245FF">
      <w:pPr>
        <w:pStyle w:val="berschrift3"/>
        <w:numPr>
          <w:ilvl w:val="1"/>
          <w:numId w:val="1"/>
        </w:numPr>
      </w:pPr>
      <w:r>
        <w:t>Creating an OpenID client for DCEM</w:t>
      </w:r>
    </w:p>
    <w:p w14:paraId="1A84A6CF" w14:textId="77777777" w:rsidR="006245FF" w:rsidRPr="006245FF" w:rsidRDefault="006245FF" w:rsidP="006245FF"/>
    <w:p w14:paraId="6E001788" w14:textId="77777777" w:rsidR="00C01088" w:rsidRDefault="00C01088" w:rsidP="00D227A6">
      <w:pPr>
        <w:pStyle w:val="Listenabsatz"/>
        <w:numPr>
          <w:ilvl w:val="0"/>
          <w:numId w:val="9"/>
        </w:numPr>
      </w:pPr>
      <w:r>
        <w:t>In DCEM, go to main menu item “OpenID-OA</w:t>
      </w:r>
      <w:r w:rsidR="00D227A6">
        <w:t>uth”, submenu “Client Metadata” and c</w:t>
      </w:r>
      <w:r>
        <w:t>lick “Add”.</w:t>
      </w:r>
    </w:p>
    <w:p w14:paraId="1493AF6D" w14:textId="77777777" w:rsidR="00C01088" w:rsidRDefault="00C01088" w:rsidP="00C01088">
      <w:pPr>
        <w:pStyle w:val="Listenabsatz"/>
        <w:numPr>
          <w:ilvl w:val="0"/>
          <w:numId w:val="9"/>
        </w:numPr>
      </w:pPr>
      <w:r>
        <w:t>Enter a Display Name for</w:t>
      </w:r>
      <w:r w:rsidR="00956931">
        <w:t xml:space="preserve"> future identification, </w:t>
      </w:r>
      <w:proofErr w:type="spellStart"/>
      <w:r w:rsidR="00956931">
        <w:t>eg.</w:t>
      </w:r>
      <w:proofErr w:type="spellEnd"/>
      <w:r w:rsidR="00956931">
        <w:t xml:space="preserve"> “</w:t>
      </w:r>
      <w:r>
        <w:t>WordPress”.</w:t>
      </w:r>
    </w:p>
    <w:p w14:paraId="00BD952F" w14:textId="77777777" w:rsidR="008F7930" w:rsidRDefault="00D227A6" w:rsidP="008F7930">
      <w:pPr>
        <w:pStyle w:val="Listenabsatz"/>
        <w:numPr>
          <w:ilvl w:val="0"/>
          <w:numId w:val="9"/>
        </w:numPr>
      </w:pPr>
      <w:r>
        <w:t xml:space="preserve">Generate a Client ID and a </w:t>
      </w:r>
      <w:r w:rsidR="008F7930">
        <w:t>Client Secret and save them by clicking “OK”.</w:t>
      </w:r>
    </w:p>
    <w:p w14:paraId="0410E27A" w14:textId="77777777" w:rsidR="00603DD6" w:rsidRDefault="008F7930" w:rsidP="008F7930">
      <w:pPr>
        <w:pStyle w:val="Listenabsatz"/>
        <w:numPr>
          <w:ilvl w:val="0"/>
          <w:numId w:val="9"/>
        </w:numPr>
      </w:pPr>
      <w:r>
        <w:lastRenderedPageBreak/>
        <w:t>You can access the values again later in the process by choosing the entry and going on ‘Edit’.</w:t>
      </w:r>
    </w:p>
    <w:p w14:paraId="16CD10DB" w14:textId="77777777" w:rsidR="00603DD6" w:rsidRDefault="00603DD6" w:rsidP="00603DD6">
      <w:pPr>
        <w:jc w:val="center"/>
      </w:pPr>
    </w:p>
    <w:p w14:paraId="540C58D0" w14:textId="77777777" w:rsidR="00464AB3" w:rsidRDefault="00C01088" w:rsidP="00464AB3">
      <w:pPr>
        <w:pStyle w:val="berschrift1"/>
        <w:numPr>
          <w:ilvl w:val="0"/>
          <w:numId w:val="1"/>
        </w:numPr>
        <w:rPr>
          <w:color w:val="005078"/>
        </w:rPr>
      </w:pPr>
      <w:r>
        <w:rPr>
          <w:color w:val="005078"/>
        </w:rPr>
        <w:t>Preparing the WordPress site to be an OpenID Client</w:t>
      </w:r>
    </w:p>
    <w:p w14:paraId="78B8076C" w14:textId="77777777" w:rsidR="006245FF" w:rsidRPr="006245FF" w:rsidRDefault="006245FF" w:rsidP="006245FF"/>
    <w:p w14:paraId="4701A0D0" w14:textId="77777777" w:rsidR="006245FF" w:rsidRDefault="002A064D" w:rsidP="00464AB3">
      <w:r>
        <w:t>S</w:t>
      </w:r>
      <w:r w:rsidR="00C01088">
        <w:t xml:space="preserve">everal third-party WordPress plugins </w:t>
      </w:r>
      <w:r>
        <w:t xml:space="preserve">exists </w:t>
      </w:r>
      <w:r w:rsidR="00C01088">
        <w:t>which allow users to log in via Op</w:t>
      </w:r>
      <w:r>
        <w:t>enID. W</w:t>
      </w:r>
      <w:r w:rsidR="00C01088">
        <w:t>e will look at a couple of examples. Of course, it is also possible to use</w:t>
      </w:r>
      <w:r>
        <w:t xml:space="preserve"> other plugins for this purpose. They </w:t>
      </w:r>
      <w:proofErr w:type="gramStart"/>
      <w:r>
        <w:t xml:space="preserve">will </w:t>
      </w:r>
      <w:r w:rsidR="00C01088">
        <w:t xml:space="preserve"> most</w:t>
      </w:r>
      <w:proofErr w:type="gramEnd"/>
      <w:r w:rsidR="00C01088">
        <w:t xml:space="preserve"> likely have similar settings. If not, feel free to contact us, and we will try to help you in your particular scenario.</w:t>
      </w:r>
    </w:p>
    <w:p w14:paraId="248318AA" w14:textId="77777777" w:rsidR="008F7930" w:rsidRDefault="008F7930" w:rsidP="00464AB3"/>
    <w:p w14:paraId="54560813" w14:textId="77777777" w:rsidR="00C01088" w:rsidRDefault="002A064D" w:rsidP="006245FF">
      <w:pPr>
        <w:pStyle w:val="berschrift3"/>
        <w:numPr>
          <w:ilvl w:val="1"/>
          <w:numId w:val="1"/>
        </w:numPr>
        <w:rPr>
          <w:b/>
        </w:rPr>
      </w:pPr>
      <w:r>
        <w:t>Example 1: “</w:t>
      </w:r>
      <w:r w:rsidRPr="00D45603">
        <w:rPr>
          <w:i/>
        </w:rPr>
        <w:t>OAuth Single Sign On – SSO (OAuth client)</w:t>
      </w:r>
      <w:r>
        <w:t xml:space="preserve">” by </w:t>
      </w:r>
      <w:proofErr w:type="spellStart"/>
      <w:r>
        <w:t>miniOrange</w:t>
      </w:r>
      <w:proofErr w:type="spellEnd"/>
    </w:p>
    <w:p w14:paraId="0380A456" w14:textId="77777777" w:rsidR="006245FF" w:rsidRPr="006245FF" w:rsidRDefault="006245FF" w:rsidP="006245FF"/>
    <w:p w14:paraId="792D2C23" w14:textId="77777777" w:rsidR="007320D0" w:rsidRDefault="007320D0" w:rsidP="00D45603">
      <w:pPr>
        <w:pStyle w:val="Listenabsatz"/>
        <w:numPr>
          <w:ilvl w:val="0"/>
          <w:numId w:val="12"/>
        </w:numPr>
      </w:pPr>
      <w:r>
        <w:t>Download the plugin “</w:t>
      </w:r>
      <w:r w:rsidRPr="00D45603">
        <w:rPr>
          <w:i/>
        </w:rPr>
        <w:t>OAuth Single Sign On – SSO (OAuth client)</w:t>
      </w:r>
      <w:r>
        <w:t xml:space="preserve">” by </w:t>
      </w:r>
      <w:proofErr w:type="spellStart"/>
      <w:r w:rsidRPr="007320D0">
        <w:rPr>
          <w:i/>
        </w:rPr>
        <w:t>miniOrange</w:t>
      </w:r>
      <w:proofErr w:type="spellEnd"/>
      <w:r>
        <w:t xml:space="preserve"> from </w:t>
      </w:r>
      <w:hyperlink r:id="rId12" w:history="1">
        <w:r w:rsidRPr="00D45603">
          <w:rPr>
            <w:rStyle w:val="Hyperlink"/>
          </w:rPr>
          <w:t>here</w:t>
        </w:r>
      </w:hyperlink>
      <w:r>
        <w:t xml:space="preserve"> or the WordPress Plugin Search, install and activate it.</w:t>
      </w:r>
    </w:p>
    <w:p w14:paraId="5503440F" w14:textId="77777777" w:rsidR="00C01088" w:rsidRDefault="00D45603" w:rsidP="00C01088">
      <w:pPr>
        <w:pStyle w:val="Listenabsatz"/>
        <w:numPr>
          <w:ilvl w:val="0"/>
          <w:numId w:val="12"/>
        </w:numPr>
      </w:pPr>
      <w:r>
        <w:t>Click the new item of your Dashboard menu called “</w:t>
      </w:r>
      <w:proofErr w:type="spellStart"/>
      <w:r>
        <w:rPr>
          <w:i/>
        </w:rPr>
        <w:t>miniOrange</w:t>
      </w:r>
      <w:proofErr w:type="spellEnd"/>
      <w:r>
        <w:rPr>
          <w:i/>
        </w:rPr>
        <w:t xml:space="preserve"> OAuth”</w:t>
      </w:r>
      <w:r>
        <w:t>.</w:t>
      </w:r>
    </w:p>
    <w:p w14:paraId="7956CB56" w14:textId="77777777" w:rsidR="00D45603" w:rsidRDefault="007320D0" w:rsidP="00C24AEC">
      <w:pPr>
        <w:pStyle w:val="Listenabsatz"/>
        <w:numPr>
          <w:ilvl w:val="0"/>
          <w:numId w:val="12"/>
        </w:numPr>
      </w:pPr>
      <w:r>
        <w:rPr>
          <w:noProof/>
          <w:lang w:val="de-DE" w:eastAsia="de-DE"/>
        </w:rPr>
        <w:drawing>
          <wp:anchor distT="0" distB="0" distL="114300" distR="114300" simplePos="0" relativeHeight="251667456" behindDoc="0" locked="0" layoutInCell="1" allowOverlap="1" wp14:anchorId="0B5FE046" wp14:editId="782BA715">
            <wp:simplePos x="0" y="0"/>
            <wp:positionH relativeFrom="column">
              <wp:posOffset>1476375</wp:posOffset>
            </wp:positionH>
            <wp:positionV relativeFrom="paragraph">
              <wp:posOffset>469900</wp:posOffset>
            </wp:positionV>
            <wp:extent cx="2699385" cy="1495425"/>
            <wp:effectExtent l="0" t="0" r="571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603">
        <w:t>In “</w:t>
      </w:r>
      <w:r w:rsidR="00D45603">
        <w:rPr>
          <w:i/>
        </w:rPr>
        <w:t>Add Application</w:t>
      </w:r>
      <w:r w:rsidR="00D45603">
        <w:t>”, underneath “</w:t>
      </w:r>
      <w:r w:rsidR="00D45603">
        <w:rPr>
          <w:i/>
        </w:rPr>
        <w:t>Custom Applications</w:t>
      </w:r>
      <w:r w:rsidR="00D45603">
        <w:t>”, c</w:t>
      </w:r>
      <w:r w:rsidR="00D45603" w:rsidRPr="00D45603">
        <w:t>lick</w:t>
      </w:r>
      <w:r w:rsidR="00D45603">
        <w:t xml:space="preserve"> “</w:t>
      </w:r>
      <w:r w:rsidR="00D45603" w:rsidRPr="00D45603">
        <w:rPr>
          <w:i/>
        </w:rPr>
        <w:t>Custom OpenID Connect App</w:t>
      </w:r>
      <w:r w:rsidR="00D45603">
        <w:t>”.</w:t>
      </w:r>
    </w:p>
    <w:p w14:paraId="11C3A4EC" w14:textId="77777777" w:rsidR="00C24AEC" w:rsidRDefault="00C24AEC" w:rsidP="00C24AEC">
      <w:pPr>
        <w:jc w:val="center"/>
      </w:pPr>
    </w:p>
    <w:p w14:paraId="199A9CD2" w14:textId="77777777" w:rsidR="00C24AEC" w:rsidRDefault="007320D0" w:rsidP="00C24AEC">
      <w:pPr>
        <w:pStyle w:val="Listenabsatz"/>
        <w:numPr>
          <w:ilvl w:val="0"/>
          <w:numId w:val="12"/>
        </w:numPr>
      </w:pPr>
      <w:r>
        <w:t>Choose</w:t>
      </w:r>
      <w:r w:rsidR="00C24AEC">
        <w:t xml:space="preserve"> an App Name, </w:t>
      </w:r>
      <w:proofErr w:type="spellStart"/>
      <w:r w:rsidR="00C24AEC">
        <w:t>eg.</w:t>
      </w:r>
      <w:proofErr w:type="spellEnd"/>
      <w:r w:rsidR="00C24AEC">
        <w:t xml:space="preserve"> “</w:t>
      </w:r>
      <w:proofErr w:type="spellStart"/>
      <w:r w:rsidR="00C24AEC">
        <w:t>DoubleClue</w:t>
      </w:r>
      <w:proofErr w:type="spellEnd"/>
      <w:r w:rsidR="00C24AEC">
        <w:t>”.</w:t>
      </w:r>
    </w:p>
    <w:p w14:paraId="5B7EE8C6" w14:textId="77777777" w:rsidR="00C24AEC" w:rsidRDefault="00C24AEC" w:rsidP="00C24AEC">
      <w:pPr>
        <w:pStyle w:val="Listenabsatz"/>
        <w:numPr>
          <w:ilvl w:val="0"/>
          <w:numId w:val="12"/>
        </w:numPr>
      </w:pPr>
      <w:r>
        <w:t xml:space="preserve">For </w:t>
      </w:r>
      <w:r w:rsidRPr="00E33092">
        <w:rPr>
          <w:i/>
        </w:rPr>
        <w:t>ClientID</w:t>
      </w:r>
      <w:r w:rsidR="007320D0">
        <w:t xml:space="preserve">, paste </w:t>
      </w:r>
      <w:r>
        <w:t>the value from 2.2.</w:t>
      </w:r>
      <w:r w:rsidR="00D12904">
        <w:t>3</w:t>
      </w:r>
      <w:r>
        <w:t xml:space="preserve"> above.</w:t>
      </w:r>
    </w:p>
    <w:p w14:paraId="2EB4CE85" w14:textId="77777777" w:rsidR="00C24AEC" w:rsidRDefault="00C24AEC" w:rsidP="00C24AEC">
      <w:pPr>
        <w:pStyle w:val="Listenabsatz"/>
        <w:numPr>
          <w:ilvl w:val="0"/>
          <w:numId w:val="12"/>
        </w:numPr>
      </w:pPr>
      <w:r>
        <w:t xml:space="preserve">For </w:t>
      </w:r>
      <w:r w:rsidRPr="00E33092">
        <w:rPr>
          <w:i/>
        </w:rPr>
        <w:t>Client Secret</w:t>
      </w:r>
      <w:r>
        <w:t>, paste the value from 2.2.</w:t>
      </w:r>
      <w:r w:rsidR="00D12904">
        <w:t>3</w:t>
      </w:r>
      <w:r>
        <w:t xml:space="preserve"> above.</w:t>
      </w:r>
    </w:p>
    <w:p w14:paraId="69638EF1" w14:textId="77777777" w:rsidR="00C24AEC" w:rsidRDefault="00C24AEC" w:rsidP="00C24AEC">
      <w:pPr>
        <w:pStyle w:val="Listenabsatz"/>
        <w:numPr>
          <w:ilvl w:val="0"/>
          <w:numId w:val="12"/>
        </w:numPr>
      </w:pPr>
      <w:r>
        <w:t xml:space="preserve">For </w:t>
      </w:r>
      <w:r w:rsidRPr="00E33092">
        <w:rPr>
          <w:i/>
        </w:rPr>
        <w:t>Scope</w:t>
      </w:r>
      <w:r>
        <w:t>, type in “</w:t>
      </w:r>
      <w:proofErr w:type="spellStart"/>
      <w:r>
        <w:t>openid</w:t>
      </w:r>
      <w:proofErr w:type="spellEnd"/>
      <w:r>
        <w:t xml:space="preserve"> email profile”.</w:t>
      </w:r>
    </w:p>
    <w:p w14:paraId="2B6FB075" w14:textId="77777777" w:rsidR="00C24AEC" w:rsidRDefault="00C24AEC" w:rsidP="00C24AEC">
      <w:pPr>
        <w:pStyle w:val="Listenabsatz"/>
        <w:numPr>
          <w:ilvl w:val="0"/>
          <w:numId w:val="12"/>
        </w:numPr>
      </w:pPr>
      <w:r>
        <w:t xml:space="preserve">For </w:t>
      </w:r>
      <w:r w:rsidRPr="00E33092">
        <w:rPr>
          <w:i/>
        </w:rPr>
        <w:t>Authorize Endpoint</w:t>
      </w:r>
      <w:r w:rsidR="007320D0">
        <w:rPr>
          <w:i/>
        </w:rPr>
        <w:t xml:space="preserve"> </w:t>
      </w:r>
      <w:r w:rsidR="007320D0" w:rsidRPr="007320D0">
        <w:t>and</w:t>
      </w:r>
      <w:r w:rsidR="007320D0">
        <w:rPr>
          <w:i/>
        </w:rPr>
        <w:t xml:space="preserve"> </w:t>
      </w:r>
      <w:r w:rsidR="007320D0" w:rsidRPr="00E33092">
        <w:rPr>
          <w:i/>
        </w:rPr>
        <w:t>Access Token Endpoint</w:t>
      </w:r>
      <w:r w:rsidR="005F65F3">
        <w:t>, enter</w:t>
      </w:r>
      <w:r>
        <w:t xml:space="preserve"> “</w:t>
      </w:r>
      <w:r w:rsidRPr="00C24AEC">
        <w:rPr>
          <w:i/>
        </w:rPr>
        <w:t>&lt;</w:t>
      </w:r>
      <w:proofErr w:type="spellStart"/>
      <w:r w:rsidRPr="00C24AEC">
        <w:rPr>
          <w:i/>
        </w:rPr>
        <w:t>your_issuer</w:t>
      </w:r>
      <w:proofErr w:type="spellEnd"/>
      <w:r w:rsidRPr="00C24AEC">
        <w:rPr>
          <w:i/>
        </w:rPr>
        <w:t>&gt;</w:t>
      </w:r>
      <w:r>
        <w:t>/</w:t>
      </w:r>
      <w:proofErr w:type="spellStart"/>
      <w:r>
        <w:t>dcem</w:t>
      </w:r>
      <w:proofErr w:type="spellEnd"/>
      <w:r>
        <w:t>/</w:t>
      </w:r>
      <w:proofErr w:type="spellStart"/>
      <w:r>
        <w:t>oauth</w:t>
      </w:r>
      <w:proofErr w:type="spellEnd"/>
      <w:r>
        <w:t>” (see 2.1 above).</w:t>
      </w:r>
    </w:p>
    <w:p w14:paraId="76D14A79" w14:textId="77777777" w:rsidR="00C24AEC" w:rsidRDefault="00C24AEC" w:rsidP="00C24AEC">
      <w:pPr>
        <w:pStyle w:val="Listenabsatz"/>
        <w:numPr>
          <w:ilvl w:val="0"/>
          <w:numId w:val="12"/>
        </w:numPr>
      </w:pPr>
      <w:r>
        <w:t>Click “Save Settings”.</w:t>
      </w:r>
    </w:p>
    <w:p w14:paraId="5622F938" w14:textId="77777777" w:rsidR="00E33092" w:rsidRDefault="00C24AEC" w:rsidP="00E33092">
      <w:pPr>
        <w:pStyle w:val="Listenabsatz"/>
        <w:numPr>
          <w:ilvl w:val="0"/>
          <w:numId w:val="12"/>
        </w:numPr>
      </w:pPr>
      <w:r>
        <w:t>A new text field appears called “</w:t>
      </w:r>
      <w:r>
        <w:rPr>
          <w:i/>
        </w:rPr>
        <w:t>Get User Info Endpoint</w:t>
      </w:r>
      <w:r>
        <w:t xml:space="preserve">”. </w:t>
      </w:r>
      <w:r w:rsidR="005F65F3">
        <w:t xml:space="preserve">Enter </w:t>
      </w:r>
      <w:r>
        <w:t>“</w:t>
      </w:r>
      <w:r w:rsidRPr="00C24AEC">
        <w:rPr>
          <w:i/>
        </w:rPr>
        <w:t>&lt;</w:t>
      </w:r>
      <w:proofErr w:type="spellStart"/>
      <w:r w:rsidRPr="00C24AEC">
        <w:rPr>
          <w:i/>
        </w:rPr>
        <w:t>your_issuer</w:t>
      </w:r>
      <w:proofErr w:type="spellEnd"/>
      <w:r w:rsidRPr="00C24AEC">
        <w:rPr>
          <w:i/>
        </w:rPr>
        <w:t>&gt;</w:t>
      </w:r>
      <w:r>
        <w:t>/</w:t>
      </w:r>
      <w:proofErr w:type="spellStart"/>
      <w:r>
        <w:t>dcem</w:t>
      </w:r>
      <w:proofErr w:type="spellEnd"/>
      <w:r>
        <w:t>/</w:t>
      </w:r>
      <w:proofErr w:type="spellStart"/>
      <w:r>
        <w:t>oauth</w:t>
      </w:r>
      <w:proofErr w:type="spellEnd"/>
      <w:r>
        <w:t>/</w:t>
      </w:r>
      <w:proofErr w:type="spellStart"/>
      <w:r>
        <w:t>userinfo</w:t>
      </w:r>
      <w:proofErr w:type="spellEnd"/>
      <w:r>
        <w:t>” (see 2.1 above)</w:t>
      </w:r>
      <w:r w:rsidR="005F65F3">
        <w:t xml:space="preserve"> into this field</w:t>
      </w:r>
      <w:r>
        <w:t>.</w:t>
      </w:r>
    </w:p>
    <w:p w14:paraId="16BFBD87" w14:textId="77777777" w:rsidR="00E33092" w:rsidRDefault="00E33092" w:rsidP="00E33092">
      <w:pPr>
        <w:pStyle w:val="Listenabsatz"/>
        <w:numPr>
          <w:ilvl w:val="0"/>
          <w:numId w:val="12"/>
        </w:numPr>
      </w:pPr>
      <w:r>
        <w:t>Click “Save Settings” once again. Your settings should look like this:</w:t>
      </w:r>
    </w:p>
    <w:p w14:paraId="54D691E6" w14:textId="77777777" w:rsidR="00E33092" w:rsidRPr="00927EC8" w:rsidRDefault="00927EC8" w:rsidP="00E33092">
      <w:pPr>
        <w:jc w:val="center"/>
      </w:pPr>
      <w:r w:rsidRPr="00927EC8">
        <w:rPr>
          <w:noProof/>
          <w:lang w:val="de-DE" w:eastAsia="de-DE"/>
        </w:rPr>
        <w:lastRenderedPageBreak/>
        <w:drawing>
          <wp:inline distT="0" distB="0" distL="0" distR="0" wp14:anchorId="3DB5BFAC" wp14:editId="00870AD2">
            <wp:extent cx="5731510" cy="4637593"/>
            <wp:effectExtent l="0" t="0" r="2540" b="0"/>
            <wp:docPr id="5" name="Grafik 5" descr="C:\Users\kerstin.baumann\Desktop\DoubleClue\Documentation\configure_o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esktop\DoubleClue\Documentation\configure_oaut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04B0" w14:textId="77777777" w:rsidR="006B18AE" w:rsidRDefault="006B18AE" w:rsidP="00E33092">
      <w:pPr>
        <w:jc w:val="center"/>
      </w:pPr>
    </w:p>
    <w:p w14:paraId="36C8AF80" w14:textId="77777777" w:rsidR="00E33092" w:rsidRDefault="00E33092" w:rsidP="00E33092">
      <w:pPr>
        <w:pStyle w:val="Listenabsatz"/>
        <w:numPr>
          <w:ilvl w:val="0"/>
          <w:numId w:val="12"/>
        </w:numPr>
      </w:pPr>
      <w:r>
        <w:t>Move to the “</w:t>
      </w:r>
      <w:r>
        <w:rPr>
          <w:i/>
        </w:rPr>
        <w:t>Attribute/Role Mapping</w:t>
      </w:r>
      <w:r>
        <w:t>” tab and type in “</w:t>
      </w:r>
      <w:r w:rsidRPr="00E33092">
        <w:rPr>
          <w:i/>
        </w:rPr>
        <w:t>sub</w:t>
      </w:r>
      <w:r>
        <w:t>” for Username.</w:t>
      </w:r>
    </w:p>
    <w:p w14:paraId="4C0199FD" w14:textId="77777777" w:rsidR="00E33092" w:rsidRDefault="00E33092" w:rsidP="00E33092">
      <w:pPr>
        <w:pStyle w:val="Listenabsatz"/>
        <w:numPr>
          <w:ilvl w:val="0"/>
          <w:numId w:val="12"/>
        </w:numPr>
      </w:pPr>
      <w:r>
        <w:t>Hit “Save Settings” one last time.</w:t>
      </w:r>
    </w:p>
    <w:p w14:paraId="747D6C9A" w14:textId="77777777" w:rsidR="00E33092" w:rsidRDefault="00E33092" w:rsidP="00E33092">
      <w:r>
        <w:t>You can test your settings by trying “</w:t>
      </w:r>
      <w:r>
        <w:rPr>
          <w:i/>
        </w:rPr>
        <w:t>Test Configuration</w:t>
      </w:r>
      <w:r>
        <w:t>”. If successful, it will redirect to the DCEM login page. You can perform a login, and if successful, it show you a table of user attributes that we send from DCEM. You can use these attributes to set the rest of the attribute mapping settings if you</w:t>
      </w:r>
      <w:r w:rsidR="00927EC8">
        <w:t xml:space="preserve"> want</w:t>
      </w:r>
      <w:r>
        <w:t>. Please note that these are only available in the premium version of the plugin.</w:t>
      </w:r>
    </w:p>
    <w:p w14:paraId="0ABC4D27" w14:textId="77777777" w:rsidR="00E33092" w:rsidRDefault="00E33092" w:rsidP="00E33092">
      <w:r>
        <w:t>Once you have everything ready, you will now have a new button in your Wor</w:t>
      </w:r>
      <w:r w:rsidR="00927EC8">
        <w:t>dPress login page, by which your</w:t>
      </w:r>
      <w:r>
        <w:t xml:space="preserve"> users </w:t>
      </w:r>
      <w:r w:rsidR="00927EC8">
        <w:t xml:space="preserve">can log into WordPress </w:t>
      </w:r>
      <w:r>
        <w:t xml:space="preserve">via </w:t>
      </w:r>
      <w:proofErr w:type="spellStart"/>
      <w:r>
        <w:t>DoubleClue</w:t>
      </w:r>
      <w:proofErr w:type="spellEnd"/>
      <w:r>
        <w:t>.</w:t>
      </w:r>
    </w:p>
    <w:p w14:paraId="74E898B9" w14:textId="77777777" w:rsidR="006B18AE" w:rsidRDefault="006245FF" w:rsidP="00E33092"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6432" behindDoc="0" locked="0" layoutInCell="1" allowOverlap="1" wp14:anchorId="57B6CBE4" wp14:editId="1AB8CD1D">
            <wp:simplePos x="0" y="0"/>
            <wp:positionH relativeFrom="margin">
              <wp:posOffset>1276350</wp:posOffset>
            </wp:positionH>
            <wp:positionV relativeFrom="paragraph">
              <wp:posOffset>285750</wp:posOffset>
            </wp:positionV>
            <wp:extent cx="2922905" cy="43243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7DCF5" w14:textId="77777777" w:rsidR="006B18AE" w:rsidRDefault="006B18AE" w:rsidP="006B18AE">
      <w:pPr>
        <w:jc w:val="center"/>
      </w:pPr>
    </w:p>
    <w:p w14:paraId="6C245E45" w14:textId="77777777" w:rsidR="00D12904" w:rsidRDefault="00D12904" w:rsidP="00D12904"/>
    <w:p w14:paraId="4A4170E8" w14:textId="77777777" w:rsidR="00D12904" w:rsidRDefault="00D12904" w:rsidP="00D12904">
      <w:pPr>
        <w:pStyle w:val="berschrift3"/>
        <w:numPr>
          <w:ilvl w:val="1"/>
          <w:numId w:val="1"/>
        </w:numPr>
      </w:pPr>
      <w:r>
        <w:t>Example 2: “</w:t>
      </w:r>
      <w:r>
        <w:rPr>
          <w:i/>
        </w:rPr>
        <w:t>OpenID Connect Generic Client</w:t>
      </w:r>
      <w:r>
        <w:t xml:space="preserve">” by </w:t>
      </w:r>
      <w:proofErr w:type="spellStart"/>
      <w:r>
        <w:t>daggerhart</w:t>
      </w:r>
      <w:proofErr w:type="spellEnd"/>
    </w:p>
    <w:p w14:paraId="4B95473A" w14:textId="77777777" w:rsidR="00D12904" w:rsidRPr="00D12904" w:rsidRDefault="00D12904" w:rsidP="00D12904"/>
    <w:p w14:paraId="38DA58D5" w14:textId="77777777" w:rsidR="00D12904" w:rsidRDefault="00D12904" w:rsidP="00D12904">
      <w:pPr>
        <w:pStyle w:val="Listenabsatz"/>
        <w:numPr>
          <w:ilvl w:val="0"/>
          <w:numId w:val="15"/>
        </w:numPr>
      </w:pPr>
      <w:r>
        <w:t>Download the plugin “</w:t>
      </w:r>
      <w:r>
        <w:rPr>
          <w:i/>
        </w:rPr>
        <w:t>OpenID Connect Generic Client</w:t>
      </w:r>
      <w:r>
        <w:t xml:space="preserve">” by </w:t>
      </w:r>
      <w:proofErr w:type="spellStart"/>
      <w:r>
        <w:rPr>
          <w:i/>
        </w:rPr>
        <w:t>daggerhart</w:t>
      </w:r>
      <w:proofErr w:type="spellEnd"/>
      <w:r>
        <w:t xml:space="preserve"> from </w:t>
      </w:r>
      <w:hyperlink r:id="rId16" w:history="1">
        <w:r w:rsidRPr="00D45603">
          <w:rPr>
            <w:rStyle w:val="Hyperlink"/>
          </w:rPr>
          <w:t>here</w:t>
        </w:r>
      </w:hyperlink>
      <w:r>
        <w:t xml:space="preserve"> or the WordPress Plugin Search, install and activate it.</w:t>
      </w:r>
    </w:p>
    <w:p w14:paraId="2B8EB846" w14:textId="77777777" w:rsidR="00BD4110" w:rsidRDefault="00BD4110" w:rsidP="00BD4110">
      <w:pPr>
        <w:pStyle w:val="Listenabsatz"/>
        <w:numPr>
          <w:ilvl w:val="0"/>
          <w:numId w:val="15"/>
        </w:numPr>
      </w:pPr>
      <w:r>
        <w:t xml:space="preserve">On your Dashboard menu, go to </w:t>
      </w:r>
      <w:r w:rsidRPr="00BD4110">
        <w:rPr>
          <w:i/>
        </w:rPr>
        <w:t>Settings</w:t>
      </w:r>
      <w:r>
        <w:t xml:space="preserve">, then </w:t>
      </w:r>
      <w:r w:rsidRPr="00BD4110">
        <w:rPr>
          <w:i/>
        </w:rPr>
        <w:t>OpenID Connect Client</w:t>
      </w:r>
      <w:r>
        <w:t>.</w:t>
      </w:r>
    </w:p>
    <w:p w14:paraId="1D40278E" w14:textId="77777777" w:rsidR="00BD4110" w:rsidRDefault="00BD4110" w:rsidP="00BD4110">
      <w:pPr>
        <w:pStyle w:val="Listenabsatz"/>
        <w:numPr>
          <w:ilvl w:val="0"/>
          <w:numId w:val="15"/>
        </w:numPr>
      </w:pPr>
      <w:r>
        <w:t xml:space="preserve">For </w:t>
      </w:r>
      <w:r w:rsidRPr="00E33092">
        <w:rPr>
          <w:i/>
        </w:rPr>
        <w:t>ClientID</w:t>
      </w:r>
      <w:r w:rsidR="00D12904">
        <w:t xml:space="preserve">, enter </w:t>
      </w:r>
      <w:r>
        <w:t>the value from 2.2.</w:t>
      </w:r>
      <w:r w:rsidR="00D12904">
        <w:t>3</w:t>
      </w:r>
      <w:r>
        <w:t xml:space="preserve"> above.</w:t>
      </w:r>
    </w:p>
    <w:p w14:paraId="413A290F" w14:textId="77777777" w:rsidR="00BD4110" w:rsidRDefault="00BD4110" w:rsidP="00BD4110">
      <w:pPr>
        <w:pStyle w:val="Listenabsatz"/>
        <w:numPr>
          <w:ilvl w:val="0"/>
          <w:numId w:val="15"/>
        </w:numPr>
      </w:pPr>
      <w:r>
        <w:t xml:space="preserve">For </w:t>
      </w:r>
      <w:r w:rsidRPr="00E33092">
        <w:rPr>
          <w:i/>
        </w:rPr>
        <w:t>Client Secret</w:t>
      </w:r>
      <w:r>
        <w:rPr>
          <w:i/>
        </w:rPr>
        <w:t xml:space="preserve"> Key</w:t>
      </w:r>
      <w:r>
        <w:t xml:space="preserve">, </w:t>
      </w:r>
      <w:r w:rsidR="00D12904">
        <w:t xml:space="preserve">enter </w:t>
      </w:r>
      <w:r>
        <w:t>the value from 2.2.</w:t>
      </w:r>
      <w:r w:rsidR="00D12904">
        <w:t>3</w:t>
      </w:r>
      <w:r>
        <w:t xml:space="preserve"> above.</w:t>
      </w:r>
    </w:p>
    <w:p w14:paraId="6F46004F" w14:textId="77777777" w:rsidR="00BD4110" w:rsidRDefault="00BD4110" w:rsidP="00BD4110">
      <w:pPr>
        <w:pStyle w:val="Listenabsatz"/>
        <w:numPr>
          <w:ilvl w:val="0"/>
          <w:numId w:val="15"/>
        </w:numPr>
      </w:pPr>
      <w:r>
        <w:t xml:space="preserve">For </w:t>
      </w:r>
      <w:r w:rsidR="005A049F" w:rsidRPr="005A049F">
        <w:rPr>
          <w:i/>
        </w:rPr>
        <w:t xml:space="preserve">OpenID </w:t>
      </w:r>
      <w:r w:rsidRPr="00E33092">
        <w:rPr>
          <w:i/>
        </w:rPr>
        <w:t>Scope</w:t>
      </w:r>
      <w:r>
        <w:t>, type in “</w:t>
      </w:r>
      <w:proofErr w:type="spellStart"/>
      <w:r>
        <w:t>openid</w:t>
      </w:r>
      <w:proofErr w:type="spellEnd"/>
      <w:r>
        <w:t xml:space="preserve"> email profile”.</w:t>
      </w:r>
    </w:p>
    <w:p w14:paraId="6B86CB0F" w14:textId="77777777" w:rsidR="00BD4110" w:rsidRDefault="00BD4110" w:rsidP="00BD4110">
      <w:pPr>
        <w:pStyle w:val="Listenabsatz"/>
        <w:numPr>
          <w:ilvl w:val="0"/>
          <w:numId w:val="15"/>
        </w:numPr>
      </w:pPr>
      <w:r>
        <w:t xml:space="preserve">For </w:t>
      </w:r>
      <w:r w:rsidR="005A049F">
        <w:rPr>
          <w:i/>
        </w:rPr>
        <w:t>Login Endpoint URL</w:t>
      </w:r>
      <w:r>
        <w:t>, type in “</w:t>
      </w:r>
      <w:r w:rsidRPr="00C24AEC">
        <w:rPr>
          <w:i/>
        </w:rPr>
        <w:t>&lt;</w:t>
      </w:r>
      <w:proofErr w:type="spellStart"/>
      <w:r w:rsidRPr="00C24AEC">
        <w:rPr>
          <w:i/>
        </w:rPr>
        <w:t>your_issuer</w:t>
      </w:r>
      <w:proofErr w:type="spellEnd"/>
      <w:r w:rsidRPr="00C24AEC">
        <w:rPr>
          <w:i/>
        </w:rPr>
        <w:t>&gt;</w:t>
      </w:r>
      <w:r>
        <w:t>/</w:t>
      </w:r>
      <w:proofErr w:type="spellStart"/>
      <w:r>
        <w:t>dcem</w:t>
      </w:r>
      <w:proofErr w:type="spellEnd"/>
      <w:r>
        <w:t>/</w:t>
      </w:r>
      <w:proofErr w:type="spellStart"/>
      <w:r>
        <w:t>oauth</w:t>
      </w:r>
      <w:proofErr w:type="spellEnd"/>
      <w:r>
        <w:t>” (see 2.1 above).</w:t>
      </w:r>
    </w:p>
    <w:p w14:paraId="2D29021A" w14:textId="77777777" w:rsidR="005A049F" w:rsidRDefault="005A049F" w:rsidP="005A049F">
      <w:pPr>
        <w:pStyle w:val="Listenabsatz"/>
        <w:numPr>
          <w:ilvl w:val="0"/>
          <w:numId w:val="15"/>
        </w:numPr>
      </w:pPr>
      <w:r>
        <w:t xml:space="preserve">For </w:t>
      </w:r>
      <w:proofErr w:type="spellStart"/>
      <w:r>
        <w:rPr>
          <w:i/>
        </w:rPr>
        <w:t>UserInfo</w:t>
      </w:r>
      <w:proofErr w:type="spellEnd"/>
      <w:r>
        <w:rPr>
          <w:i/>
        </w:rPr>
        <w:t xml:space="preserve"> Endpoint URL</w:t>
      </w:r>
      <w:r>
        <w:t>, type in “</w:t>
      </w:r>
      <w:r w:rsidRPr="00C24AEC">
        <w:rPr>
          <w:i/>
        </w:rPr>
        <w:t>&lt;</w:t>
      </w:r>
      <w:proofErr w:type="spellStart"/>
      <w:r w:rsidRPr="00C24AEC">
        <w:rPr>
          <w:i/>
        </w:rPr>
        <w:t>your_issuer</w:t>
      </w:r>
      <w:proofErr w:type="spellEnd"/>
      <w:r w:rsidRPr="00C24AEC">
        <w:rPr>
          <w:i/>
        </w:rPr>
        <w:t>&gt;</w:t>
      </w:r>
      <w:r>
        <w:t>/</w:t>
      </w:r>
      <w:proofErr w:type="spellStart"/>
      <w:r>
        <w:t>dcem</w:t>
      </w:r>
      <w:proofErr w:type="spellEnd"/>
      <w:r>
        <w:t>/</w:t>
      </w:r>
      <w:proofErr w:type="spellStart"/>
      <w:r>
        <w:t>oauth</w:t>
      </w:r>
      <w:proofErr w:type="spellEnd"/>
      <w:r>
        <w:t>/</w:t>
      </w:r>
      <w:proofErr w:type="spellStart"/>
      <w:r>
        <w:t>userinfo</w:t>
      </w:r>
      <w:proofErr w:type="spellEnd"/>
      <w:r>
        <w:t>” (see 2.1 above).</w:t>
      </w:r>
    </w:p>
    <w:p w14:paraId="19425878" w14:textId="77777777" w:rsidR="005A049F" w:rsidRDefault="005A049F" w:rsidP="005A049F">
      <w:pPr>
        <w:pStyle w:val="Listenabsatz"/>
        <w:numPr>
          <w:ilvl w:val="0"/>
          <w:numId w:val="15"/>
        </w:numPr>
      </w:pPr>
      <w:r>
        <w:t xml:space="preserve">For </w:t>
      </w:r>
      <w:r>
        <w:rPr>
          <w:i/>
        </w:rPr>
        <w:t>Token Validation Endpoint URL</w:t>
      </w:r>
      <w:r>
        <w:t>, type in the same value as in 6.</w:t>
      </w:r>
    </w:p>
    <w:p w14:paraId="2148AFD7" w14:textId="77777777" w:rsidR="005A049F" w:rsidRDefault="005A049F" w:rsidP="005A049F">
      <w:pPr>
        <w:pStyle w:val="Listenabsatz"/>
        <w:numPr>
          <w:ilvl w:val="0"/>
          <w:numId w:val="15"/>
        </w:numPr>
      </w:pPr>
      <w:r>
        <w:t xml:space="preserve">For </w:t>
      </w:r>
      <w:r>
        <w:rPr>
          <w:i/>
        </w:rPr>
        <w:t>Identity Key</w:t>
      </w:r>
      <w:r>
        <w:t>, type in “sub”.</w:t>
      </w:r>
    </w:p>
    <w:p w14:paraId="7C8E8014" w14:textId="77777777" w:rsidR="005A049F" w:rsidRDefault="005A049F" w:rsidP="005A049F">
      <w:pPr>
        <w:pStyle w:val="Listenabsatz"/>
        <w:numPr>
          <w:ilvl w:val="0"/>
          <w:numId w:val="15"/>
        </w:numPr>
      </w:pPr>
      <w:r>
        <w:t xml:space="preserve">Check </w:t>
      </w:r>
      <w:r>
        <w:rPr>
          <w:i/>
        </w:rPr>
        <w:t>Disable SSL Verify</w:t>
      </w:r>
      <w:r>
        <w:t xml:space="preserve"> </w:t>
      </w:r>
      <w:r w:rsidRPr="005A049F">
        <w:rPr>
          <w:b/>
        </w:rPr>
        <w:t>ONLY</w:t>
      </w:r>
      <w:r>
        <w:t xml:space="preserve"> if your DCEM uses a self-signed certificate or does not have SSL for OAuth.</w:t>
      </w:r>
    </w:p>
    <w:p w14:paraId="01D46938" w14:textId="77777777" w:rsidR="005A049F" w:rsidRDefault="005A049F" w:rsidP="005A049F">
      <w:pPr>
        <w:pStyle w:val="Listenabsatz"/>
        <w:numPr>
          <w:ilvl w:val="0"/>
          <w:numId w:val="15"/>
        </w:numPr>
      </w:pPr>
      <w:r>
        <w:t xml:space="preserve">For </w:t>
      </w:r>
      <w:r>
        <w:rPr>
          <w:i/>
        </w:rPr>
        <w:t>Nickname</w:t>
      </w:r>
      <w:r>
        <w:t>, type in “nickname”.</w:t>
      </w:r>
    </w:p>
    <w:p w14:paraId="4CD536D3" w14:textId="77777777" w:rsidR="005A049F" w:rsidRDefault="005A049F" w:rsidP="005A049F">
      <w:pPr>
        <w:pStyle w:val="Listenabsatz"/>
        <w:numPr>
          <w:ilvl w:val="0"/>
          <w:numId w:val="15"/>
        </w:numPr>
      </w:pPr>
      <w:r>
        <w:t xml:space="preserve">For </w:t>
      </w:r>
      <w:r>
        <w:rPr>
          <w:i/>
        </w:rPr>
        <w:t>Email Formatting</w:t>
      </w:r>
      <w:r>
        <w:t>, type in “{email}”.</w:t>
      </w:r>
    </w:p>
    <w:p w14:paraId="2AA52050" w14:textId="77777777" w:rsidR="005A049F" w:rsidRDefault="005A049F" w:rsidP="005A049F">
      <w:pPr>
        <w:pStyle w:val="Listenabsatz"/>
        <w:numPr>
          <w:ilvl w:val="0"/>
          <w:numId w:val="15"/>
        </w:numPr>
      </w:pPr>
      <w:r>
        <w:t xml:space="preserve">For </w:t>
      </w:r>
      <w:r>
        <w:rPr>
          <w:i/>
        </w:rPr>
        <w:t>Display Name Formatting</w:t>
      </w:r>
      <w:r>
        <w:t>, type in “{name}”.</w:t>
      </w:r>
    </w:p>
    <w:p w14:paraId="1BD55782" w14:textId="77777777" w:rsidR="005A049F" w:rsidRDefault="005A049F" w:rsidP="005A049F">
      <w:pPr>
        <w:pStyle w:val="Listenabsatz"/>
        <w:numPr>
          <w:ilvl w:val="0"/>
          <w:numId w:val="15"/>
        </w:numPr>
      </w:pPr>
      <w:r>
        <w:t xml:space="preserve">Check </w:t>
      </w:r>
      <w:r>
        <w:rPr>
          <w:i/>
        </w:rPr>
        <w:t>Link Existing Users</w:t>
      </w:r>
      <w:r>
        <w:t>.</w:t>
      </w:r>
    </w:p>
    <w:p w14:paraId="628AE3C7" w14:textId="77777777" w:rsidR="00BD4110" w:rsidRDefault="00BD4110" w:rsidP="00BD4110">
      <w:pPr>
        <w:pStyle w:val="Listenabsatz"/>
        <w:numPr>
          <w:ilvl w:val="0"/>
          <w:numId w:val="15"/>
        </w:numPr>
      </w:pPr>
      <w:r>
        <w:t xml:space="preserve">Click “Save </w:t>
      </w:r>
      <w:r w:rsidR="005A049F">
        <w:t>Changes</w:t>
      </w:r>
      <w:r>
        <w:t>”.</w:t>
      </w:r>
    </w:p>
    <w:p w14:paraId="05512310" w14:textId="77777777" w:rsidR="005A049F" w:rsidRDefault="005A049F" w:rsidP="005A049F">
      <w:r>
        <w:lastRenderedPageBreak/>
        <w:t xml:space="preserve">Once you have everything ready, you will now have a new button in your WordPress login page, by which you can log in users via </w:t>
      </w:r>
      <w:proofErr w:type="spellStart"/>
      <w:r>
        <w:t>DoubleClue</w:t>
      </w:r>
      <w:proofErr w:type="spellEnd"/>
      <w:r>
        <w:t>.</w:t>
      </w:r>
    </w:p>
    <w:p w14:paraId="14BAC128" w14:textId="77777777" w:rsidR="00D12904" w:rsidRDefault="00D12904" w:rsidP="005A049F"/>
    <w:p w14:paraId="5B90D2AD" w14:textId="77777777" w:rsidR="005A049F" w:rsidRPr="00BD4110" w:rsidRDefault="005A049F" w:rsidP="005A049F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3EA183F6" wp14:editId="55505792">
            <wp:extent cx="3198495" cy="4267787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2865" cy="43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49F" w:rsidRPr="00BD411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B9FF" w14:textId="77777777" w:rsidR="0057654E" w:rsidRDefault="0057654E" w:rsidP="007F3727">
      <w:pPr>
        <w:spacing w:after="0" w:line="240" w:lineRule="auto"/>
      </w:pPr>
      <w:r>
        <w:separator/>
      </w:r>
    </w:p>
  </w:endnote>
  <w:endnote w:type="continuationSeparator" w:id="0">
    <w:p w14:paraId="67D3A262" w14:textId="77777777" w:rsidR="0057654E" w:rsidRDefault="0057654E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1EBD2" w14:textId="77777777" w:rsidR="005F65F3" w:rsidRDefault="005F65F3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32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780C01D" w14:textId="77777777" w:rsidR="005F65F3" w:rsidRDefault="005F6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6AD8" w14:textId="77777777" w:rsidR="0057654E" w:rsidRDefault="0057654E" w:rsidP="007F3727">
      <w:pPr>
        <w:spacing w:after="0" w:line="240" w:lineRule="auto"/>
      </w:pPr>
      <w:r>
        <w:separator/>
      </w:r>
    </w:p>
  </w:footnote>
  <w:footnote w:type="continuationSeparator" w:id="0">
    <w:p w14:paraId="4EC18E58" w14:textId="77777777" w:rsidR="0057654E" w:rsidRDefault="0057654E" w:rsidP="007F3727">
      <w:pPr>
        <w:spacing w:after="0" w:line="240" w:lineRule="auto"/>
      </w:pPr>
      <w:r>
        <w:continuationSeparator/>
      </w:r>
    </w:p>
  </w:footnote>
  <w:footnote w:id="1">
    <w:p w14:paraId="03E421CD" w14:textId="77777777" w:rsidR="005F65F3" w:rsidRPr="002176C1" w:rsidRDefault="005F65F3">
      <w:pPr>
        <w:pStyle w:val="Funotentext"/>
      </w:pPr>
      <w:r>
        <w:rPr>
          <w:rStyle w:val="Funotenzeichen"/>
        </w:rPr>
        <w:footnoteRef/>
      </w:r>
      <w:r>
        <w:t xml:space="preserve"> Adding plugins is currently not enabled for homepages hosted on wordpress.com under a free, </w:t>
      </w:r>
      <w:proofErr w:type="gramStart"/>
      <w:r>
        <w:t>personal</w:t>
      </w:r>
      <w:proofErr w:type="gramEnd"/>
      <w:r>
        <w:t xml:space="preserve"> and premium scheme.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D3FB" w14:textId="77777777" w:rsidR="005F65F3" w:rsidRDefault="005F65F3" w:rsidP="00C20532">
    <w:pPr>
      <w:pStyle w:val="Kopfzeile"/>
      <w:jc w:val="right"/>
      <w:rPr>
        <w:color w:val="0C468B"/>
      </w:rPr>
    </w:pPr>
  </w:p>
  <w:p w14:paraId="0B5A2359" w14:textId="77777777" w:rsidR="005F65F3" w:rsidRPr="00C20532" w:rsidRDefault="005F65F3" w:rsidP="00C20532">
    <w:pPr>
      <w:pStyle w:val="Kopfzeile"/>
      <w:jc w:val="right"/>
      <w:rPr>
        <w:color w:val="0C468B"/>
      </w:rPr>
    </w:pPr>
    <w:r w:rsidRPr="003C6D1D">
      <w:rPr>
        <w:color w:val="767171" w:themeColor="background2" w:themeShade="80"/>
      </w:rPr>
      <w:t xml:space="preserve">Integration of </w:t>
    </w:r>
    <w:r>
      <w:rPr>
        <w:color w:val="767171" w:themeColor="background2" w:themeShade="80"/>
      </w:rPr>
      <w:t xml:space="preserve">WordPress </w:t>
    </w:r>
    <w:r w:rsidRPr="003C6D1D">
      <w:rPr>
        <w:color w:val="767171" w:themeColor="background2" w:themeShade="80"/>
      </w:rPr>
      <w:t xml:space="preserve">with </w:t>
    </w:r>
    <w:proofErr w:type="spellStart"/>
    <w:r w:rsidRPr="003C6D1D">
      <w:rPr>
        <w:color w:val="767171" w:themeColor="background2" w:themeShade="80"/>
      </w:rPr>
      <w:t>DoubleClue</w:t>
    </w:r>
    <w:proofErr w:type="spellEnd"/>
    <w:r>
      <w:rPr>
        <w:color w:val="767171" w:themeColor="background2" w:themeShade="80"/>
      </w:rPr>
      <w:t xml:space="preserve"> using OpenID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059F"/>
    <w:multiLevelType w:val="hybridMultilevel"/>
    <w:tmpl w:val="E83858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36C3"/>
    <w:multiLevelType w:val="multilevel"/>
    <w:tmpl w:val="151292B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b w:val="0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FD68D6"/>
    <w:multiLevelType w:val="hybridMultilevel"/>
    <w:tmpl w:val="90B85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F86"/>
    <w:multiLevelType w:val="hybridMultilevel"/>
    <w:tmpl w:val="157ED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37B7D"/>
    <w:multiLevelType w:val="multilevel"/>
    <w:tmpl w:val="151292B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b w:val="0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851F37"/>
    <w:multiLevelType w:val="hybridMultilevel"/>
    <w:tmpl w:val="5EE4CD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C1FB5"/>
    <w:multiLevelType w:val="hybridMultilevel"/>
    <w:tmpl w:val="862CE2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64067"/>
    <w:multiLevelType w:val="hybridMultilevel"/>
    <w:tmpl w:val="E83858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52215"/>
    <w:multiLevelType w:val="hybridMultilevel"/>
    <w:tmpl w:val="658AD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12"/>
  </w:num>
  <w:num w:numId="7">
    <w:abstractNumId w:val="2"/>
  </w:num>
  <w:num w:numId="8">
    <w:abstractNumId w:val="4"/>
  </w:num>
  <w:num w:numId="9">
    <w:abstractNumId w:val="10"/>
  </w:num>
  <w:num w:numId="10">
    <w:abstractNumId w:val="13"/>
  </w:num>
  <w:num w:numId="11">
    <w:abstractNumId w:val="8"/>
  </w:num>
  <w:num w:numId="12">
    <w:abstractNumId w:val="11"/>
  </w:num>
  <w:num w:numId="13">
    <w:abstractNumId w:val="7"/>
  </w:num>
  <w:num w:numId="14">
    <w:abstractNumId w:val="1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F03"/>
    <w:rsid w:val="000567FF"/>
    <w:rsid w:val="000861D4"/>
    <w:rsid w:val="000B6398"/>
    <w:rsid w:val="000C42E8"/>
    <w:rsid w:val="000E3A12"/>
    <w:rsid w:val="001443D8"/>
    <w:rsid w:val="0018617F"/>
    <w:rsid w:val="001E454E"/>
    <w:rsid w:val="001F36B6"/>
    <w:rsid w:val="002176C1"/>
    <w:rsid w:val="00223DDA"/>
    <w:rsid w:val="00265492"/>
    <w:rsid w:val="002A064D"/>
    <w:rsid w:val="002B2645"/>
    <w:rsid w:val="0032631E"/>
    <w:rsid w:val="003700DE"/>
    <w:rsid w:val="00394F4A"/>
    <w:rsid w:val="003C6D1D"/>
    <w:rsid w:val="003F288E"/>
    <w:rsid w:val="00411A24"/>
    <w:rsid w:val="00464AB3"/>
    <w:rsid w:val="00477342"/>
    <w:rsid w:val="00491320"/>
    <w:rsid w:val="004B02D5"/>
    <w:rsid w:val="004F7515"/>
    <w:rsid w:val="0050692C"/>
    <w:rsid w:val="00512945"/>
    <w:rsid w:val="00544CAA"/>
    <w:rsid w:val="0057654E"/>
    <w:rsid w:val="00586285"/>
    <w:rsid w:val="005A049F"/>
    <w:rsid w:val="005E2302"/>
    <w:rsid w:val="005F65F3"/>
    <w:rsid w:val="00603DD6"/>
    <w:rsid w:val="006054C4"/>
    <w:rsid w:val="006245FF"/>
    <w:rsid w:val="00631543"/>
    <w:rsid w:val="0065237D"/>
    <w:rsid w:val="00675E65"/>
    <w:rsid w:val="006A557D"/>
    <w:rsid w:val="006B18AE"/>
    <w:rsid w:val="006B54CA"/>
    <w:rsid w:val="00706BEC"/>
    <w:rsid w:val="007320D0"/>
    <w:rsid w:val="00795C83"/>
    <w:rsid w:val="007F3727"/>
    <w:rsid w:val="007F6EAC"/>
    <w:rsid w:val="0080752F"/>
    <w:rsid w:val="008236B6"/>
    <w:rsid w:val="008334E1"/>
    <w:rsid w:val="00895DA4"/>
    <w:rsid w:val="008964ED"/>
    <w:rsid w:val="008B00DB"/>
    <w:rsid w:val="008B1FC4"/>
    <w:rsid w:val="008C070C"/>
    <w:rsid w:val="008C36F9"/>
    <w:rsid w:val="008F1F10"/>
    <w:rsid w:val="008F7930"/>
    <w:rsid w:val="00903F03"/>
    <w:rsid w:val="00927EC8"/>
    <w:rsid w:val="00956931"/>
    <w:rsid w:val="0096380E"/>
    <w:rsid w:val="0097145A"/>
    <w:rsid w:val="00991AA5"/>
    <w:rsid w:val="009C2D5E"/>
    <w:rsid w:val="009E6CC1"/>
    <w:rsid w:val="00A01CEC"/>
    <w:rsid w:val="00A46405"/>
    <w:rsid w:val="00A728B8"/>
    <w:rsid w:val="00A83384"/>
    <w:rsid w:val="00A96A4D"/>
    <w:rsid w:val="00AB1112"/>
    <w:rsid w:val="00B150FC"/>
    <w:rsid w:val="00B34CCA"/>
    <w:rsid w:val="00B7109E"/>
    <w:rsid w:val="00BC10DF"/>
    <w:rsid w:val="00BD4110"/>
    <w:rsid w:val="00C01088"/>
    <w:rsid w:val="00C04E5D"/>
    <w:rsid w:val="00C1298D"/>
    <w:rsid w:val="00C20532"/>
    <w:rsid w:val="00C24AEC"/>
    <w:rsid w:val="00C30702"/>
    <w:rsid w:val="00C65F35"/>
    <w:rsid w:val="00C67035"/>
    <w:rsid w:val="00C93972"/>
    <w:rsid w:val="00CF2474"/>
    <w:rsid w:val="00D12904"/>
    <w:rsid w:val="00D227A6"/>
    <w:rsid w:val="00D45603"/>
    <w:rsid w:val="00D67CCB"/>
    <w:rsid w:val="00D95DA4"/>
    <w:rsid w:val="00DB3087"/>
    <w:rsid w:val="00DC02DA"/>
    <w:rsid w:val="00DE6E83"/>
    <w:rsid w:val="00DF678F"/>
    <w:rsid w:val="00E03D44"/>
    <w:rsid w:val="00E206A8"/>
    <w:rsid w:val="00E33092"/>
    <w:rsid w:val="00EB128B"/>
    <w:rsid w:val="00ED2BFF"/>
    <w:rsid w:val="00F6329C"/>
    <w:rsid w:val="00FB0B6E"/>
    <w:rsid w:val="00FB0C18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435C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1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010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176C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176C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176C1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3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ordpress.org/plugins/miniorange-login-with-eve-online-google-facebook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ordpress.org/plugins/miniorange-login-with-eve-online-google-facebook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ubleclue.com/wp-content/uploads/DCEM_Manual_EN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ubleclue.com/wp-content/uploads/DCEM_Manual_EN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292E-798B-4A0B-973C-DE05D70D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11</cp:revision>
  <dcterms:created xsi:type="dcterms:W3CDTF">2019-01-18T08:37:00Z</dcterms:created>
  <dcterms:modified xsi:type="dcterms:W3CDTF">2021-05-14T12:18:00Z</dcterms:modified>
</cp:coreProperties>
</file>