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F773B" w14:textId="204CBBD4" w:rsidR="00C20532" w:rsidRDefault="00A24FAB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8480" behindDoc="0" locked="0" layoutInCell="1" allowOverlap="1" wp14:anchorId="45D8AEF2" wp14:editId="71372F5E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DBBDF" w14:textId="77777777" w:rsidR="00C20532" w:rsidRPr="00C20532" w:rsidRDefault="00C20532" w:rsidP="00C20532">
      <w:pPr>
        <w:pStyle w:val="KeinLeerraum"/>
      </w:pPr>
    </w:p>
    <w:p w14:paraId="1CF924ED" w14:textId="1BE3009A" w:rsidR="00E436DF" w:rsidRDefault="001B64AA" w:rsidP="00C20532">
      <w:pPr>
        <w:pStyle w:val="Titel"/>
        <w:jc w:val="center"/>
      </w:pPr>
      <w:r>
        <w:t>Integrating</w:t>
      </w:r>
      <w:r w:rsidR="00903F03" w:rsidRPr="00903F03">
        <w:t xml:space="preserve"> </w:t>
      </w:r>
      <w:r w:rsidR="005110CD">
        <w:t>AD</w:t>
      </w:r>
      <w:r w:rsidR="00D96D89">
        <w:t>FS</w:t>
      </w:r>
      <w:r w:rsidR="003D3C22">
        <w:t>/Office 365</w:t>
      </w:r>
    </w:p>
    <w:p w14:paraId="112D1EA6" w14:textId="60AAA7BC" w:rsidR="00A46405" w:rsidRPr="00903F03" w:rsidRDefault="00D96D89" w:rsidP="00C20532">
      <w:pPr>
        <w:pStyle w:val="Titel"/>
        <w:jc w:val="center"/>
      </w:pPr>
      <w:proofErr w:type="gramStart"/>
      <w:r>
        <w:t>with</w:t>
      </w:r>
      <w:proofErr w:type="gramEnd"/>
      <w:r w:rsidR="00903F03" w:rsidRPr="00903F03">
        <w:t xml:space="preserve"> </w:t>
      </w:r>
      <w:proofErr w:type="spellStart"/>
      <w:r w:rsidR="00903F03" w:rsidRPr="00903F03">
        <w:t>Doub</w:t>
      </w:r>
      <w:r w:rsidR="00903F03">
        <w:t>l</w:t>
      </w:r>
      <w:r w:rsidR="00903F03" w:rsidRPr="00903F03">
        <w:t>eClue</w:t>
      </w:r>
      <w:proofErr w:type="spellEnd"/>
      <w:r w:rsidR="00E436DF">
        <w:t xml:space="preserve"> </w:t>
      </w:r>
      <w:r w:rsidR="001B64AA">
        <w:t>via SAML</w:t>
      </w:r>
    </w:p>
    <w:p w14:paraId="200C03D2" w14:textId="0D2F103E" w:rsidR="00AE1A5D" w:rsidRDefault="00AE1A5D" w:rsidP="00903F03">
      <w:r w:rsidRPr="00DD4656">
        <w:rPr>
          <w:noProof/>
          <w:color w:val="0C468B"/>
          <w:lang w:val="de-DE" w:eastAsia="de-DE"/>
        </w:rPr>
        <w:drawing>
          <wp:anchor distT="0" distB="0" distL="114300" distR="114300" simplePos="0" relativeHeight="251665408" behindDoc="0" locked="0" layoutInCell="1" allowOverlap="1" wp14:anchorId="30ABE1BC" wp14:editId="626708F9">
            <wp:simplePos x="0" y="0"/>
            <wp:positionH relativeFrom="column">
              <wp:posOffset>4429125</wp:posOffset>
            </wp:positionH>
            <wp:positionV relativeFrom="paragraph">
              <wp:posOffset>232410</wp:posOffset>
            </wp:positionV>
            <wp:extent cx="1304925" cy="593090"/>
            <wp:effectExtent l="0" t="0" r="9525" b="0"/>
            <wp:wrapThrough wrapText="bothSides">
              <wp:wrapPolygon edited="0">
                <wp:start x="0" y="0"/>
                <wp:lineTo x="0" y="11101"/>
                <wp:lineTo x="4415" y="13182"/>
                <wp:lineTo x="4415" y="20814"/>
                <wp:lineTo x="19550" y="20814"/>
                <wp:lineTo x="19866" y="15263"/>
                <wp:lineTo x="16082" y="11101"/>
                <wp:lineTo x="21442" y="9019"/>
                <wp:lineTo x="21442" y="1388"/>
                <wp:lineTo x="5045" y="0"/>
                <wp:lineTo x="0" y="0"/>
              </wp:wrapPolygon>
            </wp:wrapThrough>
            <wp:docPr id="3" name="Grafik 3" descr="C:\Users\maike.behnsen\Documents\DoubleClue\Logos\Externe Logos\Logo_Microsoft_A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ocuments\DoubleClue\Logos\Externe Logos\Logo_Microsoft_ADF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1538" w14:textId="77777777" w:rsidR="00AE1A5D" w:rsidRDefault="00AE1A5D" w:rsidP="00903F03"/>
    <w:p w14:paraId="0AFD8878" w14:textId="3E6393EF" w:rsidR="00903F03" w:rsidRDefault="00903F03" w:rsidP="00903F03"/>
    <w:p w14:paraId="3B6925FB" w14:textId="15F0DC46" w:rsidR="00903F03" w:rsidRPr="00C20532" w:rsidRDefault="00903F03" w:rsidP="00DD4656">
      <w:pPr>
        <w:pStyle w:val="berschrift1"/>
        <w:numPr>
          <w:ilvl w:val="0"/>
          <w:numId w:val="1"/>
        </w:numPr>
        <w:rPr>
          <w:color w:val="0C468B"/>
        </w:rPr>
      </w:pPr>
      <w:r w:rsidRPr="00241C02">
        <w:rPr>
          <w:color w:val="005078"/>
        </w:rPr>
        <w:t>Introduction</w:t>
      </w:r>
    </w:p>
    <w:p w14:paraId="4BE2E57A" w14:textId="1627EBEC" w:rsidR="00903F03" w:rsidRDefault="00903F03" w:rsidP="00903F03"/>
    <w:p w14:paraId="769B8CB3" w14:textId="794E51FD" w:rsidR="003D3C22" w:rsidRDefault="003D3C22" w:rsidP="00B379A9">
      <w:r w:rsidRPr="003D3C22">
        <w:t xml:space="preserve">This guide provides the instructions of how to configure </w:t>
      </w:r>
      <w:r w:rsidR="00EC5BFE">
        <w:t xml:space="preserve">Microsoft </w:t>
      </w:r>
      <w:r w:rsidRPr="003D3C22">
        <w:t>A</w:t>
      </w:r>
      <w:r w:rsidR="00EC5BFE">
        <w:t xml:space="preserve">ctive Directory </w:t>
      </w:r>
      <w:r w:rsidRPr="003D3C22">
        <w:t>F</w:t>
      </w:r>
      <w:r w:rsidR="00EC5BFE">
        <w:t xml:space="preserve">ederation </w:t>
      </w:r>
      <w:r w:rsidRPr="003D3C22">
        <w:t>S</w:t>
      </w:r>
      <w:r w:rsidR="00EC5BFE">
        <w:t>ervices (ADFS)</w:t>
      </w:r>
      <w:r w:rsidRPr="003D3C22">
        <w:t xml:space="preserve"> server and </w:t>
      </w:r>
      <w:proofErr w:type="spellStart"/>
      <w:r>
        <w:t>DoubleClue</w:t>
      </w:r>
      <w:proofErr w:type="spellEnd"/>
      <w:r w:rsidRPr="003D3C22">
        <w:t xml:space="preserve"> </w:t>
      </w:r>
      <w:r w:rsidR="00574F86">
        <w:t>Enterprise Management</w:t>
      </w:r>
      <w:r w:rsidR="00A035F5">
        <w:t xml:space="preserve"> (DCEM),</w:t>
      </w:r>
      <w:r w:rsidRPr="003D3C22">
        <w:t xml:space="preserve"> so that </w:t>
      </w:r>
      <w:r>
        <w:t>ADFS Applications</w:t>
      </w:r>
      <w:r w:rsidR="00EC5BFE">
        <w:t>,</w:t>
      </w:r>
      <w:r>
        <w:t xml:space="preserve"> like </w:t>
      </w:r>
      <w:r w:rsidRPr="003D3C22">
        <w:t>Office 365</w:t>
      </w:r>
      <w:r w:rsidR="00EC5BFE">
        <w:t>,</w:t>
      </w:r>
      <w:r w:rsidRPr="003D3C22">
        <w:t xml:space="preserve"> use </w:t>
      </w:r>
      <w:proofErr w:type="spellStart"/>
      <w:r w:rsidR="00EC5BFE">
        <w:t>DoubleClue</w:t>
      </w:r>
      <w:proofErr w:type="spellEnd"/>
      <w:r w:rsidR="00EC5BFE">
        <w:t xml:space="preserve"> multi-factor authentication (MFA)</w:t>
      </w:r>
      <w:r w:rsidRPr="003D3C22">
        <w:t>.</w:t>
      </w:r>
      <w:r w:rsidR="00A035F5">
        <w:t xml:space="preserve"> This can be achieved by using the Security Assertion </w:t>
      </w:r>
      <w:proofErr w:type="spellStart"/>
      <w:r w:rsidR="00A035F5">
        <w:t>Markup</w:t>
      </w:r>
      <w:proofErr w:type="spellEnd"/>
      <w:r w:rsidR="00A035F5">
        <w:t xml:space="preserve"> Language (SAML) XML framework.</w:t>
      </w:r>
    </w:p>
    <w:p w14:paraId="64D1A43B" w14:textId="194B97C3" w:rsidR="003D3C22" w:rsidRPr="002E087C" w:rsidRDefault="00903F03" w:rsidP="00B379A9">
      <w:r w:rsidRPr="00074E66">
        <w:rPr>
          <w:u w:val="single"/>
        </w:rPr>
        <w:t>Requirements</w:t>
      </w:r>
      <w:r w:rsidRPr="002E087C">
        <w:t>:</w:t>
      </w:r>
    </w:p>
    <w:p w14:paraId="2BAFCCD3" w14:textId="224003F0" w:rsidR="00903F03" w:rsidRDefault="00D96D89" w:rsidP="00B379A9">
      <w:pPr>
        <w:pStyle w:val="Listenabsatz"/>
        <w:numPr>
          <w:ilvl w:val="0"/>
          <w:numId w:val="18"/>
        </w:numPr>
      </w:pPr>
      <w:r>
        <w:t xml:space="preserve">Installation of </w:t>
      </w:r>
      <w:r w:rsidR="005110CD" w:rsidRPr="002E087C">
        <w:t>AD</w:t>
      </w:r>
      <w:r w:rsidRPr="002E087C">
        <w:t>FS</w:t>
      </w:r>
      <w:r w:rsidR="00433FD7" w:rsidRPr="002E087C">
        <w:t xml:space="preserve"> </w:t>
      </w:r>
      <w:r w:rsidR="003D3C22">
        <w:t>3.0+</w:t>
      </w:r>
      <w:r>
        <w:t>.</w:t>
      </w:r>
    </w:p>
    <w:p w14:paraId="58339FEC" w14:textId="7DEA222E" w:rsidR="008139C1" w:rsidRDefault="00903F03" w:rsidP="00B379A9">
      <w:pPr>
        <w:pStyle w:val="Listenabsatz"/>
        <w:numPr>
          <w:ilvl w:val="0"/>
          <w:numId w:val="18"/>
        </w:numPr>
      </w:pPr>
      <w:r w:rsidRPr="00B379A9">
        <w:t xml:space="preserve">DCEM </w:t>
      </w:r>
      <w:r w:rsidR="003D3C22">
        <w:t>2.2.1+</w:t>
      </w:r>
    </w:p>
    <w:p w14:paraId="110681AF" w14:textId="77777777" w:rsidR="00EC5BFE" w:rsidRDefault="00EC5BFE" w:rsidP="00EC5BFE">
      <w:pPr>
        <w:pStyle w:val="Listenabsatz"/>
      </w:pPr>
    </w:p>
    <w:p w14:paraId="379003EC" w14:textId="391A5110" w:rsidR="00B379A9" w:rsidRDefault="003D3C22" w:rsidP="003D3C22">
      <w:pPr>
        <w:pStyle w:val="berschrift1"/>
        <w:numPr>
          <w:ilvl w:val="0"/>
          <w:numId w:val="1"/>
        </w:numPr>
        <w:rPr>
          <w:color w:val="005078"/>
        </w:rPr>
      </w:pPr>
      <w:r w:rsidRPr="003D3C22">
        <w:rPr>
          <w:color w:val="005078"/>
        </w:rPr>
        <w:t>Scenario</w:t>
      </w:r>
    </w:p>
    <w:p w14:paraId="41A4A828" w14:textId="77777777" w:rsidR="00EC5BFE" w:rsidRPr="00EC5BFE" w:rsidRDefault="00EC5BFE" w:rsidP="00EC5BFE"/>
    <w:p w14:paraId="47ACC15D" w14:textId="24C3008C" w:rsidR="00BB32E0" w:rsidRDefault="00BB32E0" w:rsidP="00BB32E0">
      <w:pPr>
        <w:pStyle w:val="Listenabsatz"/>
        <w:numPr>
          <w:ilvl w:val="0"/>
          <w:numId w:val="23"/>
        </w:numPr>
      </w:pPr>
      <w:r>
        <w:rPr>
          <w:noProof/>
        </w:rPr>
        <w:t xml:space="preserve">Users connect to </w:t>
      </w:r>
      <w:r>
        <w:t xml:space="preserve">Applications such as Office 365 </w:t>
      </w:r>
      <w:r w:rsidR="00574F86">
        <w:t>or Web-</w:t>
      </w:r>
      <w:proofErr w:type="spellStart"/>
      <w:r w:rsidR="00574F86">
        <w:t>OutLook</w:t>
      </w:r>
      <w:proofErr w:type="spellEnd"/>
      <w:r w:rsidR="00574F86">
        <w:t xml:space="preserve"> </w:t>
      </w:r>
      <w:r w:rsidR="002F4BB5">
        <w:t>via</w:t>
      </w:r>
      <w:r>
        <w:t xml:space="preserve"> ADFS</w:t>
      </w:r>
    </w:p>
    <w:p w14:paraId="52103870" w14:textId="05D9C629" w:rsidR="00BB32E0" w:rsidRDefault="00BB32E0" w:rsidP="00BB32E0">
      <w:pPr>
        <w:pStyle w:val="Listenabsatz"/>
        <w:numPr>
          <w:ilvl w:val="0"/>
          <w:numId w:val="23"/>
        </w:numPr>
      </w:pPr>
      <w:r>
        <w:t>ADFS acts as a SAML Service Provider (SP)</w:t>
      </w:r>
    </w:p>
    <w:p w14:paraId="460836FC" w14:textId="41735028" w:rsidR="003D3C22" w:rsidRDefault="00AD7D19" w:rsidP="00B379A9">
      <w:pPr>
        <w:pStyle w:val="Listenabsatz"/>
        <w:numPr>
          <w:ilvl w:val="0"/>
          <w:numId w:val="23"/>
        </w:numPr>
      </w:pPr>
      <w:r>
        <w:t>DoubleClue acts as a SAML Identity Provider (</w:t>
      </w:r>
      <w:proofErr w:type="spellStart"/>
      <w:r w:rsidR="00BB32E0">
        <w:t>Idp</w:t>
      </w:r>
      <w:proofErr w:type="spellEnd"/>
      <w:r>
        <w:t>)</w:t>
      </w:r>
    </w:p>
    <w:p w14:paraId="7FD6E73E" w14:textId="59B2BF02" w:rsidR="00BB32E0" w:rsidRDefault="00A035F5" w:rsidP="00B379A9">
      <w:pPr>
        <w:pStyle w:val="Listenabsatz"/>
        <w:numPr>
          <w:ilvl w:val="0"/>
          <w:numId w:val="23"/>
        </w:numPr>
      </w:pPr>
      <w:proofErr w:type="spellStart"/>
      <w:r>
        <w:t>DoubleClue</w:t>
      </w:r>
      <w:proofErr w:type="spellEnd"/>
      <w:r>
        <w:t xml:space="preserve"> retrieves credentials</w:t>
      </w:r>
      <w:r w:rsidR="00BB32E0">
        <w:t xml:space="preserve"> form </w:t>
      </w:r>
      <w:r w:rsidR="002F4BB5">
        <w:t xml:space="preserve">an </w:t>
      </w:r>
      <w:r w:rsidR="00BB32E0">
        <w:t>internal Database</w:t>
      </w:r>
      <w:r w:rsidR="00574F86">
        <w:t>,</w:t>
      </w:r>
      <w:r w:rsidR="002F4BB5">
        <w:t xml:space="preserve"> Active Director</w:t>
      </w:r>
      <w:r w:rsidR="00BB32E0">
        <w:t>y or</w:t>
      </w:r>
      <w:r w:rsidR="002F4BB5">
        <w:t xml:space="preserve"> </w:t>
      </w:r>
      <w:r w:rsidR="00BB32E0">
        <w:t>Azure</w:t>
      </w:r>
      <w:r w:rsidR="00574F86">
        <w:t xml:space="preserve"> AD</w:t>
      </w:r>
      <w:r w:rsidR="007255DD">
        <w:br/>
      </w:r>
    </w:p>
    <w:p w14:paraId="5D5047BD" w14:textId="443EE3E0" w:rsidR="00C67035" w:rsidRPr="00C20532" w:rsidRDefault="00A11095" w:rsidP="00C67035">
      <w:pPr>
        <w:pStyle w:val="berschrift1"/>
        <w:numPr>
          <w:ilvl w:val="0"/>
          <w:numId w:val="1"/>
        </w:numPr>
        <w:rPr>
          <w:color w:val="0C468B"/>
        </w:rPr>
      </w:pPr>
      <w:r>
        <w:rPr>
          <w:color w:val="005078"/>
        </w:rPr>
        <w:t>Configuring</w:t>
      </w:r>
      <w:r w:rsidR="00C67035" w:rsidRPr="00241C02">
        <w:rPr>
          <w:color w:val="005078"/>
        </w:rPr>
        <w:t xml:space="preserve"> </w:t>
      </w:r>
      <w:r>
        <w:rPr>
          <w:color w:val="005078"/>
        </w:rPr>
        <w:t>DCEM</w:t>
      </w:r>
      <w:r w:rsidR="00BB32E0">
        <w:rPr>
          <w:color w:val="005078"/>
        </w:rPr>
        <w:t xml:space="preserve"> for ADFS</w:t>
      </w:r>
    </w:p>
    <w:p w14:paraId="6BDD0B94" w14:textId="25F132AE" w:rsidR="00C67035" w:rsidRDefault="00C67035" w:rsidP="00C67035"/>
    <w:p w14:paraId="313200F3" w14:textId="2B5EC9B9" w:rsidR="00BB32E0" w:rsidRDefault="00A11095" w:rsidP="00DB5F04">
      <w:pPr>
        <w:pStyle w:val="Listenabsatz"/>
        <w:numPr>
          <w:ilvl w:val="0"/>
          <w:numId w:val="24"/>
        </w:numPr>
      </w:pPr>
      <w:r>
        <w:t xml:space="preserve">Download the ADFS </w:t>
      </w:r>
      <w:proofErr w:type="gramStart"/>
      <w:r>
        <w:t>meta</w:t>
      </w:r>
      <w:proofErr w:type="gramEnd"/>
      <w:r>
        <w:t xml:space="preserve"> data. Go </w:t>
      </w:r>
      <w:proofErr w:type="gramStart"/>
      <w:r>
        <w:t>to</w:t>
      </w:r>
      <w:r w:rsidR="00BB32E0">
        <w:t>:</w:t>
      </w:r>
      <w:proofErr w:type="gramEnd"/>
      <w:r w:rsidR="00BB32E0">
        <w:t xml:space="preserve"> </w:t>
      </w:r>
      <w:r w:rsidR="00BB32E0">
        <w:br/>
      </w:r>
      <w:r w:rsidR="00BB32E0">
        <w:br/>
      </w:r>
      <w:hyperlink r:id="rId9" w:history="1">
        <w:r w:rsidR="00BB32E0" w:rsidRPr="00BB32E0">
          <w:rPr>
            <w:rStyle w:val="Hyperlink"/>
            <w:b/>
            <w:bCs/>
          </w:rPr>
          <w:t>https://</w:t>
        </w:r>
        <w:r w:rsidR="00BB32E0" w:rsidRPr="00BB32E0">
          <w:rPr>
            <w:rStyle w:val="Hyperlink"/>
            <w:b/>
            <w:bCs/>
            <w:i/>
            <w:iCs/>
          </w:rPr>
          <w:t>your-adfs-address</w:t>
        </w:r>
        <w:r w:rsidR="00BB32E0" w:rsidRPr="00BB32E0">
          <w:rPr>
            <w:rStyle w:val="Hyperlink"/>
            <w:b/>
            <w:bCs/>
          </w:rPr>
          <w:t>/FederationMetadata/2007-06/FederationMetadata.xml</w:t>
        </w:r>
      </w:hyperlink>
      <w:r w:rsidR="00BB32E0">
        <w:br/>
      </w:r>
      <w:r w:rsidR="00BB32E0">
        <w:br/>
        <w:t>Replace "</w:t>
      </w:r>
      <w:r w:rsidR="00BB32E0" w:rsidRPr="00574F86">
        <w:rPr>
          <w:i/>
          <w:iCs/>
        </w:rPr>
        <w:t>your-</w:t>
      </w:r>
      <w:proofErr w:type="spellStart"/>
      <w:r w:rsidR="00BB32E0" w:rsidRPr="00574F86">
        <w:rPr>
          <w:i/>
          <w:iCs/>
        </w:rPr>
        <w:t>adfs</w:t>
      </w:r>
      <w:proofErr w:type="spellEnd"/>
      <w:r w:rsidR="00BB32E0" w:rsidRPr="00574F86">
        <w:rPr>
          <w:i/>
          <w:iCs/>
        </w:rPr>
        <w:t>-address</w:t>
      </w:r>
      <w:r w:rsidR="00BB32E0">
        <w:t xml:space="preserve">" with the address of your ADFS server, </w:t>
      </w:r>
      <w:proofErr w:type="spellStart"/>
      <w:r w:rsidR="00BB32E0">
        <w:t>e.g</w:t>
      </w:r>
      <w:proofErr w:type="spellEnd"/>
      <w:r w:rsidR="00BB32E0">
        <w:t>: adfs.</w:t>
      </w:r>
      <w:r w:rsidR="00574F86">
        <w:t>hws-group.de</w:t>
      </w:r>
      <w:r>
        <w:t>. The store the metadata file on your machine.</w:t>
      </w:r>
      <w:r w:rsidR="001B64AA">
        <w:br/>
      </w:r>
    </w:p>
    <w:p w14:paraId="3245C852" w14:textId="340D1862" w:rsidR="00A11095" w:rsidRDefault="00BB32E0" w:rsidP="00A11095">
      <w:pPr>
        <w:pStyle w:val="Listenabsatz"/>
        <w:numPr>
          <w:ilvl w:val="0"/>
          <w:numId w:val="24"/>
        </w:numPr>
      </w:pPr>
      <w:r>
        <w:t>Log</w:t>
      </w:r>
      <w:r w:rsidR="00A11095">
        <w:t xml:space="preserve"> </w:t>
      </w:r>
      <w:r>
        <w:t>in to</w:t>
      </w:r>
      <w:r w:rsidR="00A11095">
        <w:t xml:space="preserve"> </w:t>
      </w:r>
      <w:proofErr w:type="gramStart"/>
      <w:r w:rsidR="00A11095">
        <w:t xml:space="preserve">DCEM and navigate </w:t>
      </w:r>
      <w:r>
        <w:t>to</w:t>
      </w:r>
      <w:r w:rsidR="00A11095">
        <w:t xml:space="preserve"> the main menu point</w:t>
      </w:r>
      <w:r>
        <w:t xml:space="preserve"> “SAML”</w:t>
      </w:r>
      <w:proofErr w:type="gramEnd"/>
      <w:r>
        <w:t xml:space="preserve"> and </w:t>
      </w:r>
      <w:r w:rsidR="001B64AA">
        <w:t>choose</w:t>
      </w:r>
      <w:r w:rsidR="00A11095">
        <w:t xml:space="preserve"> “Service Providers”.</w:t>
      </w:r>
    </w:p>
    <w:p w14:paraId="02E285FE" w14:textId="77777777" w:rsidR="00A11095" w:rsidRDefault="00A11095" w:rsidP="00A11095">
      <w:pPr>
        <w:pStyle w:val="Listenabsatz"/>
      </w:pPr>
    </w:p>
    <w:p w14:paraId="10EFCBF8" w14:textId="77777777" w:rsidR="001B64AA" w:rsidRDefault="00A11095" w:rsidP="00A11095">
      <w:pPr>
        <w:pStyle w:val="Listenabsatz"/>
        <w:numPr>
          <w:ilvl w:val="0"/>
          <w:numId w:val="24"/>
        </w:numPr>
      </w:pPr>
      <w:r>
        <w:t>Add a new Service Provider and choose a custom template.</w:t>
      </w:r>
    </w:p>
    <w:p w14:paraId="39C6C91B" w14:textId="3A4F92AF" w:rsidR="007255DD" w:rsidRDefault="00424648" w:rsidP="00424648">
      <w:pPr>
        <w:pStyle w:val="Listenabsatz"/>
        <w:numPr>
          <w:ilvl w:val="0"/>
          <w:numId w:val="24"/>
        </w:num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9504" behindDoc="0" locked="0" layoutInCell="1" allowOverlap="1" wp14:anchorId="222795DF" wp14:editId="08EBDFC7">
            <wp:simplePos x="0" y="0"/>
            <wp:positionH relativeFrom="column">
              <wp:posOffset>-19050</wp:posOffset>
            </wp:positionH>
            <wp:positionV relativeFrom="paragraph">
              <wp:posOffset>402590</wp:posOffset>
            </wp:positionV>
            <wp:extent cx="5731510" cy="4931410"/>
            <wp:effectExtent l="0" t="0" r="2540" b="254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Choose a display </w:t>
      </w:r>
      <w:proofErr w:type="gramStart"/>
      <w:r>
        <w:t>name and click on “Upload” in the XML tab</w:t>
      </w:r>
      <w:proofErr w:type="gramEnd"/>
      <w:r>
        <w:t xml:space="preserve"> and choose the file you downloaded in step 1. The content </w:t>
      </w:r>
      <w:proofErr w:type="gramStart"/>
      <w:r>
        <w:t>will then be automatically displayed</w:t>
      </w:r>
      <w:proofErr w:type="gramEnd"/>
      <w:r>
        <w:t xml:space="preserve"> in the field below.</w:t>
      </w:r>
    </w:p>
    <w:p w14:paraId="5C501F04" w14:textId="77777777" w:rsidR="00424648" w:rsidRDefault="00424648" w:rsidP="00424648">
      <w:pPr>
        <w:pStyle w:val="Listenabsatz"/>
      </w:pPr>
    </w:p>
    <w:p w14:paraId="39BD0D32" w14:textId="56502960" w:rsidR="00FF3ECB" w:rsidRDefault="001B64AA" w:rsidP="00FF3ECB">
      <w:pPr>
        <w:pStyle w:val="Listenabsatz"/>
        <w:numPr>
          <w:ilvl w:val="0"/>
          <w:numId w:val="24"/>
        </w:numPr>
      </w:pPr>
      <w:r>
        <w:t>Save the configuration and close the dialog by clicking on “OK”.</w:t>
      </w:r>
    </w:p>
    <w:p w14:paraId="21F34B70" w14:textId="6995FB37" w:rsidR="00FF3ECB" w:rsidRDefault="00FF3ECB" w:rsidP="00FF3ECB"/>
    <w:p w14:paraId="07179EA9" w14:textId="3250B6D0" w:rsidR="00157DCA" w:rsidRDefault="007255DD" w:rsidP="007255DD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>ADFS Configuration</w:t>
      </w:r>
    </w:p>
    <w:p w14:paraId="6EF443E7" w14:textId="6FB2CDE2" w:rsidR="00FF3ECB" w:rsidRDefault="00FF3ECB" w:rsidP="00FF3ECB"/>
    <w:p w14:paraId="4EE7442A" w14:textId="7603D0CE" w:rsidR="00FF3ECB" w:rsidRDefault="00424648" w:rsidP="00FF3ECB">
      <w:pPr>
        <w:pStyle w:val="Listenabsatz"/>
        <w:numPr>
          <w:ilvl w:val="0"/>
          <w:numId w:val="28"/>
        </w:numPr>
      </w:pPr>
      <w:r>
        <w:t>Log into DCEM,</w:t>
      </w:r>
      <w:r w:rsidR="00FF3ECB">
        <w:t xml:space="preserve"> go to the main menu point “SAML” and choose “Service Providers”. </w:t>
      </w:r>
    </w:p>
    <w:p w14:paraId="7B63CD34" w14:textId="77777777" w:rsidR="00FF3ECB" w:rsidRDefault="00FF3ECB" w:rsidP="00FF3ECB">
      <w:pPr>
        <w:pStyle w:val="Listenabsatz"/>
      </w:pPr>
    </w:p>
    <w:p w14:paraId="78DD62D3" w14:textId="7711606F" w:rsidR="00FF3ECB" w:rsidRDefault="002F63D3" w:rsidP="002F63D3">
      <w:pPr>
        <w:pStyle w:val="Listenabsatz"/>
        <w:jc w:val="center"/>
      </w:pPr>
      <w:r>
        <w:rPr>
          <w:noProof/>
          <w:lang w:val="de-DE" w:eastAsia="de-DE"/>
        </w:rPr>
        <w:drawing>
          <wp:inline distT="0" distB="0" distL="0" distR="0" wp14:anchorId="70AD8D04" wp14:editId="3ECFF08A">
            <wp:extent cx="3895725" cy="16591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008" cy="16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E83" w14:textId="77777777" w:rsidR="00FF3ECB" w:rsidRDefault="00FF3ECB" w:rsidP="00FF3ECB">
      <w:pPr>
        <w:pStyle w:val="Listenabsatz"/>
      </w:pPr>
    </w:p>
    <w:p w14:paraId="1D01392B" w14:textId="29CFED3C" w:rsidR="00FF3ECB" w:rsidRDefault="00FF3ECB" w:rsidP="00FF3ECB">
      <w:pPr>
        <w:pStyle w:val="Listenabsatz"/>
        <w:numPr>
          <w:ilvl w:val="0"/>
          <w:numId w:val="28"/>
        </w:numPr>
      </w:pPr>
      <w:r>
        <w:t xml:space="preserve">Click on “Download </w:t>
      </w:r>
      <w:proofErr w:type="spellStart"/>
      <w:proofErr w:type="gramStart"/>
      <w:r>
        <w:t>IdP</w:t>
      </w:r>
      <w:proofErr w:type="spellEnd"/>
      <w:proofErr w:type="gramEnd"/>
      <w:r>
        <w:t xml:space="preserve"> Metadata” and download both, the ‘Certificate’ and the DCEM ‘Metadata’.</w:t>
      </w:r>
    </w:p>
    <w:p w14:paraId="28CCE865" w14:textId="77777777" w:rsidR="00FF3ECB" w:rsidRDefault="00FF3ECB" w:rsidP="00FF3ECB">
      <w:pPr>
        <w:pStyle w:val="Listenabsatz"/>
      </w:pPr>
    </w:p>
    <w:p w14:paraId="2451C145" w14:textId="3A878AF2" w:rsidR="00FF3ECB" w:rsidRDefault="00FF3ECB" w:rsidP="00FF3ECB">
      <w:pPr>
        <w:pStyle w:val="Listenabsatz"/>
        <w:numPr>
          <w:ilvl w:val="0"/>
          <w:numId w:val="28"/>
        </w:numPr>
      </w:pPr>
      <w:r>
        <w:t>Open the ADFS Management Console and add a “Claims Provider Trust”.</w:t>
      </w:r>
    </w:p>
    <w:p w14:paraId="4641C908" w14:textId="09A21BCB" w:rsidR="0086742D" w:rsidRDefault="0086742D" w:rsidP="0086742D">
      <w:pPr>
        <w:jc w:val="center"/>
      </w:pPr>
      <w:r w:rsidRPr="00DD7F09">
        <w:rPr>
          <w:noProof/>
          <w:lang w:val="de-DE" w:eastAsia="de-DE"/>
        </w:rPr>
        <w:drawing>
          <wp:inline distT="0" distB="0" distL="0" distR="0" wp14:anchorId="2B11030E" wp14:editId="70C452A4">
            <wp:extent cx="3532989" cy="296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113" cy="29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A898" w14:textId="7375CC14" w:rsidR="0086742D" w:rsidRDefault="00EF3618" w:rsidP="0086742D">
      <w:pPr>
        <w:pStyle w:val="Listenabsatz"/>
        <w:numPr>
          <w:ilvl w:val="0"/>
          <w:numId w:val="28"/>
        </w:numPr>
      </w:pPr>
      <w:r w:rsidRPr="00EF3618">
        <w:t xml:space="preserve">Click through the welcome panel </w:t>
      </w:r>
      <w:proofErr w:type="gramStart"/>
      <w:r w:rsidR="0086742D">
        <w:t>till</w:t>
      </w:r>
      <w:proofErr w:type="gramEnd"/>
      <w:r w:rsidR="0086742D">
        <w:t xml:space="preserve"> you get to “</w:t>
      </w:r>
      <w:r w:rsidRPr="00EF3618">
        <w:t>Select Data Source</w:t>
      </w:r>
      <w:r w:rsidR="0086742D">
        <w:t>”.</w:t>
      </w:r>
      <w:r w:rsidRPr="00EF3618">
        <w:t xml:space="preserve"> </w:t>
      </w:r>
    </w:p>
    <w:p w14:paraId="09231541" w14:textId="77777777" w:rsidR="0086742D" w:rsidRDefault="0086742D" w:rsidP="0086742D">
      <w:pPr>
        <w:pStyle w:val="Listenabsatz"/>
      </w:pPr>
    </w:p>
    <w:p w14:paraId="0A4766D9" w14:textId="77777777" w:rsidR="0086742D" w:rsidRDefault="0086742D" w:rsidP="0086742D">
      <w:pPr>
        <w:pStyle w:val="Listenabsatz"/>
        <w:numPr>
          <w:ilvl w:val="0"/>
          <w:numId w:val="28"/>
        </w:numPr>
      </w:pPr>
      <w:r>
        <w:t>Select</w:t>
      </w:r>
      <w:r w:rsidR="00EF3618" w:rsidRPr="00EF3618">
        <w:t xml:space="preserve"> “Import data about the claims</w:t>
      </w:r>
      <w:r>
        <w:t xml:space="preserve"> p</w:t>
      </w:r>
      <w:r w:rsidRPr="00EF3618">
        <w:t>rovider from a file”.</w:t>
      </w:r>
    </w:p>
    <w:p w14:paraId="55EEA174" w14:textId="77777777" w:rsidR="0086742D" w:rsidRDefault="0086742D" w:rsidP="0086742D">
      <w:pPr>
        <w:pStyle w:val="Listenabsatz"/>
      </w:pPr>
    </w:p>
    <w:p w14:paraId="1A427E9D" w14:textId="1B69A759" w:rsidR="00EF3618" w:rsidRDefault="0086742D" w:rsidP="0086742D">
      <w:pPr>
        <w:pStyle w:val="Listenabsatz"/>
      </w:pPr>
      <w:r>
        <w:rPr>
          <w:noProof/>
          <w:lang w:val="de-DE" w:eastAsia="de-DE"/>
        </w:rPr>
        <w:drawing>
          <wp:inline distT="0" distB="0" distL="0" distR="0" wp14:anchorId="065396F4" wp14:editId="44381C1E">
            <wp:extent cx="5507509" cy="359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551" cy="35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BABA" w14:textId="77777777" w:rsidR="0086742D" w:rsidRPr="00EF3618" w:rsidRDefault="0086742D" w:rsidP="0086742D">
      <w:pPr>
        <w:pStyle w:val="Listenabsatz"/>
      </w:pPr>
    </w:p>
    <w:p w14:paraId="3C125AC6" w14:textId="77777777" w:rsidR="002F63D3" w:rsidRDefault="0086742D" w:rsidP="002F63D3">
      <w:pPr>
        <w:pStyle w:val="Listenabsatz"/>
        <w:numPr>
          <w:ilvl w:val="0"/>
          <w:numId w:val="28"/>
        </w:numPr>
      </w:pPr>
      <w:r>
        <w:lastRenderedPageBreak/>
        <w:t xml:space="preserve">Add the </w:t>
      </w:r>
      <w:proofErr w:type="spellStart"/>
      <w:r>
        <w:t>DoubleClue</w:t>
      </w:r>
      <w:proofErr w:type="spellEnd"/>
      <w:r>
        <w:t xml:space="preserve"> </w:t>
      </w:r>
      <w:proofErr w:type="spellStart"/>
      <w:proofErr w:type="gramStart"/>
      <w:r>
        <w:t>IdP</w:t>
      </w:r>
      <w:proofErr w:type="spellEnd"/>
      <w:proofErr w:type="gramEnd"/>
      <w:r>
        <w:t xml:space="preserve"> metadata file you downloaded in step 1 into the </w:t>
      </w:r>
      <w:r w:rsidR="00EF3618" w:rsidRPr="00EF3618">
        <w:t>"Federat</w:t>
      </w:r>
      <w:r>
        <w:t>ion metadata file location"</w:t>
      </w:r>
      <w:r w:rsidR="00EF3618" w:rsidRPr="00EF3618">
        <w:t xml:space="preserve"> field and </w:t>
      </w:r>
      <w:r w:rsidR="00EF3618">
        <w:t>click on “Next”.</w:t>
      </w:r>
    </w:p>
    <w:p w14:paraId="368B8601" w14:textId="77777777" w:rsidR="002F63D3" w:rsidRDefault="002F63D3" w:rsidP="002F63D3">
      <w:pPr>
        <w:pStyle w:val="Listenabsatz"/>
      </w:pPr>
    </w:p>
    <w:p w14:paraId="14DA71C9" w14:textId="518031FC" w:rsidR="00BF44FD" w:rsidRDefault="002F63D3" w:rsidP="002F63D3">
      <w:pPr>
        <w:pStyle w:val="Listenabsatz"/>
        <w:numPr>
          <w:ilvl w:val="0"/>
          <w:numId w:val="28"/>
        </w:numPr>
      </w:pPr>
      <w:r>
        <w:t>In next View enter a unique and distinct</w:t>
      </w:r>
      <w:r w:rsidR="00EF3618">
        <w:t xml:space="preserve"> Display Name, such as “</w:t>
      </w:r>
      <w:r w:rsidR="00EF3618" w:rsidRPr="002F63D3">
        <w:rPr>
          <w:b/>
          <w:bCs/>
        </w:rPr>
        <w:t>DoubleClue</w:t>
      </w:r>
      <w:r w:rsidR="00EF3618">
        <w:t>” and click on Next.</w:t>
      </w:r>
    </w:p>
    <w:p w14:paraId="08A85566" w14:textId="77777777" w:rsidR="002F63D3" w:rsidRDefault="002F63D3" w:rsidP="002F63D3">
      <w:pPr>
        <w:pStyle w:val="Listenabsatz"/>
      </w:pPr>
    </w:p>
    <w:p w14:paraId="0267FEBF" w14:textId="4DCD160C" w:rsidR="009B08F5" w:rsidRPr="009B08F5" w:rsidRDefault="009B08F5" w:rsidP="002F63D3">
      <w:pPr>
        <w:pStyle w:val="Listenabsatz"/>
        <w:numPr>
          <w:ilvl w:val="0"/>
          <w:numId w:val="28"/>
        </w:numPr>
      </w:pPr>
      <w:r>
        <w:t xml:space="preserve">For Office 365 to work with DoubleClue, you also need to add a new claims rule </w:t>
      </w:r>
      <w:r w:rsidR="002F63D3">
        <w:t>t</w:t>
      </w:r>
      <w:r>
        <w:t xml:space="preserve">o the </w:t>
      </w:r>
      <w:proofErr w:type="spellStart"/>
      <w:r>
        <w:t>DoubleClue</w:t>
      </w:r>
      <w:proofErr w:type="spellEnd"/>
      <w:r>
        <w:t xml:space="preserve"> claims provider in the ADFS server.</w:t>
      </w:r>
      <w:r>
        <w:br/>
      </w:r>
      <w:r>
        <w:br/>
      </w:r>
    </w:p>
    <w:p w14:paraId="7646B9B0" w14:textId="4D00C98A" w:rsidR="00EF3618" w:rsidRDefault="009B08F5" w:rsidP="00850915">
      <w:r w:rsidRPr="009B08F5">
        <w:rPr>
          <w:noProof/>
          <w:lang w:val="de-DE" w:eastAsia="de-DE"/>
        </w:rPr>
        <w:drawing>
          <wp:inline distT="0" distB="0" distL="0" distR="0" wp14:anchorId="697CCA64" wp14:editId="167B0ABB">
            <wp:extent cx="5820225" cy="41243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7749" cy="41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3C66" w14:textId="64065652" w:rsidR="00FE6A2B" w:rsidRDefault="00FE6A2B" w:rsidP="002F63D3">
      <w:pPr>
        <w:pStyle w:val="Listenabsatz"/>
      </w:pPr>
    </w:p>
    <w:p w14:paraId="32409CC8" w14:textId="6B6A5B8A" w:rsidR="002F63D3" w:rsidRDefault="00FE6A2B" w:rsidP="002F63D3">
      <w:pPr>
        <w:pStyle w:val="Listenabsatz"/>
        <w:numPr>
          <w:ilvl w:val="0"/>
          <w:numId w:val="28"/>
        </w:numPr>
      </w:pPr>
      <w:r>
        <w:t>I</w:t>
      </w:r>
      <w:r w:rsidR="002F63D3" w:rsidRPr="00A06D51">
        <w:t xml:space="preserve">mport the </w:t>
      </w:r>
      <w:proofErr w:type="spellStart"/>
      <w:r w:rsidR="002F63D3">
        <w:t>DoubleClue</w:t>
      </w:r>
      <w:proofErr w:type="spellEnd"/>
      <w:r w:rsidR="002F63D3" w:rsidRPr="00A06D51">
        <w:t xml:space="preserve"> </w:t>
      </w:r>
      <w:proofErr w:type="spellStart"/>
      <w:proofErr w:type="gramStart"/>
      <w:r w:rsidR="002F63D3" w:rsidRPr="00A06D51">
        <w:t>IdP</w:t>
      </w:r>
      <w:proofErr w:type="spellEnd"/>
      <w:proofErr w:type="gramEnd"/>
      <w:r w:rsidR="002F63D3" w:rsidRPr="00A06D51">
        <w:t xml:space="preserve"> CA certificate into the local computer certificate store as a root trusted CA on your ADFS server.</w:t>
      </w:r>
    </w:p>
    <w:p w14:paraId="0F459A11" w14:textId="60D5F887" w:rsidR="00A06D51" w:rsidRDefault="00A06D51" w:rsidP="00A06D51">
      <w:r w:rsidRPr="00A06D51">
        <w:rPr>
          <w:noProof/>
          <w:lang w:val="de-DE" w:eastAsia="de-DE"/>
        </w:rPr>
        <w:lastRenderedPageBreak/>
        <w:drawing>
          <wp:inline distT="0" distB="0" distL="0" distR="0" wp14:anchorId="0D8BD3B7" wp14:editId="6A5EBD5B">
            <wp:extent cx="5731510" cy="27317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3CEC" w14:textId="35A7EA2C" w:rsidR="00A06D51" w:rsidRDefault="00A06D51" w:rsidP="00A06D51"/>
    <w:p w14:paraId="5244F130" w14:textId="77777777" w:rsidR="007B1A16" w:rsidRDefault="007B1A16" w:rsidP="00A06D51">
      <w:pPr>
        <w:rPr>
          <w:lang w:val="en-US"/>
        </w:rPr>
      </w:pPr>
    </w:p>
    <w:p w14:paraId="3B2629E7" w14:textId="7F5BF0B5" w:rsidR="007B1A16" w:rsidRDefault="007B1A16" w:rsidP="007B1A16">
      <w:pPr>
        <w:pStyle w:val="berschrift2"/>
        <w:numPr>
          <w:ilvl w:val="1"/>
          <w:numId w:val="1"/>
        </w:numPr>
      </w:pPr>
      <w:r w:rsidRPr="007B1A16">
        <w:t xml:space="preserve"> </w:t>
      </w:r>
      <w:r w:rsidR="00FE6A2B">
        <w:t xml:space="preserve">Configuring ADFS with </w:t>
      </w:r>
      <w:r w:rsidRPr="007B1A16">
        <w:t>Power Shell Scripts</w:t>
      </w:r>
      <w:r>
        <w:br/>
      </w:r>
    </w:p>
    <w:p w14:paraId="2AC366FE" w14:textId="3DB6F3B3" w:rsidR="006F041F" w:rsidRDefault="006F041F" w:rsidP="006F041F">
      <w:r>
        <w:t xml:space="preserve">Unfortunately, </w:t>
      </w:r>
      <w:r w:rsidR="00FE6A2B">
        <w:t>configuring ADFS</w:t>
      </w:r>
      <w:r>
        <w:t xml:space="preserve"> in the GUI is not enough to setup a Claims Provider Trust. </w:t>
      </w:r>
      <w:proofErr w:type="gramStart"/>
      <w:r w:rsidR="008A05D5">
        <w:t>You  further</w:t>
      </w:r>
      <w:proofErr w:type="gramEnd"/>
      <w:r w:rsidR="008A05D5">
        <w:t xml:space="preserve"> need to execute the following commands in the Windows </w:t>
      </w:r>
      <w:proofErr w:type="spellStart"/>
      <w:r w:rsidR="008A05D5">
        <w:t>Powershell</w:t>
      </w:r>
      <w:proofErr w:type="spellEnd"/>
      <w:r w:rsidR="008A05D5">
        <w:t xml:space="preserve"> console of your ADFS Server:</w:t>
      </w:r>
    </w:p>
    <w:p w14:paraId="6E698E78" w14:textId="392F69C4" w:rsidR="00A06D51" w:rsidRDefault="00A06D51" w:rsidP="00A06D51">
      <w:pPr>
        <w:rPr>
          <w:b/>
          <w:bCs/>
          <w:lang w:val="en-US"/>
        </w:rPr>
      </w:pPr>
      <w:r w:rsidRPr="00A06D51">
        <w:rPr>
          <w:b/>
          <w:bCs/>
          <w:lang w:val="en-US"/>
        </w:rPr>
        <w:t>Set-</w:t>
      </w:r>
      <w:proofErr w:type="spellStart"/>
      <w:r w:rsidRPr="00A06D51">
        <w:rPr>
          <w:b/>
          <w:bCs/>
          <w:lang w:val="en-US"/>
        </w:rPr>
        <w:t>ADFSClaimsProviderTrust</w:t>
      </w:r>
      <w:proofErr w:type="spellEnd"/>
      <w:r w:rsidRPr="00A06D51">
        <w:rPr>
          <w:b/>
          <w:bCs/>
          <w:lang w:val="en-US"/>
        </w:rPr>
        <w:t xml:space="preserve"> -</w:t>
      </w:r>
      <w:proofErr w:type="spellStart"/>
      <w:r w:rsidRPr="00A06D51">
        <w:rPr>
          <w:b/>
          <w:bCs/>
          <w:lang w:val="en-US"/>
        </w:rPr>
        <w:t>TargetName</w:t>
      </w:r>
      <w:proofErr w:type="spellEnd"/>
      <w:r w:rsidRPr="00A06D51">
        <w:rPr>
          <w:b/>
          <w:bCs/>
          <w:lang w:val="en-US"/>
        </w:rPr>
        <w:t xml:space="preserve"> "</w:t>
      </w:r>
      <w:proofErr w:type="spellStart"/>
      <w:r w:rsidRPr="007B1A16">
        <w:rPr>
          <w:b/>
          <w:bCs/>
          <w:i/>
          <w:iCs/>
          <w:highlight w:val="yellow"/>
          <w:lang w:val="en-US"/>
        </w:rPr>
        <w:t>Claims_Provider_Name</w:t>
      </w:r>
      <w:proofErr w:type="spellEnd"/>
      <w:r w:rsidRPr="00A06D51">
        <w:rPr>
          <w:b/>
          <w:bCs/>
          <w:lang w:val="en-US"/>
        </w:rPr>
        <w:t>" -</w:t>
      </w:r>
      <w:proofErr w:type="spellStart"/>
      <w:r w:rsidRPr="00A06D51">
        <w:rPr>
          <w:b/>
          <w:bCs/>
          <w:lang w:val="en-US"/>
        </w:rPr>
        <w:t>SigningCertificateRevocationCheck</w:t>
      </w:r>
      <w:proofErr w:type="spellEnd"/>
      <w:r w:rsidRPr="00A06D51">
        <w:rPr>
          <w:b/>
          <w:bCs/>
          <w:lang w:val="en-US"/>
        </w:rPr>
        <w:t xml:space="preserve"> None</w:t>
      </w:r>
    </w:p>
    <w:p w14:paraId="334A8825" w14:textId="3E6A679C" w:rsidR="007B1A16" w:rsidRDefault="007B1A16" w:rsidP="007B1A16">
      <w:pPr>
        <w:rPr>
          <w:b/>
          <w:bCs/>
          <w:lang w:val="en-US"/>
        </w:rPr>
      </w:pPr>
    </w:p>
    <w:p w14:paraId="1315A92F" w14:textId="5078D1E2" w:rsidR="007B1A16" w:rsidRPr="007B1A16" w:rsidRDefault="008A05D5" w:rsidP="007B1A16">
      <w:pPr>
        <w:rPr>
          <w:lang w:val="en-US"/>
        </w:rPr>
      </w:pPr>
      <w:r>
        <w:rPr>
          <w:lang w:val="en-US"/>
        </w:rPr>
        <w:t>Further, e</w:t>
      </w:r>
      <w:r w:rsidR="007B1A16" w:rsidRPr="007B1A16">
        <w:rPr>
          <w:lang w:val="en-US"/>
        </w:rPr>
        <w:t xml:space="preserve">xecute </w:t>
      </w:r>
      <w:r w:rsidR="007B1A16">
        <w:rPr>
          <w:lang w:val="en-US"/>
        </w:rPr>
        <w:t>the following</w:t>
      </w:r>
      <w:r w:rsidR="007B1A16" w:rsidRPr="007B1A16">
        <w:rPr>
          <w:lang w:val="en-US"/>
        </w:rPr>
        <w:t xml:space="preserve"> command for all </w:t>
      </w:r>
      <w:r w:rsidR="007B1A16">
        <w:rPr>
          <w:lang w:val="en-US"/>
        </w:rPr>
        <w:t xml:space="preserve">of </w:t>
      </w:r>
      <w:r w:rsidR="007B1A16" w:rsidRPr="007B1A16">
        <w:rPr>
          <w:lang w:val="en-US"/>
        </w:rPr>
        <w:t xml:space="preserve">your </w:t>
      </w:r>
      <w:proofErr w:type="gramStart"/>
      <w:r w:rsidR="007B1A16" w:rsidRPr="007B1A16">
        <w:rPr>
          <w:lang w:val="en-US"/>
        </w:rPr>
        <w:t>applications which</w:t>
      </w:r>
      <w:proofErr w:type="gramEnd"/>
      <w:r w:rsidR="007B1A16" w:rsidRPr="007B1A16">
        <w:rPr>
          <w:lang w:val="en-US"/>
        </w:rPr>
        <w:t xml:space="preserve"> should use </w:t>
      </w:r>
      <w:proofErr w:type="spellStart"/>
      <w:r>
        <w:rPr>
          <w:lang w:val="en-US"/>
        </w:rPr>
        <w:t>DoubleClue</w:t>
      </w:r>
      <w:proofErr w:type="spellEnd"/>
      <w:r>
        <w:rPr>
          <w:lang w:val="en-US"/>
        </w:rPr>
        <w:t xml:space="preserve"> as Identity Provider:</w:t>
      </w:r>
    </w:p>
    <w:p w14:paraId="1A784DCE" w14:textId="23A3C571" w:rsidR="008C7635" w:rsidRPr="008A05D5" w:rsidRDefault="008C7635" w:rsidP="008C7635">
      <w:pPr>
        <w:autoSpaceDE w:val="0"/>
        <w:autoSpaceDN w:val="0"/>
        <w:spacing w:after="0" w:line="240" w:lineRule="auto"/>
        <w:rPr>
          <w:rFonts w:cstheme="minorHAnsi"/>
          <w:b/>
          <w:bCs/>
          <w:color w:val="000000"/>
        </w:rPr>
      </w:pPr>
      <w:r w:rsidRPr="008A05D5">
        <w:rPr>
          <w:rFonts w:cstheme="minorHAnsi"/>
          <w:b/>
          <w:bCs/>
        </w:rPr>
        <w:t>Set-</w:t>
      </w:r>
      <w:proofErr w:type="spellStart"/>
      <w:r w:rsidRPr="008A05D5">
        <w:rPr>
          <w:rFonts w:cstheme="minorHAnsi"/>
          <w:b/>
          <w:bCs/>
        </w:rPr>
        <w:t>AdfsRelyingPartyTrust</w:t>
      </w:r>
      <w:proofErr w:type="spellEnd"/>
      <w:r w:rsidRPr="008A05D5">
        <w:rPr>
          <w:rFonts w:cstheme="minorHAnsi"/>
          <w:b/>
          <w:bCs/>
        </w:rPr>
        <w:t xml:space="preserve"> -</w:t>
      </w:r>
      <w:proofErr w:type="spellStart"/>
      <w:r w:rsidRPr="008A05D5">
        <w:rPr>
          <w:rFonts w:cstheme="minorHAnsi"/>
          <w:b/>
          <w:bCs/>
        </w:rPr>
        <w:t>TargetName</w:t>
      </w:r>
      <w:proofErr w:type="spellEnd"/>
      <w:r w:rsidRPr="008A05D5">
        <w:rPr>
          <w:rFonts w:cstheme="minorHAnsi"/>
          <w:b/>
          <w:bCs/>
        </w:rPr>
        <w:t xml:space="preserve"> "</w:t>
      </w:r>
      <w:r w:rsidR="007B1A16" w:rsidRPr="008A05D5">
        <w:rPr>
          <w:rFonts w:cstheme="minorHAnsi"/>
          <w:b/>
          <w:bCs/>
          <w:i/>
          <w:iCs/>
          <w:highlight w:val="yellow"/>
        </w:rPr>
        <w:t>Your-Application</w:t>
      </w:r>
      <w:r w:rsidRPr="008A05D5">
        <w:rPr>
          <w:rFonts w:cstheme="minorHAnsi"/>
          <w:b/>
          <w:bCs/>
        </w:rPr>
        <w:t>" -</w:t>
      </w:r>
      <w:proofErr w:type="spellStart"/>
      <w:r w:rsidRPr="008A05D5">
        <w:rPr>
          <w:rFonts w:cstheme="minorHAnsi"/>
          <w:b/>
          <w:bCs/>
        </w:rPr>
        <w:t>ClaimsProviderName</w:t>
      </w:r>
      <w:proofErr w:type="spellEnd"/>
      <w:r w:rsidRPr="008A05D5">
        <w:rPr>
          <w:rFonts w:cstheme="minorHAnsi"/>
          <w:b/>
          <w:bCs/>
        </w:rPr>
        <w:t xml:space="preserve"> </w:t>
      </w:r>
      <w:proofErr w:type="gramStart"/>
      <w:r w:rsidRPr="008A05D5">
        <w:rPr>
          <w:rFonts w:cstheme="minorHAnsi"/>
          <w:b/>
          <w:bCs/>
        </w:rPr>
        <w:t>@(</w:t>
      </w:r>
      <w:proofErr w:type="gramEnd"/>
      <w:r w:rsidRPr="008A05D5">
        <w:rPr>
          <w:rFonts w:cstheme="minorHAnsi"/>
          <w:b/>
          <w:bCs/>
        </w:rPr>
        <w:t>"</w:t>
      </w:r>
      <w:proofErr w:type="spellStart"/>
      <w:r w:rsidR="007B1A16" w:rsidRPr="008A05D5">
        <w:rPr>
          <w:rFonts w:cstheme="minorHAnsi"/>
          <w:b/>
          <w:bCs/>
          <w:i/>
          <w:iCs/>
          <w:highlight w:val="yellow"/>
          <w:lang w:val="en-US"/>
        </w:rPr>
        <w:t>Claims_Provider_Name</w:t>
      </w:r>
      <w:proofErr w:type="spellEnd"/>
      <w:r w:rsidRPr="008A05D5">
        <w:rPr>
          <w:rFonts w:cstheme="minorHAnsi"/>
          <w:b/>
          <w:bCs/>
        </w:rPr>
        <w:t>")</w:t>
      </w:r>
      <w:r w:rsidRPr="008A05D5">
        <w:rPr>
          <w:rFonts w:cstheme="minorHAnsi"/>
          <w:b/>
          <w:bCs/>
          <w:color w:val="000000"/>
        </w:rPr>
        <w:t xml:space="preserve"> </w:t>
      </w:r>
    </w:p>
    <w:p w14:paraId="7DFCAEAF" w14:textId="61C672EC" w:rsidR="007B1A16" w:rsidRDefault="007B1A16" w:rsidP="008C763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B317A65" w14:textId="09ECB2F9" w:rsidR="007B1A16" w:rsidRDefault="007B1A16" w:rsidP="007B1A16">
      <w:pPr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The “Claims Provider Name” is the ‘Display Nam</w:t>
      </w:r>
      <w:r w:rsidR="008A05D5">
        <w:rPr>
          <w:lang w:val="en-US"/>
        </w:rPr>
        <w:t>e’ of the Claims Provider Trust</w:t>
      </w:r>
      <w:r>
        <w:rPr>
          <w:lang w:val="en-US"/>
        </w:rPr>
        <w:t xml:space="preserve">. Such as “DoubleClue”. </w:t>
      </w:r>
    </w:p>
    <w:p w14:paraId="1AE3C24B" w14:textId="1C1DECA7" w:rsidR="00A06D51" w:rsidRDefault="007B1A16" w:rsidP="00574F86">
      <w:pPr>
        <w:rPr>
          <w:lang w:val="en-US"/>
        </w:rPr>
      </w:pPr>
      <w:r>
        <w:rPr>
          <w:lang w:val="en-US"/>
        </w:rPr>
        <w:t xml:space="preserve">The “Your-Application” is the Relying Party Trusts Display Name. Such as “Outlook Web App” or “Office 365”. </w:t>
      </w:r>
    </w:p>
    <w:p w14:paraId="430C7DA3" w14:textId="513CAE2E" w:rsidR="002E0B41" w:rsidRDefault="002E0B41" w:rsidP="00574F86">
      <w:pPr>
        <w:rPr>
          <w:lang w:val="en-US"/>
        </w:rPr>
      </w:pPr>
    </w:p>
    <w:p w14:paraId="1FF2FDFE" w14:textId="4806C699" w:rsidR="002E0B41" w:rsidRDefault="002E0B41" w:rsidP="00574F86">
      <w:pPr>
        <w:rPr>
          <w:lang w:val="en-US"/>
        </w:rPr>
      </w:pPr>
    </w:p>
    <w:p w14:paraId="46FDC6CE" w14:textId="6244A086" w:rsidR="002E0B41" w:rsidRDefault="008A05D5" w:rsidP="006F041F">
      <w:pPr>
        <w:pStyle w:val="berschrift2"/>
        <w:numPr>
          <w:ilvl w:val="2"/>
          <w:numId w:val="1"/>
        </w:numPr>
        <w:rPr>
          <w:b/>
          <w:bCs/>
        </w:rPr>
      </w:pPr>
      <w:r>
        <w:lastRenderedPageBreak/>
        <w:t>Set</w:t>
      </w:r>
      <w:r w:rsidR="006F041F" w:rsidRPr="006F041F">
        <w:t xml:space="preserve"> the </w:t>
      </w:r>
      <w:r w:rsidR="006F041F" w:rsidRPr="008A05D5">
        <w:rPr>
          <w:bCs/>
        </w:rPr>
        <w:t>Anchor</w:t>
      </w:r>
      <w:r w:rsidR="00B36598">
        <w:rPr>
          <w:bCs/>
        </w:rPr>
        <w:t xml:space="preserve"> </w:t>
      </w:r>
      <w:r w:rsidR="006F041F" w:rsidRPr="008A05D5">
        <w:rPr>
          <w:bCs/>
        </w:rPr>
        <w:t>Type</w:t>
      </w:r>
      <w:r w:rsidR="00B36598">
        <w:rPr>
          <w:bCs/>
        </w:rPr>
        <w:t xml:space="preserve"> </w:t>
      </w:r>
      <w:r w:rsidR="006F041F" w:rsidRPr="008A05D5">
        <w:rPr>
          <w:bCs/>
        </w:rPr>
        <w:t>Claim</w:t>
      </w:r>
      <w:r w:rsidR="006F041F">
        <w:rPr>
          <w:b/>
          <w:bCs/>
        </w:rPr>
        <w:br/>
      </w:r>
    </w:p>
    <w:p w14:paraId="16D740D2" w14:textId="118DC94B" w:rsidR="002E0B41" w:rsidRDefault="008A05D5" w:rsidP="002E0B41">
      <w:r>
        <w:t>On Windows Server 16 RTM</w:t>
      </w:r>
      <w:r w:rsidR="00B36598">
        <w:t>,</w:t>
      </w:r>
      <w:r>
        <w:t xml:space="preserve"> you can further set the Anc</w:t>
      </w:r>
      <w:r w:rsidR="00B36598">
        <w:t>h</w:t>
      </w:r>
      <w:r>
        <w:t>or</w:t>
      </w:r>
      <w:r w:rsidR="00B36598">
        <w:t xml:space="preserve"> </w:t>
      </w:r>
      <w:r>
        <w:t>Type</w:t>
      </w:r>
      <w:r w:rsidR="00B36598">
        <w:t xml:space="preserve"> </w:t>
      </w:r>
      <w:r>
        <w:t xml:space="preserve">Claim with </w:t>
      </w:r>
      <w:proofErr w:type="spellStart"/>
      <w:r>
        <w:t>Powershell</w:t>
      </w:r>
      <w:proofErr w:type="spellEnd"/>
      <w:r>
        <w:t xml:space="preserve">. </w:t>
      </w:r>
      <w:r w:rsidR="006F041F">
        <w:t>Unfortunately</w:t>
      </w:r>
      <w:r>
        <w:t>,</w:t>
      </w:r>
      <w:r w:rsidR="006F041F">
        <w:t xml:space="preserve"> the </w:t>
      </w:r>
      <w:proofErr w:type="spellStart"/>
      <w:r w:rsidR="006F041F">
        <w:t>powershell</w:t>
      </w:r>
      <w:proofErr w:type="spellEnd"/>
      <w:r w:rsidR="006F041F">
        <w:t xml:space="preserve"> attribute to set Anchor</w:t>
      </w:r>
      <w:r w:rsidR="00B36598">
        <w:t xml:space="preserve"> </w:t>
      </w:r>
      <w:r w:rsidR="006F041F">
        <w:t>Claim</w:t>
      </w:r>
      <w:r w:rsidR="00B36598">
        <w:t xml:space="preserve"> </w:t>
      </w:r>
      <w:r w:rsidR="006F041F">
        <w:t xml:space="preserve">Type does not exist in the CTP, and </w:t>
      </w:r>
      <w:r w:rsidR="00B36598">
        <w:t xml:space="preserve">the property </w:t>
      </w:r>
      <w:proofErr w:type="gramStart"/>
      <w:r w:rsidR="00B36598">
        <w:t>cannot be defined</w:t>
      </w:r>
      <w:proofErr w:type="gramEnd"/>
      <w:r w:rsidR="006F041F">
        <w:t xml:space="preserve"> using the UI.</w:t>
      </w:r>
    </w:p>
    <w:p w14:paraId="4C59A124" w14:textId="31B4351C" w:rsidR="006F041F" w:rsidRPr="006F041F" w:rsidRDefault="00B36598" w:rsidP="002E0B41">
      <w:pPr>
        <w:rPr>
          <w:i/>
          <w:iCs/>
        </w:rPr>
      </w:pPr>
      <w:r>
        <w:t xml:space="preserve">If you </w:t>
      </w:r>
      <w:proofErr w:type="gramStart"/>
      <w:r>
        <w:t>don’t</w:t>
      </w:r>
      <w:proofErr w:type="gramEnd"/>
      <w:r>
        <w:t xml:space="preserve"> set the Anchor Type Claim, you will</w:t>
      </w:r>
      <w:r w:rsidR="006F041F">
        <w:t xml:space="preserve"> probably get the error: </w:t>
      </w:r>
      <w:r w:rsidR="006F041F">
        <w:br/>
      </w:r>
      <w:r w:rsidR="006F041F" w:rsidRPr="006F041F">
        <w:rPr>
          <w:i/>
          <w:iCs/>
        </w:rPr>
        <w:t>MSIS9642: The request cannot be completed because an id token is required but the server was unable to construct an id token for the current user.</w:t>
      </w:r>
    </w:p>
    <w:p w14:paraId="1A8332ED" w14:textId="7B944A85" w:rsidR="006F041F" w:rsidRPr="002E0B41" w:rsidRDefault="006F041F" w:rsidP="002E0B41">
      <w:pPr>
        <w:rPr>
          <w:lang w:val="en-US"/>
        </w:rPr>
      </w:pPr>
      <w:r>
        <w:rPr>
          <w:lang w:val="en-US"/>
        </w:rPr>
        <w:t xml:space="preserve">To avoid </w:t>
      </w:r>
      <w:r w:rsidR="009E7E42">
        <w:rPr>
          <w:lang w:val="en-US"/>
        </w:rPr>
        <w:t xml:space="preserve">this error execute the following </w:t>
      </w:r>
      <w:proofErr w:type="spellStart"/>
      <w:r w:rsidR="00B36598">
        <w:rPr>
          <w:lang w:val="en-US"/>
        </w:rPr>
        <w:t>Powershell</w:t>
      </w:r>
      <w:proofErr w:type="spellEnd"/>
      <w:r w:rsidR="00B36598">
        <w:rPr>
          <w:lang w:val="en-US"/>
        </w:rPr>
        <w:t xml:space="preserve"> </w:t>
      </w:r>
      <w:r w:rsidR="009E7E42">
        <w:rPr>
          <w:lang w:val="en-US"/>
        </w:rPr>
        <w:t>command:</w:t>
      </w:r>
    </w:p>
    <w:p w14:paraId="36DA7476" w14:textId="782A396B" w:rsidR="009E7E42" w:rsidRPr="00B36598" w:rsidRDefault="002E0B41" w:rsidP="009E7E42">
      <w:pPr>
        <w:autoSpaceDE w:val="0"/>
        <w:autoSpaceDN w:val="0"/>
        <w:spacing w:after="0" w:line="240" w:lineRule="auto"/>
        <w:rPr>
          <w:rFonts w:cstheme="minorHAnsi"/>
          <w:b/>
          <w:bCs/>
        </w:rPr>
      </w:pPr>
      <w:proofErr w:type="gramStart"/>
      <w:r w:rsidRPr="00B36598">
        <w:rPr>
          <w:rFonts w:cstheme="minorHAnsi"/>
          <w:b/>
          <w:bCs/>
        </w:rPr>
        <w:t>set-</w:t>
      </w:r>
      <w:proofErr w:type="spellStart"/>
      <w:r w:rsidRPr="00B36598">
        <w:rPr>
          <w:rFonts w:cstheme="minorHAnsi"/>
          <w:b/>
          <w:bCs/>
        </w:rPr>
        <w:t>adfsclaimsprovidertrust</w:t>
      </w:r>
      <w:proofErr w:type="spellEnd"/>
      <w:proofErr w:type="gramEnd"/>
      <w:r w:rsidRPr="00B36598">
        <w:rPr>
          <w:rFonts w:cstheme="minorHAnsi"/>
          <w:b/>
          <w:bCs/>
        </w:rPr>
        <w:t xml:space="preserve"> -</w:t>
      </w:r>
      <w:proofErr w:type="spellStart"/>
      <w:r w:rsidRPr="00B36598">
        <w:rPr>
          <w:rFonts w:cstheme="minorHAnsi"/>
          <w:b/>
          <w:bCs/>
        </w:rPr>
        <w:t>targetidentifier</w:t>
      </w:r>
      <w:proofErr w:type="spellEnd"/>
      <w:r w:rsidRPr="00B36598">
        <w:rPr>
          <w:rFonts w:cstheme="minorHAnsi"/>
          <w:b/>
          <w:bCs/>
        </w:rPr>
        <w:t xml:space="preserve"> </w:t>
      </w:r>
      <w:r w:rsidR="00B36598">
        <w:rPr>
          <w:rFonts w:cstheme="minorHAnsi"/>
          <w:b/>
          <w:bCs/>
          <w:highlight w:val="yellow"/>
        </w:rPr>
        <w:t>yourDoubleClue</w:t>
      </w:r>
      <w:r w:rsidRPr="00B36598">
        <w:rPr>
          <w:rFonts w:cstheme="minorHAnsi"/>
          <w:b/>
          <w:bCs/>
          <w:highlight w:val="yellow"/>
        </w:rPr>
        <w:t>.de</w:t>
      </w:r>
      <w:r w:rsidRPr="00B36598">
        <w:rPr>
          <w:rFonts w:cstheme="minorHAnsi"/>
          <w:b/>
          <w:bCs/>
        </w:rPr>
        <w:t xml:space="preserve"> -</w:t>
      </w:r>
      <w:proofErr w:type="spellStart"/>
      <w:r w:rsidRPr="00B36598">
        <w:rPr>
          <w:rFonts w:cstheme="minorHAnsi"/>
          <w:b/>
          <w:bCs/>
        </w:rPr>
        <w:t>AnchorClaimType</w:t>
      </w:r>
      <w:proofErr w:type="spellEnd"/>
      <w:r w:rsidRPr="00B36598">
        <w:rPr>
          <w:rFonts w:cstheme="minorHAnsi"/>
          <w:b/>
          <w:bCs/>
        </w:rPr>
        <w:t xml:space="preserve"> </w:t>
      </w:r>
    </w:p>
    <w:p w14:paraId="24CFEDBC" w14:textId="1E995E44" w:rsidR="002E0B41" w:rsidRPr="00B36598" w:rsidRDefault="009E7E42" w:rsidP="009E7E42">
      <w:pPr>
        <w:autoSpaceDE w:val="0"/>
        <w:autoSpaceDN w:val="0"/>
        <w:spacing w:after="0" w:line="240" w:lineRule="auto"/>
        <w:rPr>
          <w:rFonts w:cstheme="minorHAnsi"/>
          <w:b/>
          <w:bCs/>
        </w:rPr>
      </w:pPr>
      <w:r w:rsidRPr="00B36598">
        <w:rPr>
          <w:rFonts w:cstheme="minorHAnsi"/>
          <w:b/>
          <w:bCs/>
        </w:rPr>
        <w:t>http://schemas.microsoft.com/ws/2008/06/identity/claims/windowsaccountname</w:t>
      </w:r>
    </w:p>
    <w:p w14:paraId="202C2535" w14:textId="3F2EEC3A" w:rsidR="009E7E42" w:rsidRPr="00B36598" w:rsidRDefault="009E7E42" w:rsidP="009E7E42">
      <w:pPr>
        <w:autoSpaceDE w:val="0"/>
        <w:autoSpaceDN w:val="0"/>
        <w:spacing w:after="0" w:line="240" w:lineRule="auto"/>
        <w:rPr>
          <w:rFonts w:cstheme="minorHAnsi"/>
          <w:b/>
          <w:bCs/>
        </w:rPr>
      </w:pPr>
    </w:p>
    <w:p w14:paraId="06293DB2" w14:textId="55113DFB" w:rsidR="009E7E42" w:rsidRPr="00B36598" w:rsidRDefault="009E7E42" w:rsidP="009E7E42">
      <w:pPr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B36598">
        <w:rPr>
          <w:rFonts w:cstheme="minorHAnsi"/>
          <w:lang w:val="en-US"/>
        </w:rPr>
        <w:t xml:space="preserve">Where </w:t>
      </w:r>
      <w:r w:rsidRPr="00B36598">
        <w:rPr>
          <w:rFonts w:cstheme="minorHAnsi"/>
          <w:b/>
          <w:lang w:val="en-US"/>
        </w:rPr>
        <w:t>“</w:t>
      </w:r>
      <w:r w:rsidR="00B36598">
        <w:rPr>
          <w:rFonts w:cstheme="minorHAnsi"/>
          <w:b/>
          <w:bCs/>
          <w:highlight w:val="yellow"/>
        </w:rPr>
        <w:t>yourDoubleClue</w:t>
      </w:r>
      <w:r w:rsidRPr="00B36598">
        <w:rPr>
          <w:rFonts w:cstheme="minorHAnsi"/>
          <w:b/>
          <w:bCs/>
          <w:highlight w:val="yellow"/>
        </w:rPr>
        <w:t>.de</w:t>
      </w:r>
      <w:r w:rsidRPr="00B36598">
        <w:rPr>
          <w:rFonts w:cstheme="minorHAnsi"/>
          <w:b/>
          <w:bCs/>
        </w:rPr>
        <w:t>” is your new C</w:t>
      </w:r>
      <w:bookmarkStart w:id="0" w:name="_GoBack"/>
      <w:bookmarkEnd w:id="0"/>
      <w:r w:rsidRPr="00B36598">
        <w:rPr>
          <w:rFonts w:cstheme="minorHAnsi"/>
          <w:b/>
          <w:bCs/>
        </w:rPr>
        <w:t>laim Provider Trust name.</w:t>
      </w:r>
    </w:p>
    <w:sectPr w:rsidR="009E7E42" w:rsidRPr="00B3659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44763" w14:textId="77777777" w:rsidR="00C6090B" w:rsidRDefault="00C6090B" w:rsidP="007F3727">
      <w:pPr>
        <w:spacing w:after="0" w:line="240" w:lineRule="auto"/>
      </w:pPr>
      <w:r>
        <w:separator/>
      </w:r>
    </w:p>
  </w:endnote>
  <w:endnote w:type="continuationSeparator" w:id="0">
    <w:p w14:paraId="7039AE7A" w14:textId="77777777" w:rsidR="00C6090B" w:rsidRDefault="00C6090B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9A6A0" w14:textId="1FD03B78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5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02A2676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356EE" w14:textId="77777777" w:rsidR="00C6090B" w:rsidRDefault="00C6090B" w:rsidP="007F3727">
      <w:pPr>
        <w:spacing w:after="0" w:line="240" w:lineRule="auto"/>
      </w:pPr>
      <w:r>
        <w:separator/>
      </w:r>
    </w:p>
  </w:footnote>
  <w:footnote w:type="continuationSeparator" w:id="0">
    <w:p w14:paraId="38ECB179" w14:textId="77777777" w:rsidR="00C6090B" w:rsidRDefault="00C6090B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82722" w14:textId="77777777" w:rsidR="006A557D" w:rsidRDefault="006A557D" w:rsidP="00C20532">
    <w:pPr>
      <w:pStyle w:val="Kopfzeile"/>
      <w:jc w:val="right"/>
      <w:rPr>
        <w:color w:val="0C468B"/>
      </w:rPr>
    </w:pPr>
  </w:p>
  <w:p w14:paraId="6D3AFDA7" w14:textId="4ED148EF" w:rsidR="00574F86" w:rsidRPr="00C20532" w:rsidRDefault="001B64AA" w:rsidP="00574F86">
    <w:pPr>
      <w:pStyle w:val="Kopfzeile"/>
      <w:jc w:val="right"/>
      <w:rPr>
        <w:color w:val="0C468B"/>
      </w:rPr>
    </w:pPr>
    <w:r>
      <w:rPr>
        <w:color w:val="767171" w:themeColor="background2" w:themeShade="80"/>
      </w:rPr>
      <w:t>Integrating</w:t>
    </w:r>
    <w:r w:rsidR="005110CD" w:rsidRPr="00241C02">
      <w:rPr>
        <w:color w:val="767171" w:themeColor="background2" w:themeShade="80"/>
      </w:rPr>
      <w:t xml:space="preserve"> AD</w:t>
    </w:r>
    <w:r w:rsidR="00D96D89" w:rsidRPr="00241C02">
      <w:rPr>
        <w:color w:val="767171" w:themeColor="background2" w:themeShade="80"/>
      </w:rPr>
      <w:t xml:space="preserve">FS with </w:t>
    </w:r>
    <w:proofErr w:type="spellStart"/>
    <w:r w:rsidR="00D96D89" w:rsidRPr="00241C02">
      <w:rPr>
        <w:color w:val="767171" w:themeColor="background2" w:themeShade="80"/>
      </w:rPr>
      <w:t>DoubleClue</w:t>
    </w:r>
    <w:proofErr w:type="spellEnd"/>
    <w:r>
      <w:rPr>
        <w:color w:val="767171" w:themeColor="background2" w:themeShade="80"/>
      </w:rPr>
      <w:t xml:space="preserve"> via SAML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49B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36C3"/>
    <w:multiLevelType w:val="multilevel"/>
    <w:tmpl w:val="829E806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67B44"/>
    <w:multiLevelType w:val="hybridMultilevel"/>
    <w:tmpl w:val="89A6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02DE"/>
    <w:multiLevelType w:val="hybridMultilevel"/>
    <w:tmpl w:val="1C9CED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D5544"/>
    <w:multiLevelType w:val="hybridMultilevel"/>
    <w:tmpl w:val="FA788A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058DA"/>
    <w:multiLevelType w:val="hybridMultilevel"/>
    <w:tmpl w:val="FDD808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B0EDF"/>
    <w:multiLevelType w:val="hybridMultilevel"/>
    <w:tmpl w:val="7D12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010D9"/>
    <w:multiLevelType w:val="hybridMultilevel"/>
    <w:tmpl w:val="35E01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B46C7"/>
    <w:multiLevelType w:val="hybridMultilevel"/>
    <w:tmpl w:val="F900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1F4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B2311"/>
    <w:multiLevelType w:val="hybridMultilevel"/>
    <w:tmpl w:val="FBC454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4AF"/>
    <w:multiLevelType w:val="hybridMultilevel"/>
    <w:tmpl w:val="88BA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7B28"/>
    <w:multiLevelType w:val="hybridMultilevel"/>
    <w:tmpl w:val="4D985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4132B"/>
    <w:multiLevelType w:val="hybridMultilevel"/>
    <w:tmpl w:val="880E24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A51BB"/>
    <w:multiLevelType w:val="hybridMultilevel"/>
    <w:tmpl w:val="79DE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220D0"/>
    <w:multiLevelType w:val="hybridMultilevel"/>
    <w:tmpl w:val="C2EA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36C51"/>
    <w:multiLevelType w:val="hybridMultilevel"/>
    <w:tmpl w:val="3B32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7733F"/>
    <w:multiLevelType w:val="hybridMultilevel"/>
    <w:tmpl w:val="E17CFE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94D4C"/>
    <w:multiLevelType w:val="multilevel"/>
    <w:tmpl w:val="FA4008C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28"/>
  </w:num>
  <w:num w:numId="5">
    <w:abstractNumId w:val="5"/>
  </w:num>
  <w:num w:numId="6">
    <w:abstractNumId w:val="20"/>
  </w:num>
  <w:num w:numId="7">
    <w:abstractNumId w:val="2"/>
  </w:num>
  <w:num w:numId="8">
    <w:abstractNumId w:val="4"/>
  </w:num>
  <w:num w:numId="9">
    <w:abstractNumId w:val="17"/>
  </w:num>
  <w:num w:numId="10">
    <w:abstractNumId w:val="23"/>
  </w:num>
  <w:num w:numId="11">
    <w:abstractNumId w:val="1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6"/>
  </w:num>
  <w:num w:numId="17">
    <w:abstractNumId w:val="26"/>
  </w:num>
  <w:num w:numId="18">
    <w:abstractNumId w:val="21"/>
  </w:num>
  <w:num w:numId="19">
    <w:abstractNumId w:val="9"/>
  </w:num>
  <w:num w:numId="20">
    <w:abstractNumId w:val="8"/>
  </w:num>
  <w:num w:numId="21">
    <w:abstractNumId w:val="14"/>
  </w:num>
  <w:num w:numId="22">
    <w:abstractNumId w:val="1"/>
  </w:num>
  <w:num w:numId="23">
    <w:abstractNumId w:val="6"/>
  </w:num>
  <w:num w:numId="24">
    <w:abstractNumId w:val="22"/>
  </w:num>
  <w:num w:numId="25">
    <w:abstractNumId w:val="24"/>
  </w:num>
  <w:num w:numId="26">
    <w:abstractNumId w:val="25"/>
  </w:num>
  <w:num w:numId="27">
    <w:abstractNumId w:val="27"/>
  </w:num>
  <w:num w:numId="28">
    <w:abstractNumId w:val="1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07F1F"/>
    <w:rsid w:val="00025D2A"/>
    <w:rsid w:val="00074E66"/>
    <w:rsid w:val="000A03AA"/>
    <w:rsid w:val="000A1B61"/>
    <w:rsid w:val="000C42E8"/>
    <w:rsid w:val="000D287B"/>
    <w:rsid w:val="000E1050"/>
    <w:rsid w:val="000F22EB"/>
    <w:rsid w:val="0012055E"/>
    <w:rsid w:val="00122B9F"/>
    <w:rsid w:val="001443D8"/>
    <w:rsid w:val="00157DCA"/>
    <w:rsid w:val="00165F03"/>
    <w:rsid w:val="00177AE9"/>
    <w:rsid w:val="00191F93"/>
    <w:rsid w:val="001944FE"/>
    <w:rsid w:val="001B64AA"/>
    <w:rsid w:val="001F0277"/>
    <w:rsid w:val="001F36B6"/>
    <w:rsid w:val="002165D8"/>
    <w:rsid w:val="0023583E"/>
    <w:rsid w:val="00241C02"/>
    <w:rsid w:val="00260822"/>
    <w:rsid w:val="00265492"/>
    <w:rsid w:val="00275E56"/>
    <w:rsid w:val="002C64D4"/>
    <w:rsid w:val="002E087C"/>
    <w:rsid w:val="002E0B41"/>
    <w:rsid w:val="002F4BB5"/>
    <w:rsid w:val="002F63D3"/>
    <w:rsid w:val="002F7E9E"/>
    <w:rsid w:val="00331D4B"/>
    <w:rsid w:val="0033442C"/>
    <w:rsid w:val="00362A90"/>
    <w:rsid w:val="003700DE"/>
    <w:rsid w:val="0038397F"/>
    <w:rsid w:val="00394F4A"/>
    <w:rsid w:val="003B779F"/>
    <w:rsid w:val="003C07DC"/>
    <w:rsid w:val="003D3C22"/>
    <w:rsid w:val="003D6137"/>
    <w:rsid w:val="004005AF"/>
    <w:rsid w:val="00424648"/>
    <w:rsid w:val="00433FD7"/>
    <w:rsid w:val="00464AB3"/>
    <w:rsid w:val="00497101"/>
    <w:rsid w:val="004A7CCD"/>
    <w:rsid w:val="004F7515"/>
    <w:rsid w:val="0050692C"/>
    <w:rsid w:val="005110CD"/>
    <w:rsid w:val="00543B02"/>
    <w:rsid w:val="00544CAA"/>
    <w:rsid w:val="00570039"/>
    <w:rsid w:val="00574F86"/>
    <w:rsid w:val="00586285"/>
    <w:rsid w:val="005E2302"/>
    <w:rsid w:val="006227B9"/>
    <w:rsid w:val="00657CEF"/>
    <w:rsid w:val="0066139F"/>
    <w:rsid w:val="006A557D"/>
    <w:rsid w:val="006B54CA"/>
    <w:rsid w:val="006C16CB"/>
    <w:rsid w:val="006D3BBF"/>
    <w:rsid w:val="006F041F"/>
    <w:rsid w:val="00702A0B"/>
    <w:rsid w:val="00706BEC"/>
    <w:rsid w:val="007255DD"/>
    <w:rsid w:val="007443FF"/>
    <w:rsid w:val="0075628F"/>
    <w:rsid w:val="00762B92"/>
    <w:rsid w:val="0078529F"/>
    <w:rsid w:val="00795C83"/>
    <w:rsid w:val="007B1A16"/>
    <w:rsid w:val="007C5D7D"/>
    <w:rsid w:val="007F3727"/>
    <w:rsid w:val="007F6EAC"/>
    <w:rsid w:val="008139C1"/>
    <w:rsid w:val="008236B6"/>
    <w:rsid w:val="008334E1"/>
    <w:rsid w:val="00850915"/>
    <w:rsid w:val="0086742D"/>
    <w:rsid w:val="008A05D5"/>
    <w:rsid w:val="008C070C"/>
    <w:rsid w:val="008C36F9"/>
    <w:rsid w:val="008C7635"/>
    <w:rsid w:val="008E0C16"/>
    <w:rsid w:val="008F43BF"/>
    <w:rsid w:val="008F7D41"/>
    <w:rsid w:val="00903F03"/>
    <w:rsid w:val="00910045"/>
    <w:rsid w:val="00951E04"/>
    <w:rsid w:val="0096380E"/>
    <w:rsid w:val="0097562E"/>
    <w:rsid w:val="00991AA5"/>
    <w:rsid w:val="009B08F5"/>
    <w:rsid w:val="009C2D5E"/>
    <w:rsid w:val="009E7E42"/>
    <w:rsid w:val="00A030F1"/>
    <w:rsid w:val="00A035F5"/>
    <w:rsid w:val="00A06D51"/>
    <w:rsid w:val="00A11095"/>
    <w:rsid w:val="00A24FAB"/>
    <w:rsid w:val="00A46405"/>
    <w:rsid w:val="00A83384"/>
    <w:rsid w:val="00AD2AA8"/>
    <w:rsid w:val="00AD7D19"/>
    <w:rsid w:val="00AE1A5D"/>
    <w:rsid w:val="00B042A9"/>
    <w:rsid w:val="00B36598"/>
    <w:rsid w:val="00B379A9"/>
    <w:rsid w:val="00B46795"/>
    <w:rsid w:val="00B7109E"/>
    <w:rsid w:val="00BB32E0"/>
    <w:rsid w:val="00BF44FD"/>
    <w:rsid w:val="00C01AAE"/>
    <w:rsid w:val="00C20532"/>
    <w:rsid w:val="00C6090B"/>
    <w:rsid w:val="00C67035"/>
    <w:rsid w:val="00C84B04"/>
    <w:rsid w:val="00C93972"/>
    <w:rsid w:val="00C9781D"/>
    <w:rsid w:val="00CF0689"/>
    <w:rsid w:val="00D4328A"/>
    <w:rsid w:val="00D95DA4"/>
    <w:rsid w:val="00D96D89"/>
    <w:rsid w:val="00DD2F69"/>
    <w:rsid w:val="00DD4656"/>
    <w:rsid w:val="00DD7F09"/>
    <w:rsid w:val="00DE4248"/>
    <w:rsid w:val="00E03D44"/>
    <w:rsid w:val="00E206A8"/>
    <w:rsid w:val="00E436DF"/>
    <w:rsid w:val="00E71199"/>
    <w:rsid w:val="00EB718C"/>
    <w:rsid w:val="00EB7B15"/>
    <w:rsid w:val="00EC5BFE"/>
    <w:rsid w:val="00EF3618"/>
    <w:rsid w:val="00F234DD"/>
    <w:rsid w:val="00F44A53"/>
    <w:rsid w:val="00F45554"/>
    <w:rsid w:val="00F6329C"/>
    <w:rsid w:val="00FB0B6E"/>
    <w:rsid w:val="00FB0C18"/>
    <w:rsid w:val="00FE6A2B"/>
    <w:rsid w:val="00FF3ECB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6E47D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6D51"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0E105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27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27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27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27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27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B32E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A0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ett">
    <w:name w:val="Strong"/>
    <w:basedOn w:val="Absatz-Standardschriftart"/>
    <w:uiPriority w:val="22"/>
    <w:qFormat/>
    <w:rsid w:val="00A06D51"/>
    <w:rPr>
      <w:b/>
      <w:bCs/>
    </w:rPr>
  </w:style>
  <w:style w:type="character" w:styleId="Hervorhebung">
    <w:name w:val="Emphasis"/>
    <w:basedOn w:val="Absatz-Standardschriftart"/>
    <w:uiPriority w:val="20"/>
    <w:qFormat/>
    <w:rsid w:val="00A06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r-adfs-address/FederationMetadata/2007-06/FederationMetadata.x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3412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16</cp:revision>
  <cp:lastPrinted>2018-06-22T08:05:00Z</cp:lastPrinted>
  <dcterms:created xsi:type="dcterms:W3CDTF">2019-01-18T08:33:00Z</dcterms:created>
  <dcterms:modified xsi:type="dcterms:W3CDTF">2020-07-08T09:11:00Z</dcterms:modified>
</cp:coreProperties>
</file>