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4D984E" w14:textId="69968C01" w:rsidR="00FE52E9" w:rsidRDefault="00FE52E9" w:rsidP="00FE52E9">
      <w:pPr>
        <w:pStyle w:val="Heading1"/>
      </w:pPr>
      <w:r>
        <w:t>The Phytoplankton Community Response to California Lightning Fires in the Monterey Bay</w:t>
      </w:r>
    </w:p>
    <w:p w14:paraId="06AF17DA" w14:textId="77777777" w:rsidR="00FE52E9" w:rsidRPr="00FE52E9" w:rsidRDefault="00FE52E9" w:rsidP="00FE52E9">
      <w:r w:rsidRPr="00FE52E9">
        <w:t xml:space="preserve">Dante Capone </w:t>
      </w:r>
      <w:r w:rsidRPr="00FE52E9">
        <w:rPr>
          <w:vertAlign w:val="superscript"/>
        </w:rPr>
        <w:t>1</w:t>
      </w:r>
      <w:r w:rsidRPr="00FE52E9">
        <w:t>; Patrick Daniel</w:t>
      </w:r>
      <w:r w:rsidRPr="00FE52E9">
        <w:rPr>
          <w:vertAlign w:val="superscript"/>
        </w:rPr>
        <w:t>2</w:t>
      </w:r>
      <w:r w:rsidRPr="00FE52E9">
        <w:t>; Raphael Kudela</w:t>
      </w:r>
      <w:r w:rsidRPr="00FE52E9">
        <w:rPr>
          <w:vertAlign w:val="superscript"/>
        </w:rPr>
        <w:t>2,</w:t>
      </w:r>
      <w:r w:rsidRPr="00FE52E9">
        <w:t xml:space="preserve"> Andrew Barton</w:t>
      </w:r>
      <w:r w:rsidRPr="00FE52E9">
        <w:rPr>
          <w:vertAlign w:val="superscript"/>
        </w:rPr>
        <w:t xml:space="preserve">1, </w:t>
      </w:r>
      <w:r w:rsidRPr="00FE52E9">
        <w:t>Mati Kahru</w:t>
      </w:r>
      <w:r w:rsidRPr="00FE52E9">
        <w:rPr>
          <w:vertAlign w:val="superscript"/>
        </w:rPr>
        <w:t>1</w:t>
      </w:r>
      <w:r w:rsidRPr="00FE52E9">
        <w:t xml:space="preserve"> Moira Décima</w:t>
      </w:r>
      <w:r w:rsidRPr="00FE52E9">
        <w:rPr>
          <w:vertAlign w:val="superscript"/>
        </w:rPr>
        <w:t>1</w:t>
      </w:r>
    </w:p>
    <w:p w14:paraId="0632BAE0" w14:textId="77777777" w:rsidR="00FE52E9" w:rsidRPr="00FE52E9" w:rsidRDefault="00FE52E9" w:rsidP="00FE52E9">
      <w:r w:rsidRPr="00FE52E9">
        <w:rPr>
          <w:vertAlign w:val="superscript"/>
        </w:rPr>
        <w:t>1</w:t>
      </w:r>
      <w:r w:rsidRPr="00FE52E9">
        <w:t xml:space="preserve">Scripps Institution of Oceanography, University of California San Diego, </w:t>
      </w:r>
      <w:r w:rsidRPr="00FE52E9">
        <w:rPr>
          <w:vertAlign w:val="superscript"/>
        </w:rPr>
        <w:t>2</w:t>
      </w:r>
      <w:r w:rsidRPr="00FE52E9">
        <w:t>University of California, Santa Cruz</w:t>
      </w:r>
    </w:p>
    <w:p w14:paraId="60E14015" w14:textId="77777777" w:rsidR="00FE52E9" w:rsidRDefault="00FE52E9" w:rsidP="00FE52E9"/>
    <w:p w14:paraId="3FF857BE" w14:textId="57D5157E" w:rsidR="00FE52E9" w:rsidRPr="00FE52E9" w:rsidRDefault="00FE52E9" w:rsidP="00FE52E9">
      <w:pPr>
        <w:pStyle w:val="Heading1"/>
      </w:pPr>
      <w:r>
        <w:t>Abstract</w:t>
      </w:r>
    </w:p>
    <w:p w14:paraId="1814B041" w14:textId="3DC70668" w:rsidR="00FE52E9" w:rsidRDefault="00FE52E9" w:rsidP="00FE52E9">
      <w:pPr>
        <w:pStyle w:val="Heading1"/>
      </w:pPr>
      <w:r>
        <w:t>Introduction</w:t>
      </w:r>
    </w:p>
    <w:p w14:paraId="473B7323" w14:textId="530613EB" w:rsidR="00E52C43" w:rsidRDefault="00E52C43" w:rsidP="00FE52E9">
      <w:pPr>
        <w:ind w:firstLine="720"/>
      </w:pPr>
      <w:r>
        <w:t xml:space="preserve">In the fall of 2020, California experienced some of the largest fires in state history. </w:t>
      </w:r>
    </w:p>
    <w:p w14:paraId="0025CA6E" w14:textId="25E46D22" w:rsidR="00FE52E9" w:rsidRPr="00F21896" w:rsidRDefault="00FE52E9" w:rsidP="00FE52E9">
      <w:pPr>
        <w:ind w:firstLine="720"/>
      </w:pPr>
      <w:r w:rsidRPr="00F21896">
        <w:t xml:space="preserve">The Western US has experienced an increase in wildfires driven by anthropogenic climate change, natural climate variability and human alterations to land and fire regimes </w:t>
      </w:r>
      <w:r w:rsidRPr="00F21896">
        <w:fldChar w:fldCharType="begin"/>
      </w:r>
      <w:r w:rsidRPr="00F21896">
        <w:instrText xml:space="preserve"> ADDIN ZOTERO_ITEM CSL_CITATION {"citationID":"rNvH32Dv","properties":{"formattedCitation":"(Abatzoglou and Williams, 2016)","plainCitation":"(Abatzoglou and Williams, 2016)","noteIndex":0},"citationItems":[{"id":897,"uris":["http://zotero.org/groups/5151425/items/AU955LLN"],"itemData":{"id":897,"type":"article-journal","abstract":"Increased forest fire activity across the western continental United States (US) in recent decades has likely been enabled by a number of factors, including the legacy of fire suppression and human settlement, natural climate variability, and human-caused climate change. We use modeled climate projections to estimate the contribution of anthropogenic climate change to observed increases in eight fuel aridity metrics and forest fire area across the western United States. Anthropogenic increases in temperature and vapor pressure deficit significantly enhanced fuel aridity across western US forests over the past several decades and, during 2000–2015, contributed to 75% more forested area experiencing high (&gt;1 σ) fire-season fuel aridity and an average of nine additional days per year of high fire potential. Anthropogenic climate change accounted for </w:instrText>
      </w:r>
      <w:r w:rsidRPr="00F21896">
        <w:rPr>
          <w:rFonts w:ascii="Cambria Math" w:hAnsi="Cambria Math" w:cs="Cambria Math"/>
        </w:rPr>
        <w:instrText>∼</w:instrText>
      </w:r>
      <w:r w:rsidRPr="00F21896">
        <w:instrText xml:space="preserve">55% of observed increases in fuel aridity from 1979 to 2015 across western US forests, highlighting both anthropogenic climate change and natural climate variability as important contributors to increased wildfire potential in recent decades. We estimate that human-caused climate change contributed to an additional 4.2 million ha of forest fire area during 1984–2015, nearly doubling the forest fire area expected in its absence. Natural climate variability will continue to alternate between modulating and compounding anthropogenic increases in fuel aridity, but anthropogenic climate change has emerged as a driver of increased forest fire activity and should continue to do so while fuels are not limiting.","container-title":"Proceedings of the National Academy of Sciences","DOI":"10.1073/pnas.1607171113","issue":"42","note":"publisher: Proceedings of the National Academy of Sciences","page":"11770-11775","source":"pnas.org (Atypon)","title":"Impact of anthropogenic climate change on wildfire across western US forests","volume":"113","author":[{"family":"Abatzoglou","given":"John T."},{"family":"Williams","given":"A. Park"}],"issued":{"date-parts":[["2016",10,18]]}}}],"schema":"https://github.com/citation-style-language/schema/raw/master/csl-citation.json"} </w:instrText>
      </w:r>
      <w:r w:rsidRPr="00F21896">
        <w:fldChar w:fldCharType="separate"/>
      </w:r>
      <w:r w:rsidRPr="00F21896">
        <w:t>(</w:t>
      </w:r>
      <w:proofErr w:type="spellStart"/>
      <w:r w:rsidRPr="00F21896">
        <w:t>Abatzoglou</w:t>
      </w:r>
      <w:proofErr w:type="spellEnd"/>
      <w:r w:rsidRPr="00F21896">
        <w:t xml:space="preserve"> and Williams, 2016)</w:t>
      </w:r>
      <w:r w:rsidRPr="00F21896">
        <w:fldChar w:fldCharType="end"/>
      </w:r>
      <w:r w:rsidRPr="00F21896">
        <w:t xml:space="preserve">. Climate models project an increase in the frequency of extreme fires related to temperature-driven aridity and temporal shifts in precipitation (Goss et al., 2020; Swain, 2021). California has been struck particularly hard, with a fivefold increase in the amount of burned area from 1972-2018 </w:t>
      </w:r>
      <w:r w:rsidRPr="00F21896">
        <w:fldChar w:fldCharType="begin"/>
      </w:r>
      <w:r w:rsidRPr="00F21896">
        <w:instrText xml:space="preserve"> ADDIN ZOTERO_ITEM CSL_CITATION {"citationID":"MxxcrWE8","properties":{"formattedCitation":"(Williams {\\i{}et al.}, 2019)","plainCitation":"(Williams et al., 2019)","noteIndex":0},"citationItems":[{"id":34,"uris":["http://zotero.org/users/5931118/items/4G5DKA2F"],"itemData":{"id":34,"type":"article-journal","abstract":"Recent fire seasons have fueled intense speculation regarding the effect of anthropogenic climate change on wildfire in western North America and especially in California. During 1972–2018, California experienced a fivefold increase in annual burned area, mainly due to more than an eightfold increase in summer forest-fire extent. Increased summer forest-fire area very likely occurred due to increased atmospheric aridity caused by warming. Since the early 1970s, warm-season days warmed by approximately 1.4 °C as part of a centennial warming trend, significantly increasing the atmospheric vapor pressure deficit (VPD). These trends are consistent with anthropogenic trends simulated by climate models. The response of summer forest-fire area to VPD is exponential, meaning that warming has grown increasingly impactful. Robust interannual relationships between VPD and summer forest-fire area strongly suggest that nearly all of the increase in summer forest-fire area during 1972–2018 was driven by increased VPD. Climate change effects on summer wildfire were less evident in nonforested lands. In fall, wind events and delayed onset of winter precipitation are the dominant promoters of wildfire. While these variables did not change much over the past century, background warming and consequent fuel drying is increasingly enhancing the potential for large fall wildfires. Among the many processes important to California's diverse fire regimes, warming-driven fuel drying is the clearest link between anthropogenic climate change and increased California wildfire activity to date.","container-title":"Earth's Future","DOI":"10.1029/2019EF001210","ISSN":"2328-4277","issue":"8","language":"en","license":"©2019. The Authors.","page":"892-910","source":"Wiley Online Library","title":"Observed Impacts of Anthropogenic Climate Change on Wildfire in California","volume":"7","author":[{"family":"Williams","given":"A. Park"},{"family":"Abatzoglou","given":"John T."},{"family":"Gershunov","given":"Alexander"},{"family":"Guzman</w:instrText>
      </w:r>
      <w:r w:rsidRPr="00F21896">
        <w:rPr>
          <w:rFonts w:ascii="Cambria Math" w:hAnsi="Cambria Math" w:cs="Cambria Math"/>
        </w:rPr>
        <w:instrText>‐</w:instrText>
      </w:r>
      <w:r w:rsidRPr="00F21896">
        <w:instrText xml:space="preserve">Morales","given":"Janin"},{"family":"Bishop","given":"Daniel A."},{"family":"Balch","given":"Jennifer K."},{"family":"Lettenmaier","given":"Dennis P."}],"issued":{"date-parts":[["2019"]]}}}],"schema":"https://github.com/citation-style-language/schema/raw/master/csl-citation.json"} </w:instrText>
      </w:r>
      <w:r w:rsidRPr="00F21896">
        <w:fldChar w:fldCharType="separate"/>
      </w:r>
      <w:r w:rsidRPr="00F21896">
        <w:t xml:space="preserve">(Williams </w:t>
      </w:r>
      <w:r w:rsidRPr="00F21896">
        <w:rPr>
          <w:i/>
          <w:iCs/>
        </w:rPr>
        <w:t>et al.</w:t>
      </w:r>
      <w:r w:rsidRPr="00F21896">
        <w:t>, 2019)</w:t>
      </w:r>
      <w:r w:rsidRPr="00F21896">
        <w:fldChar w:fldCharType="end"/>
      </w:r>
      <w:r w:rsidRPr="00F21896">
        <w:t xml:space="preserve">. Recent wildfires have had adverse effects on human health and increased economic costs </w:t>
      </w:r>
      <w:r w:rsidRPr="00F21896">
        <w:fldChar w:fldCharType="begin"/>
      </w:r>
      <w:r w:rsidRPr="00F21896">
        <w:instrText xml:space="preserve"> ADDIN ZOTERO_ITEM CSL_CITATION {"citationID":"nm5TWkLg","properties":{"formattedCitation":"(Leibel {\\i{}et al.}, 2020; Aguilera {\\i{}et al.}, 2021; Liao and Kousky, 2021)","plainCitation":"(Leibel et al., 2020; Aguilera et al., 2021; Liao and Kousky, 2021)","noteIndex":0},"citationItems":[{"id":890,"uris":["http://zotero.org/groups/5151425/items/55G35X72"],"itemData":{"id":890,"type":"article-journal","abstract":"Rationale: There is significant evidence of increased healthcare utilization from cardiopulmonary causes in adults from exposure to wildfire smoke, but evidence in pediatric age groups is limited.Objectives: To quantify and examine the healthcare utilization effects of the December 2017 Lilac Fire in San Diego County among pediatric patients at the Rady Children's Hospital (RCH) emergency department and urgent care (UC) clinics.Methods: Using data from 2011 to 2017, including data on daily particulate matter &lt;2.5 μm (PM2.5) in an inverse-distance interpolation model and RCH electronic medical records, we retrospectively analyzed pediatric respiratory visits at the RCH emergency department and UC clinics during the Santa Ana wind (SAW)-driven Lilac Fire from December 7 to 16, 2017. An interrupted time series study design was applied as our primary analysis to compare the observed pediatric respiratory visits from December 7 to 16, 2017 to what would have occurred in a counterfactual situation, namely, if the Lilac Fire had not occurred. A complementary descriptive spatial analysis was also used to evaluate the geographic distribution of respiratory visits in relationship to satellite imaging of the Lilac Fire and the associated wind pattern.Results: The Lilac Fire was associated with 16.0 (95% confidence interval [CI], 11.2-20.9) excess respiratory visits per day at the RCH emergency department across all pediatric age groups. Children aged 0 to 5 years had the highest absolute excess respiratory visits per day with 7.3 (95% CI, 3.0-11.7), whereas those aged 6 to 12 years had the highest relative increase in visits, with 3.4 (95% CI, 2.3-4.6). RCH UC clinics had similar results. The top five ZIP codes in San Diego County with the highest standard deviations of age-adjusted respiratory visits were all located generally downwind of the fire perimeter, as expected for the SAW pattern.Conclusions: We have demonstrated an increase in pediatric respiratory visits during the SAW-driven Lilac Fire in San Diego County in a patterned geographic distribution that is attributable to an increase in PM2.5 exposure. Younger children were particularly affected. Climate change is expected to result in more frequent and extensive wildfires in the region and will require greater preparedness and adaptation efforts to protect vulnerable populations, such as young children.","container-title":"Annals of the American Thoracic Society","DOI":"10.1513/AnnalsATS.201902-150OC","ISSN":"2325-6621","issue":"3","journalAbbreviation":"Ann Am Thorac Soc","language":"eng","note":"PMID: 31860802","page":"313-320","source":"PubMed","title":"Increase in Pediatric Respiratory Visits Associated with Santa Ana Wind-Driven Wildfire Smoke and PM2.5 Levels in San Diego County","volume":"17","author":[{"family":"Leibel","given":"Sydney"},{"family":"Nguyen","given":"Margaret"},{"family":"Brick","given":"William"},{"family":"Parker","given":"Jacob"},{"family":"Ilango","given":"Sindana"},{"family":"Aguilera","given":"Rosana"},{"family":"Gershunov","given":"Alexander"},{"family":"Benmarhnia","given":"Tarik"}],"issued":{"date-parts":[["2020",3]]}}},{"id":888,"uris":["http://zotero.org/groups/5151425/items/U2LGMYTI"],"itemData":{"id":888,"type":"article-journal","abstract":"10.1542/6227394031001Video AbstractPEDS-VA_2020-0271286227394031001Exposure to airborne fine particles with diameters ≤2.5 μm (PM2.5) pollution is a well-established cause of respiratory diseases in children; whether wildfire-specific PM2.5 causes more damage, however, remains uncertain. We examine the associations between wildfire-specific PM2.5 and pediatric respiratory health during the period 2011–2017 in San Diego County, California, and compare these results with other sources of PM2.5.Visits to emergency and urgent care facilities of Rady’s Children Hospital network in San Diego County, California, by individuals (aged ≤19 years) with ≥1 of the following respiratory conditions: difficulty breathing, respiratory distress, wheezing, asthma, or cough were regressed on daily, community-level exposure to wildfire-specific PM2.5 and PM2.5 from ambient sources (eg, traffic emissions).A 10-unit increase in PM2.5 (from nonsmoke sources) was estimated to increase the number of admissions by 3.7% (95% confidence interval: 1.2% to 6.1%). In contrast, the effect of PM2.5 attributable to wildfire was estimated to be a 30.0% (95% confidence interval: 26.6% to 33.4%) increase in visits.Wildfire-specific PM2.5 was found to be </w:instrText>
      </w:r>
      <w:r w:rsidRPr="00F21896">
        <w:rPr>
          <w:rFonts w:ascii="Cambria Math" w:hAnsi="Cambria Math" w:cs="Cambria Math"/>
        </w:rPr>
        <w:instrText>∼</w:instrText>
      </w:r>
      <w:r w:rsidRPr="00F21896">
        <w:instrText xml:space="preserve">10 times more harmful on children’s respiratory health than PM2.5 from other sources, particularly for children aged 0 to 5 years. Even relatively modest wildfires and associated PM2.5 resolved on our record produced major health impacts, particularly for younger children, in comparison with ambient PM2.5.","container-title":"Pediatrics","DOI":"10.1542/peds.2020-027128","ISSN":"0031-4005","issue":"4","journalAbbreviation":"Pediatrics","page":"e2020027128","source":"Silverchair","title":"Fine Particles in Wildfire Smoke and Pediatric Respiratory Health in California","volume":"147","author":[{"family":"Aguilera","given":"Rosana"},{"family":"Corringham","given":"Thomas"},{"family":"Gershunov","given":"Alexander"},{"family":"Leibel","given":"Sydney"},{"family":"Benmarhnia","given":"Tarik"}],"issued":{"date-parts":[["2021",4,1]]}}},{"id":895,"uris":["http://zotero.org/groups/5151425/items/F4LDQZB4"],"itemData":{"id":895,"type":"article","abstract":"This paper provides some of the first empirical estimates of the impact of natural disasters on the subcomponents of municipal budgets. We combine detailed municipal financial data from 1990-2015 with data on historical wildfire perimeters in California. We find that wildfires increase both revenues and expenditures. Sales taxes temporarily increase. Property taxes increase to a permanently higher level; this appears due to California law that limits reassessments of property until time of sale. Wildfires also cause a long-term increase in local spending on community development and public safety. The overall impact of wildfires on municipal budgets is negative and substantial. That said, in comparison to the spending by state and federal governments on wildfire suppression and response, municipalities are surprisingly insulated from the costs of wildfires.","DOI":"10.2139/ssrn.3612311","event-place":"Rochester, NY","genre":"SSRN Scholarly Paper","language":"en","number":"3612311","publisher-place":"Rochester, NY","source":"Social Science Research Network","title":"The Fiscal Impacts of Wildfires on California Municipalities","URL":"https://papers.ssrn.com/abstract=3612311","author":[{"family":"Liao","given":"Yanjun"},{"family":"Kousky","given":"Carolyn"}],"accessed":{"date-parts":[["2023",9,29]]},"issued":{"date-parts":[["2021",9,24]]}}}],"schema":"https://github.com/citation-style-language/schema/raw/master/csl-citation.json"} </w:instrText>
      </w:r>
      <w:r w:rsidRPr="00F21896">
        <w:fldChar w:fldCharType="separate"/>
      </w:r>
      <w:r w:rsidRPr="00F21896">
        <w:t xml:space="preserve">(Leibel </w:t>
      </w:r>
      <w:r w:rsidRPr="00F21896">
        <w:rPr>
          <w:i/>
          <w:iCs/>
        </w:rPr>
        <w:t>et al.</w:t>
      </w:r>
      <w:r w:rsidRPr="00F21896">
        <w:t xml:space="preserve">, 2020; Aguilera </w:t>
      </w:r>
      <w:r w:rsidRPr="00F21896">
        <w:rPr>
          <w:i/>
          <w:iCs/>
        </w:rPr>
        <w:t>et al.</w:t>
      </w:r>
      <w:r w:rsidRPr="00F21896">
        <w:t xml:space="preserve">, 2021; Liao and </w:t>
      </w:r>
      <w:proofErr w:type="spellStart"/>
      <w:r w:rsidRPr="00F21896">
        <w:t>Kousky</w:t>
      </w:r>
      <w:proofErr w:type="spellEnd"/>
      <w:r w:rsidRPr="00F21896">
        <w:t>, 2021)</w:t>
      </w:r>
      <w:r w:rsidRPr="00F21896">
        <w:fldChar w:fldCharType="end"/>
      </w:r>
      <w:r w:rsidRPr="00F21896">
        <w:t xml:space="preserve">. Post-fire debris flows can also impact the watershed, geomorphology and biogeochemistry of the local ecosystems </w:t>
      </w:r>
      <w:r w:rsidRPr="00F21896">
        <w:fldChar w:fldCharType="begin"/>
      </w:r>
      <w:r w:rsidRPr="00F21896">
        <w:instrText xml:space="preserve"> ADDIN ZOTERO_ITEM CSL_CITATION {"citationID":"F09fBa0L","properties":{"formattedCitation":"(Addison and Oommen, 2020; Uzun {\\i{}et al.}, 2020)","plainCitation":"(Addison and Oommen, 2020; Uzun et al., 2020)","noteIndex":0},"citationItems":[{"id":877,"uris":["http://zotero.org/groups/5151425/items/K3T7TZBN"],"itemData":{"id":877,"type":"article-journal","abstract":"There is an increased risk in post-fire debris flow (DF) occurrences in the western USA with recent increase in wildfire frequencies. DFs are destructive, causing high loss to lives and infrastructure. A lot of effort is going into possible preventive and/or mitigation measures. Recent research efforts in this niche focus on developing statistical models that assist emergency responders in isolating high-hazard locations after fires. There are two general approaches to this statistical modeling: linear and nonlinear. This study has looked into applying a linear-based logistic regression model and a nonlinear-based C5.0 decision tree model to assess the strength of each in predicting the locations within the Thomas Fire boundary that produced DFs. To do this, DF scars were delineated by running a change detection protocol known as delta normalized difference vegetation index (dNDVI), using high spatial resolution data from Planet Labs. These scars were further validated with data gathered by Santa Barbara County officials on affected areas. Results from the two statistical models were then overlain on the delineated DF scars and compared against each other to determine predictive strengths. The results revealed both models to perform well in predicting high probabilities for locations that were shown to produce DFs. The logistic regression model predicted an overall ~</w:instrText>
      </w:r>
      <w:r w:rsidRPr="00F21896">
        <w:rPr>
          <w:rFonts w:ascii="Arial" w:hAnsi="Arial" w:cs="Arial"/>
        </w:rPr>
        <w:instrText> </w:instrText>
      </w:r>
      <w:r w:rsidRPr="00F21896">
        <w:instrText>44,800</w:instrText>
      </w:r>
      <w:r w:rsidRPr="00F21896">
        <w:rPr>
          <w:rFonts w:ascii="Aptos" w:hAnsi="Aptos" w:cs="Aptos"/>
        </w:rPr>
        <w:instrText> </w:instrText>
      </w:r>
      <w:r w:rsidRPr="00F21896">
        <w:instrText xml:space="preserve">ha (49%) more high-hazard coverage compared to the C5.0 tree and therefore showed greater urgency. However, a closer look at the basin predictions with the delineated DF scars showed that most of these high-hazard basins identified by the logistic regression did not to have any discernible scars. It was projected that most of these locations were likely false positives and further fine-tuning of the model was recommended. Further recommendation was made concerning the development of additional models to predict potential DF inundation paths. Combining origination and inundation models will be most beneficial since the greatest associated danger with DFs is not necessarily where they start, but rather further downstream where most communities and infrastructure are situated.","container-title":"Natural Hazards","DOI":"10.1007/s11069-019-03814-x","ISSN":"1573-0840","issue":"1","journalAbbreviation":"Nat Hazards","language":"en","page":"329-343","source":"Springer Link","title":"Post-fire debris flow modeling analyses: case study of the post-Thomas Fire event in California","title-short":"Post-fire debris flow modeling analyses","volume":"100","author":[{"family":"Addison","given":"Priscilla"},{"family":"Oommen","given":"Thomas"}],"issued":{"date-parts":[["2020",1,1]]}}},{"id":879,"uris":["http://zotero.org/groups/5151425/items/YSQ3MP2R"],"itemData":{"id":879,"type":"article-journal","abstract":"We investigated the effects of two California wildfires (Rocky and Wragg Fires, 2015) compared to an unburned reference watershed on water quality, dissolved organic matter (DOM), and precursors of disinfection by-products (DBPs) for two years’ post-fire. The two burned watersheds both experienced wildfires but differed in the proportion of burned watershed areas. Burned watersheds showed rapid water quality degradation from elevated levels of turbidity, color, and suspended solids, with greater degradation in the more extensively burned watershed. During the first year’s initial flushes, concentrations of dissolved organic carbon (DOC), dissolved organic nitrogen (DON), ammonium (NH4+/NH3), and specific ultraviolet absorbance (SUVA254) were significantly higher (67 ± 40%, 418 ± 125%, 192 ± 120%, and 31 ± 17%, respectively) in the more extensively burned watershed compared to the reference watershed. These elevated values gradually declined and finally returned to levels like the reference watershed in the second year. Nitrate concentrations were near detection limits (0.01 mg-N/L) in the first year but showed a large increase in fire-impacted streams during the second rainy season, possibly due to delayed nitrification. Changes in DOM composition, especially during the initial storm events, indicated that fires can attenuate humic-like and soluble microbial by-product-like (SMP) DOM while increasing the proportion of fulvic-like, tryptophan-like, and tyrosine-like compounds. Elevated bromide (Br−) concentrations (up to 8.7 μM]) caused a shift in speciation of trihalomethanes (THMs) and haloacetic acids (HAAs) to brominated species for extended periods (up to 2 years). Wildfire also resulted in elevated concentrations of N-nitrosodimethylamine (NDMA) precursors. Such changes in THM, HAA, and NDMA precursors following wildfires pose a potential treatability challenge for drinking water treatment, but the effects are relatively short-term (≤1 year).","container-title":"Water Research","DOI":"10.1016/j.watres.2020.115891","ISSN":"0043-1354","journalAbbreviation":"Water Research","page":"115891","source":"ScienceDirect","title":"Two years of post-wildfire impacts on dissolved organic matter, nitrogen, and precursors of disinfection by-products in California stream waters","volume":"181","author":[{"family":"Uzun","given":"Habibullah"},{"family":"Dahlgren","given":"Randy A."},{"family":"Olivares","given":"Christopher"},{"family":"Erdem","given":"Cagri Utku"},{"family":"Karanfil","given":"Tanju"},{"family":"Chow","given":"Alex T."}],"issued":{"date-parts":[["2020",8,15]]}}}],"schema":"https://github.com/citation-style-language/schema/raw/master/csl-citation.json"} </w:instrText>
      </w:r>
      <w:r w:rsidRPr="00F21896">
        <w:fldChar w:fldCharType="separate"/>
      </w:r>
      <w:r w:rsidRPr="00F21896">
        <w:t xml:space="preserve">(Addison and Oommen, 2020; Uzun </w:t>
      </w:r>
      <w:r w:rsidRPr="00F21896">
        <w:rPr>
          <w:i/>
          <w:iCs/>
        </w:rPr>
        <w:t>et al.</w:t>
      </w:r>
      <w:r w:rsidRPr="00F21896">
        <w:t>, 2020)</w:t>
      </w:r>
      <w:r w:rsidRPr="00F21896">
        <w:fldChar w:fldCharType="end"/>
      </w:r>
      <w:r w:rsidRPr="00F21896">
        <w:t xml:space="preserve">. </w:t>
      </w:r>
    </w:p>
    <w:p w14:paraId="44D39D5A" w14:textId="77777777" w:rsidR="00FE52E9" w:rsidRPr="00F21896" w:rsidRDefault="00FE52E9" w:rsidP="00FE52E9">
      <w:pPr>
        <w:ind w:firstLine="720"/>
      </w:pPr>
      <w:r w:rsidRPr="00F21896">
        <w:t xml:space="preserve">In terrestrial and freshwater ecosystems, wildfires have been shown to increase net productivity, alter biogeochemistry, reduce the availability of </w:t>
      </w:r>
      <w:proofErr w:type="gramStart"/>
      <w:r w:rsidRPr="00F21896">
        <w:t>photosynthetically-active</w:t>
      </w:r>
      <w:proofErr w:type="gramEnd"/>
      <w:r w:rsidRPr="00F21896">
        <w:t xml:space="preserve"> radiation (PAR) and UV-B, and influence community structure (Klose, Cooper and Bennett, 2015; Scordo et al., 2021, 2022). Wildfires can restructure aquatic communities through both top-down and bottom-up effects, impacting multiple trophic levels (Cooper et al., 2015). Smoke has been shown to release epi-pelagic phytoplankton from photoinhibition, leading to increased primary productivity and biomass-specific photosynthetic rates </w:t>
      </w:r>
      <w:r w:rsidRPr="00F21896">
        <w:fldChar w:fldCharType="begin"/>
      </w:r>
      <w:r w:rsidRPr="00F21896">
        <w:instrText xml:space="preserve"> ADDIN ZOTERO_ITEM CSL_CITATION {"citationID":"3va7JuJC","properties":{"formattedCitation":"(Urmy {\\i{}et al.}, 2016; Scordo {\\i{}et al.}, 2022)","plainCitation":"(Urmy et al., 2016; Scordo et al., 2022)","noteIndex":0},"citationItems":[{"id":618,"uris":["http://zotero.org/groups/5151425/items/PAM7I28K"],"itemData":{"id":618,"type":"article-journal","abstract":"We used a natural experiment to test whether wildfire smoke induced changes in the vertical distribution of zooplankton in Lake Tahoe by decreasing incident ultraviolet radiation (UV). Fires have a variety of effects on aquatic ecosystems, but these impacts are poorly understood and have rarely been observed directly. UV is an important driver of zooplankton vertical migration, and wildfires may alter it over large spatial scales. We measured UV irradiance and the distribution of zooplankton on two successive days. On one day, smoke haze from a nearby wildfire reduced incident UV radiation by up to 9%, but not irradiance in the visible spectrum. Zooplankton responded by positioning themselves, on average, 4.1 m shallower in the lake. While a limited data set such as this requires cautious interpretation, our results suggest that smoke from wildfires can change the UV environment and distribution of zooplankton. This process may be important in drought-prone regions with increasingly frequent wildfires, and globally due to widespread biomass burning.","container-title":"Geophysical Research Letters","DOI":"10.1002/2016GL068533","ISSN":"1944-8007","issue":"8","language":"en","license":"©2016. American Geophysical Union. All Rights Reserved.","note":"_eprint: https://onlinelibrary.wiley.com/doi/pdf/10.1002/2016GL068533","page":"3746-3753","source":"Wiley Online Library","title":"Vertical redistribution of zooplankton in an oligotrophic lake associated with reduction in ultraviolet radiation by wildfire smoke","volume":"43","author":[{"family":"Urmy","given":"Samuel S."},{"family":"Williamson","given":"Craig E."},{"family":"Leach","given":"Taylor H."},{"family":"Schladow","given":"S. Geoffrey"},{"family":"Overholt","given":"Erin P."},{"family":"Warren","given":"Joseph D."}],"issued":{"date-parts":[["2016"]]}}},{"id":621,"uris":["http://zotero.org/groups/5151425/items/QX2XT4WV"],"itemData":{"id":621,"type":"article-journal","abstract":"The impacts of wildfire smoke on lake habitats remains unclear. We determined the metabolic response to smoke in the epi-pelagic and two littoral habitats in Castle Lake, California. We compared light regime, gross primary production, ecosystem respiration, and net ecosystem production in years with and without smoke. During the smoke period incident ultraviolet-B (UV-B) radiation and photosynthetically active radiation (PAR) decreased by 53% and 28%, respectively, while the water column extinction coefficient of UV-B and PAR increased by 20% and 18% respectively. Epi-pelagic productivity increased during smoke cover because of decreased solar inputs. PAR values remained sufficient to saturate productivity, suggesting observed differences were primarily the result of changes in UV-B. Littoral-benthic productivity did not change, possibly reflecting adaptation to high-intensity UV-B light in these habitats. Our results highlight the importance of understanding how prolonged wildfire smoke alters the amount of energy produced from specific habitats in lakes.","container-title":"Geophysical Research Letters","DOI":"10.1029/2021GL097057","ISSN":"1944-8007","issue":"7","language":"en","note":"_eprint: https://onlinelibrary.wiley.com/doi/pdf/10.1029/2021GL097057","page":"e2021GL097057","source":"Wiley Online Library","title":"Wildfire Smoke Effects on Lake-Habitat Specific Metabolism: Toward a Conceptual Understanding","title-short":"Wildfire Smoke Effects on Lake-Habitat Specific Metabolism","volume":"49","author":[{"family":"Scordo","given":"Facundo"},{"family":"Sadro","given":"Steven"},{"family":"Culpepper","given":"Joshua"},{"family":"Seitz","given":"Carina"},{"family":"Chandra","given":"Sudeep"}],"issued":{"date-parts":[["2022"]]}}}],"schema":"https://github.com/citation-style-language/schema/raw/master/csl-citation.json"} </w:instrText>
      </w:r>
      <w:r w:rsidRPr="00F21896">
        <w:fldChar w:fldCharType="separate"/>
      </w:r>
      <w:r w:rsidRPr="00F21896">
        <w:t>(</w:t>
      </w:r>
      <w:proofErr w:type="spellStart"/>
      <w:r w:rsidRPr="00F21896">
        <w:t>Urmy</w:t>
      </w:r>
      <w:proofErr w:type="spellEnd"/>
      <w:r w:rsidRPr="00F21896">
        <w:t xml:space="preserve"> </w:t>
      </w:r>
      <w:r w:rsidRPr="00F21896">
        <w:rPr>
          <w:i/>
          <w:iCs/>
        </w:rPr>
        <w:t>et al.</w:t>
      </w:r>
      <w:r w:rsidRPr="00F21896">
        <w:t xml:space="preserve">, 2016; Scordo </w:t>
      </w:r>
      <w:r w:rsidRPr="00F21896">
        <w:rPr>
          <w:i/>
          <w:iCs/>
        </w:rPr>
        <w:t>et al.</w:t>
      </w:r>
      <w:r w:rsidRPr="00F21896">
        <w:t>, 2022)</w:t>
      </w:r>
      <w:r w:rsidRPr="00F21896">
        <w:fldChar w:fldCharType="end"/>
      </w:r>
      <w:r w:rsidRPr="00F21896">
        <w:t xml:space="preserve">. Smoke also impacts higher trophic levels through reductions in zooplankton vertical migration magnitudes </w:t>
      </w:r>
      <w:r w:rsidRPr="00F21896">
        <w:fldChar w:fldCharType="begin"/>
      </w:r>
      <w:r w:rsidRPr="00F21896">
        <w:instrText xml:space="preserve"> ADDIN ZOTERO_ITEM CSL_CITATION {"citationID":"DEHWyne2","properties":{"formattedCitation":"(Urmy {\\i{}et al.}, 2016; Scordo {\\i{}et al.}, 2022)","plainCitation":"(Urmy et al., 2016; Scordo et al., 2022)","noteIndex":0},"citationItems":[{"id":618,"uris":["http://zotero.org/groups/5151425/items/PAM7I28K"],"itemData":{"id":618,"type":"article-journal","abstract":"We used a natural experiment to test whether wildfire smoke induced changes in the vertical distribution of zooplankton in Lake Tahoe by decreasing incident ultraviolet radiation (UV). Fires have a variety of effects on aquatic ecosystems, but these impacts are poorly understood and have rarely been observed directly. UV is an important driver of zooplankton vertical migration, and wildfires may alter it over large spatial scales. We measured UV irradiance and the distribution of zooplankton on two successive days. On one day, smoke haze from a nearby wildfire reduced incident UV radiation by up to 9%, but not irradiance in the visible spectrum. Zooplankton responded by positioning themselves, on average, 4.1 m shallower in the lake. While a limited data set such as this requires cautious interpretation, our results suggest that smoke from wildfires can change the UV environment and distribution of zooplankton. This process may be important in drought-prone regions with increasingly frequent wildfires, and globally due to widespread biomass burning.","container-title":"Geophysical Research Letters","DOI":"10.1002/2016GL068533","ISSN":"1944-8007","issue":"8","language":"en","license":"©2016. American Geophysical Union. All Rights Reserved.","note":"_eprint: https://onlinelibrary.wiley.com/doi/pdf/10.1002/2016GL068533","page":"3746-3753","source":"Wiley Online Library","title":"Vertical redistribution of zooplankton in an oligotrophic lake associated with reduction in ultraviolet radiation by wildfire smoke","volume":"43","author":[{"family":"Urmy","given":"Samuel S."},{"family":"Williamson","given":"Craig E."},{"family":"Leach","given":"Taylor H."},{"family":"Schladow","given":"S. Geoffrey"},{"family":"Overholt","given":"Erin P."},{"family":"Warren","given":"Joseph D."}],"issued":{"date-parts":[["2016"]]}}},{"id":621,"uris":["http://zotero.org/groups/5151425/items/QX2XT4WV"],"itemData":{"id":621,"type":"article-journal","abstract":"The impacts of wildfire smoke on lake habitats remains unclear. We determined the metabolic response to smoke in the epi-pelagic and two littoral habitats in Castle Lake, California. We compared light regime, gross primary production, ecosystem respiration, and net ecosystem production in years with and without smoke. During the smoke period incident ultraviolet-B (UV-B) radiation and photosynthetically active radiation (PAR) decreased by 53% and 28%, respectively, while the water column extinction coefficient of UV-B and PAR increased by 20% and 18% respectively. Epi-pelagic productivity increased during smoke cover because of decreased solar inputs. PAR values remained sufficient to saturate productivity, suggesting observed differences were primarily the result of changes in UV-B. Littoral-benthic productivity did not change, possibly reflecting adaptation to high-intensity UV-B light in these habitats. Our results highlight the importance of understanding how prolonged wildfire smoke alters the amount of energy produced from specific habitats in lakes.","container-title":"Geophysical Research Letters","DOI":"10.1029/2021GL097057","ISSN":"1944-8007","issue":"7","language":"en","note":"_eprint: https://onlinelibrary.wiley.com/doi/pdf/10.1029/2021GL097057","page":"e2021GL097057","source":"Wiley Online Library","title":"Wildfire Smoke Effects on Lake-Habitat Specific Metabolism: Toward a Conceptual Understanding","title-short":"Wildfire Smoke Effects on Lake-Habitat Specific Metabolism","volume":"49","author":[{"family":"Scordo","given":"Facundo"},{"family":"Sadro","given":"Steven"},{"family":"Culpepper","given":"Joshua"},{"family":"Seitz","given":"Carina"},{"family":"Chandra","given":"Sudeep"}],"issued":{"date-parts":[["2022"]]}}}],"schema":"https://github.com/citation-style-language/schema/raw/master/csl-citation.json"} </w:instrText>
      </w:r>
      <w:r w:rsidRPr="00F21896">
        <w:fldChar w:fldCharType="separate"/>
      </w:r>
      <w:r w:rsidRPr="00F21896">
        <w:t>(</w:t>
      </w:r>
      <w:proofErr w:type="spellStart"/>
      <w:r w:rsidRPr="00F21896">
        <w:t>Urmy</w:t>
      </w:r>
      <w:proofErr w:type="spellEnd"/>
      <w:r w:rsidRPr="00F21896">
        <w:t xml:space="preserve"> </w:t>
      </w:r>
      <w:r w:rsidRPr="00F21896">
        <w:rPr>
          <w:i/>
          <w:iCs/>
        </w:rPr>
        <w:t>et al.</w:t>
      </w:r>
      <w:r w:rsidRPr="00F21896">
        <w:t xml:space="preserve">, 2016; Scordo </w:t>
      </w:r>
      <w:r w:rsidRPr="00F21896">
        <w:rPr>
          <w:i/>
          <w:iCs/>
        </w:rPr>
        <w:t>et al.</w:t>
      </w:r>
      <w:r w:rsidRPr="00F21896">
        <w:t>, 2022)</w:t>
      </w:r>
      <w:r w:rsidRPr="00F21896">
        <w:fldChar w:fldCharType="end"/>
      </w:r>
      <w:r w:rsidRPr="00F21896">
        <w:t>. Alterations to physiography enhance post-fire runoff, which can extirpate higher order consumers such as trout, releasing invertebrate consumers from predation and resulting in a trophic cascade (Larsen et al., 2009; Cooper et al., 2015).</w:t>
      </w:r>
    </w:p>
    <w:p w14:paraId="054852CD" w14:textId="77777777" w:rsidR="00FE52E9" w:rsidRPr="00F21896" w:rsidRDefault="00FE52E9" w:rsidP="00FE52E9">
      <w:pPr>
        <w:ind w:firstLine="720"/>
      </w:pPr>
      <w:r w:rsidRPr="00F21896">
        <w:t xml:space="preserve">Leachate from wildfire ash can exhibit both fertilizing and eco-toxic effects on organisms depending on its composition. Ash can increase phytoplankton biomass over short timescales </w:t>
      </w:r>
      <w:r w:rsidRPr="00F21896">
        <w:fldChar w:fldCharType="begin"/>
      </w:r>
      <w:r w:rsidRPr="00F21896">
        <w:instrText xml:space="preserve"> ADDIN ZOTERO_ITEM CSL_CITATION {"citationID":"L3bqgGJt","properties":{"formattedCitation":"(Netshituni {\\i{}et al.}, 2022)","plainCitation":"(Netshituni et al., 2022)","noteIndex":0},"citationItems":[{"id":673,"uris":["http://zotero.org/groups/5151425/items/XAUQLEPC"],"itemData":{"id":673,"type":"article-journal","abstract":"Wildfires are natural or anthropogenic phenomena increasing at alarming rates globally due to land-use alterations, droughts, climatic warming, hunting and biological invasions. Whereas wildfire effects on terrestrial ecosystems are marked and relatively well-studied, ash depositions into aquatic ecosystems have often remained overlooked, but have the potential to significantly impact bottom-up processes. This study assessed ash-water-phytoplankton biomass dynamics using six plant species [i.e., three natives (apple leaf Philenoptera violacea, Transvaal milk plum Englerophytum magalismontanum, quinine tree Rauvolfia caffra) and three aliens (lantana Lantana camara, gum Eucalyptus camaldulensis, guava Psidium guajava)] based on a six-week mesocosm experiment with different ash concentrations (1 and 2 g L−1). We assessed concentrations of chemical elements, i.e., N, P, K, Ca, Mg, Na, Mn, Fe, Cu, Zn and B from ash collected, and examined potential differences among the species. High concentrations of P, K, Mn, Fe, Cu, Zn and B were recorded from Transvaal milk plum ash and low concentrations of P, K, Ca, Mg, Cu and Zn were recorded from apple leaf. An increase in phytoplankton biomass (using chlorophyll-a concentration as a proxy) for all treatments i.e., 1 and 2 g L−1 and plant species was observed one week after, followed by decreases in the following weeks, with the exception of 2 g L−1 for lantana, gum and control groups. Silicate concentrations (i.e., used as a proxy for diatom abundance) showed increasing patterns among all ash treatments, with the exception of controls. However, no clear patterns were observed between native and alien plant ash for both chl-a and silicate concentrations. We found that ash has notable effects on water chemistry, particularly nitrate, which increased throughout the weeks, whereas, pH and conductivity were high at low ash concentrations. The impacts of ash on water chemistry, chl-a and silicate concentrations vary with individual species and the amount of ash deposited into the system.","container-title":"Science of The Total Environment","DOI":"10.1016/j.scitotenv.2022.155265","ISSN":"0048-9697","journalAbbreviation":"Science of The Total Environment","page":"155265","source":"ScienceDirect","title":"Effects of wildfire ash from native and alien plants on phytoplankton biomass","volume":"834","author":[{"family":"Netshituni","given":"Vincent T."},{"family":"Cuthbert","given":"Ross N."},{"family":"Dondofema","given":"Farai"},{"family":"Dalu","given":"Tatenda"}],"issued":{"date-parts":[["2022",8,15]]}}}],"schema":"https://github.com/citation-style-language/schema/raw/master/csl-citation.json"} </w:instrText>
      </w:r>
      <w:r w:rsidRPr="00F21896">
        <w:fldChar w:fldCharType="separate"/>
      </w:r>
      <w:r w:rsidRPr="00F21896">
        <w:t>(</w:t>
      </w:r>
      <w:proofErr w:type="spellStart"/>
      <w:r w:rsidRPr="00F21896">
        <w:t>Netshituni</w:t>
      </w:r>
      <w:proofErr w:type="spellEnd"/>
      <w:r w:rsidRPr="00F21896">
        <w:t xml:space="preserve"> </w:t>
      </w:r>
      <w:r w:rsidRPr="00F21896">
        <w:rPr>
          <w:i/>
          <w:iCs/>
        </w:rPr>
        <w:t>et al.</w:t>
      </w:r>
      <w:r w:rsidRPr="00F21896">
        <w:t>, 2022)</w:t>
      </w:r>
      <w:r w:rsidRPr="00F21896">
        <w:fldChar w:fldCharType="end"/>
      </w:r>
      <w:r w:rsidRPr="00F21896">
        <w:t xml:space="preserve">. Variable ecotoxic effects have been observed on invertebrate zooplankton </w:t>
      </w:r>
      <w:r w:rsidRPr="00F21896">
        <w:lastRenderedPageBreak/>
        <w:t xml:space="preserve">depending on the ash source </w:t>
      </w:r>
      <w:r w:rsidRPr="00F21896">
        <w:fldChar w:fldCharType="begin"/>
      </w:r>
      <w:r w:rsidRPr="00F21896">
        <w:instrText xml:space="preserve"> ADDIN ZOTERO_ITEM CSL_CITATION {"citationID":"bvICfFOc","properties":{"formattedCitation":"(Silva {\\i{}et al.}, 2015; Harper {\\i{}et al.}, 2019)","plainCitation":"(Silva et al., 2015; Harper et al., 2019)","noteIndex":0},"citationItems":[{"id":678,"uris":["http://zotero.org/groups/5151425/items/33QAT4XM"],"itemData":{"id":678,"type":"article-journal","abstract":"Wildfires can cause immediate and drastic impacts on the structure and functioning of ecosystems, and there has been an increasing interest in wildfire effects on water chemistry and aquatic biota. Wildfires are increasingly recognized as a diffuse source of contamination of aquatic ecosystems, through the production of deleterious pyrolytic substances and their subsequent transport, mostly attached to ashes. To study the deleterious effects of the ash-laden runoff from burnt areas on water quality, composite ash samples of ashes were collected immediately after a forest fire and then used to prepare aqueous extracts of ash (AEA). The AEA were analyzed with respect to a large group of chemical elements and the sixteen prioritized polycyclic aromatic hydrocarbons (PAHs). Ca, S, Mg, K and Na were found to be the principal elements in the AEA, while only two low molecular weight PAHs (phenanthrene and naphthalene) were present in quantifiable amounts. In parallel, an ecotoxicological screening of the AEA was performed with four standard aquatic species from different functional groups and trophic levels. The AEA was found to induce a statistically significant decrease in the growth of two primary producers – Pseudokirchneriella subcapitata and Lemna minor – and inhibited the luminescence of the bacteria Vibrio fischeri. By contrast, AEA did not produce a significant immobilization of Daphnia magna suggesting that short-term acute toxicity may be absent at higher trophic levels. Overall, the present results emphasize the role of wildfires as a potential source of diffuse contamination for downstream water bodies, compromising both chemical and ecological conditions. At the same time, this study highlights the need for further research into the complexity of the potentially deleterious ecological effects of wildfires on aquatic communities, with a particular focus on cascading effects along the trophic web.","container-title":"CATENA","DOI":"10.1016/j.catena.2014.06.021","ISSN":"0341-8162","journalAbbreviation":"CATENA","page":"401-408","source":"ScienceDirect","title":"Toxicity assessment of aqueous extracts of ash from forest fires","volume":"135","author":[{"family":"Silva","given":"Vera"},{"family":"Pereira","given":"Joana Luísa"},{"family":"Campos","given":"Isabel"},{"family":"Keizer","given":"Jan Jacob"},{"family":"Gonçalves","given":"Fernando"},{"family":"Abrantes","given":"Nelson"}],"issued":{"date-parts":[["2015",12,1]]}}},{"id":646,"uris":["http://zotero.org/groups/5151425/items/U6ESUGID"],"itemData":{"id":646,"type":"article-journal","abstract":"It is well established in the world’s fire-prone regions that wildfires can considerably change the hydrological dynamics of freshwater catchments. Limited research, however, has focused on the potential impacts of wildfire ash toxicity on aquatic biota. Here, we assess the chemical composition and toxicity of ash generated from wildfires in six contrasting vegetation types distributed globally (UK grassland, Spanish pine forest, Spanish heathland, USA chaparral, Australian eucalypt forest and Canadian spruce forest). Acute (48 h) immobilisation tests were conducted on the extensively studied aquatic macroinvertebrate Daphnia magna, a sensitive indicator of aquatic contaminants. We found significant differences between the chemical composition and toxicity of these ash types. The UK and Spanish ash had no detectable toxicity to Daphnia magna, whereas the Australian eucalypt, USA chaparral and Canadian spruce ash all caused significant toxicity (immobilisation). The principal characteristics of the latter ash types were their high pH, and NO3−, Cl− and conductivity levels. Elevated water-soluble and total concentrations of metals (e.g. Mn, Fe, Zn, Pb, Cu and As) and total polycyclic aromatic hydrocarbons (PAHs) were not linked to toxicity.","container-title":"International Journal of Wildland Fire","DOI":"10.1071/WF18200","ISSN":"1448-5516, 1448-5516","issue":"10","journalAbbreviation":"Int. J. Wildland Fire","language":"en","note":"publisher: CSIRO PUBLISHING","page":"726-737","source":"www.publish.csiro.au","title":"Chemical composition of wildfire ash produced in contrasting ecosystems and its toxicity to Daphnia magna","volume":"28","author":[{"family":"Harper","given":"Ashleigh R."},{"family":"Santin","given":"Cristina"},{"family":"Doerr","given":"Stefan H."},{"family":"Froyd","given":"Cynthia A."},{"family":"Albini","given":"Dania"},{"family":"Otero","given":"Xose Luis"},{"family":"Viñas","given":"Lucia"},{"family":"Pérez-Fernández","given":"Begoña"},{"family":"Harper","given":"Ashleigh R."},{"family":"Santin","given":"Cristina"},{"family":"Doerr","given":"Stefan H."},{"family":"Froyd","given":"Cynthia A."},{"family":"Albini","given":"Dania"},{"family":"Otero","given":"Xose Luis"},{"family":"Viñas","given":"Lucia"},{"family":"Pérez-Fernández","given":"Begoña"}],"issued":{"date-parts":[["2019",8,6]]}}}],"schema":"https://github.com/citation-style-language/schema/raw/master/csl-citation.json"} </w:instrText>
      </w:r>
      <w:r w:rsidRPr="00F21896">
        <w:fldChar w:fldCharType="separate"/>
      </w:r>
      <w:r w:rsidRPr="00F21896">
        <w:t xml:space="preserve">(Silva </w:t>
      </w:r>
      <w:r w:rsidRPr="00F21896">
        <w:rPr>
          <w:i/>
          <w:iCs/>
        </w:rPr>
        <w:t>et al.</w:t>
      </w:r>
      <w:r w:rsidRPr="00F21896">
        <w:t xml:space="preserve">, 2015; Harper </w:t>
      </w:r>
      <w:r w:rsidRPr="00F21896">
        <w:rPr>
          <w:i/>
          <w:iCs/>
        </w:rPr>
        <w:t>et al.</w:t>
      </w:r>
      <w:r w:rsidRPr="00F21896">
        <w:t>, 2019)</w:t>
      </w:r>
      <w:r w:rsidRPr="00F21896">
        <w:fldChar w:fldCharType="end"/>
      </w:r>
      <w:r w:rsidRPr="00F21896">
        <w:t xml:space="preserve">. Silva et al (2015) found no significant immobilization of the zooplankton </w:t>
      </w:r>
      <w:r w:rsidRPr="00F21896">
        <w:rPr>
          <w:i/>
        </w:rPr>
        <w:t xml:space="preserve">Daphnia magna </w:t>
      </w:r>
      <w:r w:rsidRPr="00F21896">
        <w:t>after acute (48hr) exposure to eucalyptus derived wildfire ash (Australian), whereas Harper et al (2019) found the opposite for ash from Australia, the US, and Canada, attributing the response to high values of pH, conductivity, NO3</w:t>
      </w:r>
      <w:r w:rsidRPr="00F21896">
        <w:rPr>
          <w:vertAlign w:val="superscript"/>
        </w:rPr>
        <w:t>-</w:t>
      </w:r>
      <w:r w:rsidRPr="00F21896">
        <w:t>, Cl</w:t>
      </w:r>
      <w:r w:rsidRPr="00F21896">
        <w:rPr>
          <w:vertAlign w:val="superscript"/>
        </w:rPr>
        <w:t>-</w:t>
      </w:r>
      <w:r w:rsidRPr="00F21896">
        <w:t>, Hg and SO4</w:t>
      </w:r>
      <w:r w:rsidRPr="00F21896">
        <w:rPr>
          <w:vertAlign w:val="superscript"/>
        </w:rPr>
        <w:t>2-</w:t>
      </w:r>
      <w:r w:rsidRPr="00F21896">
        <w:t>.</w:t>
      </w:r>
    </w:p>
    <w:p w14:paraId="429D40D0" w14:textId="2EE78EC0" w:rsidR="00FE52E9" w:rsidRPr="00F21896" w:rsidRDefault="00FE52E9" w:rsidP="00FE52E9">
      <w:pPr>
        <w:ind w:firstLine="720"/>
      </w:pPr>
      <w:r w:rsidRPr="00F21896">
        <w:t xml:space="preserve">The timescales of these wildfire effects can vary from days (e.g. change in biogeochemistry and incident solar radiation), to weeks and months (e.g. post-fire runoff), to even years (e.g. differential abundances and growth rates of fish and nutrient retention) </w:t>
      </w:r>
      <w:r w:rsidRPr="00F21896">
        <w:fldChar w:fldCharType="begin"/>
      </w:r>
      <w:r w:rsidRPr="00F21896">
        <w:instrText xml:space="preserve"> ADDIN ZOTERO_ITEM CSL_CITATION {"citationID":"oqoYH2f7","properties":{"formattedCitation":"(Bixby {\\i{}et al.}, 2015; Diemer {\\i{}et al.}, 2015; Rosenberger {\\i{}et al.}, 2015; Urmy {\\i{}et al.}, 2016)","plainCitation":"(Bixby et al., 2015; Diemer et al., 2015; Rosenberger et al., 2015; Urmy et al., 2016)","noteIndex":0},"citationItems":[{"id":640,"uris":["http://zotero.org/groups/5151425/items/FNWEL7QW"],"itemData":{"id":640,"type":"article-journal","container-title":"Freshwater Science","DOI":"10.1086/684073","ISSN":"2161-9549, 2161-9565","issue":"4","journalAbbreviation":"Freshwater Science","language":"en","page":"1340-1350","source":"DOI.org (Crossref)","title":"Fire effects on aquatic ecosystems: an assessment of the current state of the science","title-short":"Fire effects on aquatic ecosystems","volume":"34","author":[{"family":"Bixby","given":"Rebecca J."},{"family":"Cooper","given":"Scott D."},{"family":"Gresswell","given":"Robert E."},{"family":"Brown","given":"Lee E."},{"family":"Dahm","given":"Clifford N."},{"family":"Dwire","given":"Kathleen A."}],"issued":{"date-parts":[["2015",12,1]]}}},{"id":681,"uris":["http://zotero.org/groups/5151425/items/4RFDUHBZ"],"itemData":{"id":681,"type":"article-journal","abstract":"Fire can transform the boreal forest landscape, thereby leading to potential changes in the loading of organic matter and nutrients to receiving streams and in the retention or transformation of these inputs within the drainage network. We used the Tracer Additions for Spiraling Curve Characterization (TASCC) method to conduct 17 nutrient-addition experiments (9 single additions of NO3– and 8 combined additions of NH4+ and PO43–) in 5 boreal headwater streams underlain by continuous permafrost and draining watersheds with a range of burn histories (4–&gt;100 y since last burn) in the Nizhnyaya Tunguska River watershed in Central Siberia. Hydrology, ambient nutrient concentration, and the ratio of dissolved organic C (DOC) to nutrients drove rates of nutrient uptake in the streams. Nutrients were taken up with greater efficiency and magnitude under conditions with high flow and reduced diffusive boundary layer (DBL), regardless of watershed burn history. Ambient molar ratio of DOC</w:instrText>
      </w:r>
      <w:r w:rsidRPr="00F21896">
        <w:rPr>
          <w:rFonts w:cs="Cambria Math"/>
        </w:rPr>
        <w:instrText>∶</w:instrText>
      </w:r>
      <w:r w:rsidRPr="00F21896">
        <w:instrText xml:space="preserve">PO43– explained some variation in ambient uptake velocity (υf) for NH4+ and PO43–. We also observed tight coupling between ambient rates of NH4+ and PO43– uptake across the watershed burn-history gradient. These data suggest that fire-driven changes in stream chemistry may alter N and P retention and subsequent export of materials to downstream receiving waters. Climate change is likely to enhance the frequency and intensity of boreal forest fires and alter the extent of permafrost. Therefore, understanding the interactions among C, N, and P in these Arctic systems has important implications for global biogeochemical cycling.","container-title":"Freshwater Science","DOI":"10.1086/683481","ISSN":"2161-9549","issue":"4","note":"publisher: The University of Chicago Press","page":"1443-1456","source":"journals.uchicago.edu (Atypon)","title":"Nutrient uptake along a fire gradient in boreal streams of Central Siberia","volume":"34","author":[{"family":"Diemer","given":"Laura A."},{"family":"McDowell","given":"William H."},{"family":"Wymore","given":"Adam S."},{"family":"Prokushkin","given":"Anatoly S."}],"issued":{"date-parts":[["2015",12]]}}},{"id":641,"uris":["http://zotero.org/groups/5151425/items/3BVD6LEG"],"itemData":{"id":641,"type":"article-journal","abstract":"Management of aquatic resources in fire-prone areas requires understanding of fish species’ responses to wildfire and of the intermediate- and long-term consequences of these disturbances. We examined Rainbow Trout populations in 9 headwater streams 10 y after a major wildfire: 3 with no history of severe wildfire in the watershed (unburned), 3 in severely burned watersheds (burned), and 3 in severely burned watersheds subjected to immediate events that scoured the stream channel and eliminated streamside vegetation (burned and reorganized). Results of a previous study of this system suggested the primary lasting effects of this wildfire history on headwater stream habitat were differences in canopy cover and solar radiation, which led to higher summer stream temperatures. Nevertheless, trout were present throughout streams in burned watersheds. Older age classes were least abundant in streams draining watersheds with a burned and reorganized history, and individuals &gt;1 y old were most abundant in streams...","container-title":"Freshwater Science","DOI":"10.1086/683338","issue":"4","language":"en","page":"1571-1584","source":"pubs.usgs.gov","title":"Legacy effects of wildfire on stream thermal regimes and rainbow trout ecology: an integrated analysis of observation and individual-based models","title-short":"Legacy effects of wildfire on stream thermal regimes and rainbow trout ecology","volume":"34","author":[{"family":"Rosenberger","given":"Amanda E."},{"family":"Dunham","given":"Jason B."},{"family":"Neuswanger","given":"Jason R."},{"family":"Railsback","given":"Steven F."}],"issued":{"date-parts":[["2015"]]}}},{"id":618,"uris":["http://zotero.org/groups/5151425/items/PAM7I28K"],"itemData":{"id":618,"type":"article-journal","abstract":"We used a natural experiment to test whether wildfire smoke induced changes in the vertical distribution of zooplankton in Lake Tahoe by decreasing incident ultraviolet radiation (UV). Fires have a variety of effects on aquatic ecosystems, but these impacts are poorly understood and have rarely been observed directly. UV is an important driver of zooplankton vertical migration, and wildfires may alter it over large spatial scales. We measured UV irradiance and the distribution of zooplankton on two successive days. On one day, smoke haze from a nearby wildfire reduced incident UV radiation by up to 9%, but not irradiance in the visible spectrum. Zooplankton responded by positioning themselves, on average, 4.1 m shallower in the lake. While a limited data set such as this requires cautious interpretation, our results suggest that smoke from wildfires can change the UV environment and distribution of zooplankton. This process may be important in drought-prone regions with increasingly frequent wildfires, and globally due to widespread biomass burning.","container-title":"Geophysical Research Letters","DOI":"10.1002/2016GL068533","ISSN":"1944-8007","issue":"8","language":"en","license":"©2016. American Geophysical Union. All Rights Reserved.","note":"_eprint: https://onlinelibrary.wiley.com/doi/pdf/10.1002/2016GL068533","page":"3746-3753","source":"Wiley Online Library","title":"Vertical redistribution of zooplankton in an oligotrophic lake associated with reduction in ultraviolet radiation by wildfire smoke","volume":"43","author":[{"family":"Urmy","given":"Samuel S."},{"family":"Williamson","given":"Craig E."},{"family":"Leach","given":"Taylor H."},{"family":"Schladow","given":"S. Geoffrey"},{"family":"Overholt","given":"Erin P."},{"family":"Warren","given":"Joseph D."}],"issued":{"date-parts":[["2016"]]}}}],"schema":"https://github.com/citation-style-language/schema/raw/master/csl-citation.json"} </w:instrText>
      </w:r>
      <w:r w:rsidRPr="00F21896">
        <w:fldChar w:fldCharType="separate"/>
      </w:r>
      <w:r w:rsidRPr="00F21896">
        <w:t xml:space="preserve">(Bixby </w:t>
      </w:r>
      <w:r w:rsidRPr="00F21896">
        <w:rPr>
          <w:i/>
          <w:iCs/>
        </w:rPr>
        <w:t>et al.</w:t>
      </w:r>
      <w:r w:rsidRPr="00F21896">
        <w:t xml:space="preserve">, 2015; Diemer </w:t>
      </w:r>
      <w:r w:rsidRPr="00F21896">
        <w:rPr>
          <w:i/>
          <w:iCs/>
        </w:rPr>
        <w:t>et al.</w:t>
      </w:r>
      <w:r w:rsidRPr="00F21896">
        <w:t xml:space="preserve">, 2015; Rosenberger </w:t>
      </w:r>
      <w:r w:rsidRPr="00F21896">
        <w:rPr>
          <w:i/>
          <w:iCs/>
        </w:rPr>
        <w:t>et al.</w:t>
      </w:r>
      <w:r w:rsidRPr="00F21896">
        <w:t xml:space="preserve">, 2015; </w:t>
      </w:r>
      <w:proofErr w:type="spellStart"/>
      <w:r w:rsidRPr="00F21896">
        <w:t>Urmy</w:t>
      </w:r>
      <w:proofErr w:type="spellEnd"/>
      <w:r w:rsidRPr="00F21896">
        <w:t xml:space="preserve"> </w:t>
      </w:r>
      <w:r w:rsidRPr="00F21896">
        <w:rPr>
          <w:i/>
          <w:iCs/>
        </w:rPr>
        <w:t>et al.</w:t>
      </w:r>
      <w:r w:rsidRPr="00F21896">
        <w:t>, 2016)</w:t>
      </w:r>
      <w:r w:rsidRPr="00F21896">
        <w:fldChar w:fldCharType="end"/>
      </w:r>
      <w:r w:rsidRPr="00F21896">
        <w:t xml:space="preserve">. Long-term monitoring programs have been developed in wildfire-prone regions which has allowed these disturbances to be placed in the context of historical variability. However, the monitoring of marine ecosystems in proximity to wildfire-prone regions is rare and more challenging. One reason for the paucity of observations is the logistical and financial barriers that impede the collection of oceanographic data. Research cruises take months to years to plan and demand structured timelines, whereas wildfires occur unpredictably. Furthermore, the frequency of research cruises is rarely greater than monthly (e.g. </w:t>
      </w:r>
      <w:proofErr w:type="spellStart"/>
      <w:r w:rsidRPr="00F21896">
        <w:t>CalCOFI</w:t>
      </w:r>
      <w:proofErr w:type="spellEnd"/>
      <w:r w:rsidRPr="00F21896">
        <w:t>, Plumes and Blooms, HOT, BATS), which poses a challenge for placing a wildfire event within context of comparable historical variability.</w:t>
      </w:r>
    </w:p>
    <w:p w14:paraId="25CC4A33" w14:textId="77777777" w:rsidR="00FE52E9" w:rsidRPr="00F21896" w:rsidRDefault="00FE52E9" w:rsidP="00FE52E9">
      <w:pPr>
        <w:ind w:firstLine="720"/>
      </w:pPr>
      <w:r w:rsidRPr="00F21896">
        <w:t xml:space="preserve">Recent work has circumvented this challenge by leveraging remote sensing data (including satellite chlorophyll-a and aerosol reanalysis), </w:t>
      </w:r>
      <w:r w:rsidRPr="00F21896">
        <w:rPr>
          <w:i/>
          <w:iCs/>
        </w:rPr>
        <w:t>in-situ</w:t>
      </w:r>
      <w:r w:rsidRPr="00F21896">
        <w:t xml:space="preserve"> time series and monitoring programs (e.g. BGC-Argo, </w:t>
      </w:r>
      <w:proofErr w:type="spellStart"/>
      <w:r w:rsidRPr="00F21896">
        <w:t>Aeronet</w:t>
      </w:r>
      <w:proofErr w:type="spellEnd"/>
      <w:r w:rsidRPr="00F21896">
        <w:t xml:space="preserve">) located near wildfire events to link anomalous phytoplankton blooms with wildfire aerosol deposition. Weis et al (2022) found that pyrogenic aerosols fertilized the Southern Ocean by relieving iron stress and facilitated a large enough bloom that persisted 9 months, sustained by recycling and additional aerosol inputs (Weiss et al., 2022). During the same event Tang et al (2021) linked the bloom to both higher primary production and export production (Tang et al., 2021). While the promise of remote sensing-based analyses are promising and replicable, overestimation of satellite chlorophyll-a during wildfire events underscores the need for more in situ sampling </w:t>
      </w:r>
      <w:r w:rsidRPr="00F21896">
        <w:fldChar w:fldCharType="begin"/>
      </w:r>
      <w:r w:rsidRPr="00F21896">
        <w:instrText xml:space="preserve"> ADDIN ZOTERO_ITEM CSL_CITATION {"citationID":"ecAVOrvW","properties":{"formattedCitation":"(Kramer, Bisson and Mitchell, 2023)","plainCitation":"(Kramer, Bisson and Mitchell, 2023)","noteIndex":0},"citationItems":[{"id":684,"uris":["http://zotero.org/groups/5151425/items/Y8Z8W3GE"],"itemData":{"id":684,"type":"report","genre":"preprint","language":"en","note":"DOI: 10.22541/au.167727712.28102811/v1","publisher":"Preprints","source":"DOI.org (Crossref)","title":"What data are needed to detect wildfire effects on coastal ecosystems? A case study during the Thomas Fire","title-short":"What data are needed to detect wildfire effects on coastal ecosystems?","URL":"https://www.authorea.com/users/589314/articles/626206-what-data-are-needed-to-detect-wildfire-effects-on-coastal-ecosystems-a-case-study-during-the-thomas-fire?commit=49b09d3a40e7eb6cba03057f2b8b36a8a0b5ef2c","author":[{"family":"Kramer","given":"Sasha J"},{"family":"Bisson","given":"Kelsey M"},{"family":"Mitchell","given":"Catherine"}],"accessed":{"date-parts":[["2023",9,6]]},"issued":{"date-parts":[["2023",2,24]]}}}],"schema":"https://github.com/citation-style-language/schema/raw/master/csl-citation.json"} </w:instrText>
      </w:r>
      <w:r w:rsidRPr="00F21896">
        <w:fldChar w:fldCharType="separate"/>
      </w:r>
      <w:r w:rsidRPr="00F21896">
        <w:t>(Kramer, Bisson and Mitchell, 2023)</w:t>
      </w:r>
      <w:r w:rsidRPr="00F21896">
        <w:fldChar w:fldCharType="end"/>
      </w:r>
      <w:r w:rsidRPr="00F21896">
        <w:t>.</w:t>
      </w:r>
    </w:p>
    <w:p w14:paraId="1E94B531" w14:textId="428E3BDB" w:rsidR="00FE52E9" w:rsidRPr="00195AB0" w:rsidRDefault="00FE52E9" w:rsidP="00195AB0">
      <w:pPr>
        <w:ind w:firstLine="720"/>
        <w:rPr>
          <w:b/>
        </w:rPr>
      </w:pPr>
      <w:r w:rsidRPr="00F21896">
        <w:t xml:space="preserve">The magnitude of phytoplankton response observed in the Southern Ocean was attributed to iron-fertilization in an iron-stressed region, however in non-iron-limited regions wildfires may still facilitate a bloom by alleviating other forms of nutrient limitation. For example, Ardyna et al (2022) found that deposition of nitrogen-rich wildfires contributed significantly to an amplified phytoplankton bloom in the arctic during summer 2014 (Ardyna et al., 2022). Although similar “megafires” have become frequent in California, few studies link these events to </w:t>
      </w:r>
      <w:r w:rsidR="00195AB0">
        <w:t xml:space="preserve">local </w:t>
      </w:r>
      <w:r w:rsidRPr="00F21896">
        <w:t>marine biogeochemi</w:t>
      </w:r>
      <w:r w:rsidR="00195AB0">
        <w:t xml:space="preserve">stry and ecosystem dynamics. </w:t>
      </w:r>
      <w:r w:rsidRPr="00F21896">
        <w:t xml:space="preserve">Fortunately, the US West Coast maintains one of the most extensive coastal </w:t>
      </w:r>
      <w:r w:rsidR="00195AB0">
        <w:t>observing</w:t>
      </w:r>
      <w:r w:rsidRPr="00F21896">
        <w:t xml:space="preserve"> networks in the world including </w:t>
      </w:r>
      <w:r w:rsidR="00195AB0">
        <w:t xml:space="preserve">a network </w:t>
      </w:r>
      <w:r w:rsidRPr="00F21896">
        <w:t xml:space="preserve">shore stations, gliders, buoys, cruises, and remote sensing. </w:t>
      </w:r>
    </w:p>
    <w:p w14:paraId="1D55EF4C" w14:textId="77777777" w:rsidR="00FE52E9" w:rsidRPr="00F21896" w:rsidRDefault="00FE52E9" w:rsidP="00FE52E9">
      <w:pPr>
        <w:ind w:firstLine="720"/>
      </w:pPr>
      <w:r w:rsidRPr="00F21896">
        <w:t xml:space="preserve">Though often physically and biologically distinct from oceanic environments, the coastal ocean provides a more accessible interface for continuous monitoring. In the CCE, the Southern and Central California Ocean Observing System (SCCOOS &amp; </w:t>
      </w:r>
      <w:proofErr w:type="spellStart"/>
      <w:r w:rsidRPr="00F21896">
        <w:t>CeNCOOS</w:t>
      </w:r>
      <w:proofErr w:type="spellEnd"/>
      <w:r w:rsidRPr="00F21896">
        <w:t xml:space="preserve"> respectively) are regions within the U.S. Integrated Ocean Observing System (IOOS) that collect and openly provide real-time, </w:t>
      </w:r>
      <w:r w:rsidRPr="00F21896">
        <w:rPr>
          <w:i/>
          <w:iCs/>
        </w:rPr>
        <w:t>in-situ</w:t>
      </w:r>
      <w:r w:rsidRPr="00F21896">
        <w:rPr>
          <w:i/>
        </w:rPr>
        <w:t xml:space="preserve"> </w:t>
      </w:r>
      <w:r w:rsidRPr="00F21896">
        <w:t xml:space="preserve">biological, chemical, and physical observations. This network includes vessels, gliders, buoys and moorings, but also fixed shore stations operated by institutions ranging from Humboldt in the north to San Diego in the </w:t>
      </w:r>
      <w:r w:rsidRPr="00F21896">
        <w:lastRenderedPageBreak/>
        <w:t>south. Beyond chemical sensors, the shore stations maintain weekly sampling and characterization of the phytoplankton community as a part of the California Harmful Algal Bloom Monitoring and Alert Program (</w:t>
      </w:r>
      <w:proofErr w:type="spellStart"/>
      <w:r w:rsidRPr="00F21896">
        <w:t>CalHABMAP</w:t>
      </w:r>
      <w:proofErr w:type="spellEnd"/>
      <w:r w:rsidRPr="00F21896">
        <w:t>).</w:t>
      </w:r>
    </w:p>
    <w:p w14:paraId="04C9FAB9" w14:textId="249D947F" w:rsidR="00FE52E9" w:rsidRPr="00F21896" w:rsidRDefault="00FE52E9" w:rsidP="00FE52E9">
      <w:pPr>
        <w:ind w:firstLine="720"/>
      </w:pPr>
      <w:r w:rsidRPr="00F21896">
        <w:t xml:space="preserve">These data are a </w:t>
      </w:r>
      <w:r w:rsidR="00195AB0">
        <w:t xml:space="preserve">valuable </w:t>
      </w:r>
      <w:r w:rsidRPr="00F21896">
        <w:t xml:space="preserve">publicly available and underutilized resource when synthesizing ecosystem responses to high-frequency disturbance on the California coast. Previous work using shore station time-series data from Monterey Bay analyzed phytoplankton community composition from both weekly HAB water quality sampling and an Imaging Flow </w:t>
      </w:r>
      <w:proofErr w:type="spellStart"/>
      <w:r w:rsidRPr="00F21896">
        <w:t>Cytobot</w:t>
      </w:r>
      <w:proofErr w:type="spellEnd"/>
      <w:r w:rsidRPr="00F21896">
        <w:t xml:space="preserve"> (IFCB) to understand drivers in dinoflagellate blooms </w:t>
      </w:r>
      <w:r w:rsidRPr="00F21896">
        <w:fldChar w:fldCharType="begin"/>
      </w:r>
      <w:r w:rsidRPr="00F21896">
        <w:instrText xml:space="preserve"> ADDIN ZOTERO_ITEM CSL_CITATION {"citationID":"qTC4Vl0A","properties":{"formattedCitation":"(Fischer {\\i{}et al.}, 2020)","plainCitation":"(Fischer et al., 2020)","noteIndex":0},"citationItems":[{"id":781,"uris":["http://zotero.org/groups/5151425/items/YXW8NAAV"],"itemData":{"id":781,"type":"article-journal","abstract":"Phytoplankton biomass in Monterey Bay, California is typically dominated by diatoms, but it shifted to dinoflagellates twice in the past 18 years (2004–2007, 2017–2018), which was associated with increased harmful algal blooms. Located within the central California Current System (CCS), Monterey Bay is strongly influenced by cycles of upwelling-favorable winds and their relaxation or reversal. Both dinoflagellate-dominated periods were linked to a negative North Pacific Gyre Oscillation (NPGO) and increased river discharge, but each had a different relationship with upwelling. To examine the connection between large-scale and local forcings underlying floristic shifts in the phytoplankton assemblage, an Imaging FlowCytobot (IFCB) was deployed within the Monterey Bay upwelling shadow for a full year. A machine learning classifier differentiating IFCB images of the phytoplankton assemblage was developed. Despite anomalously strong upwelling in 2018, dinoflagellates comprised 57% of the annual phytoplankton-specific biomass. During upwelling, dinoflagellates appear to have accumulated at convergent fronts, while during relaxation these frontal populations were transported to the nearshore where they seeded local blooms. Frequent upwelling-relaxation cycles and local wind anomalies generated an unusually retentive circulation pattern in the upwelling shadow, producing a warm and stratified bloom incubator. Thus, local features and forcings (upwelling shadow, winds, river discharge) modified the effects of regional- and basin-scale oceanographic variability (regional upwelling, NPGO), altering local phytoplankton patterns. As North Pacific decadal variability and CCS upwelling intensity increase under climate warming, dinoflagellates may become more common in some CCS regions, due to the enhancement or mitigation of large-scale trends by local forcings.","container-title":"Limnology and Oceanography","DOI":"10.1002/lno.11443","ISSN":"1939-5590","issue":"9","language":"en","license":"© 2020 The Authors. Limnology and Oceanography published by Wiley Periodicals, Inc. on behalf of Association for the Sciences of Limnology and Oceanography.","note":"_eprint: https://onlinelibrary.wiley.com/doi/pdf/10.1002/lno.11443","page":"2125-2141","source":"Wiley Online Library","title":"Return of the “age of dinoflagellates” in Monterey Bay: Drivers of dinoflagellate dominance examined using automated imaging flow cytometry and long-term time series analysis","title-short":"Return of the “age of dinoflagellates” in Monterey Bay","volume":"65","author":[{"family":"Fischer","given":"Alexis D."},{"family":"Hayashi","given":"Kendra"},{"family":"McGaraghan","given":"Anna"},{"family":"Kudela","given":"Raphael M."}],"issued":{"date-parts":[["2020"]]}}}],"schema":"https://github.com/citation-style-language/schema/raw/master/csl-citation.json"} </w:instrText>
      </w:r>
      <w:r w:rsidRPr="00F21896">
        <w:fldChar w:fldCharType="separate"/>
      </w:r>
      <w:r w:rsidRPr="00F21896">
        <w:t xml:space="preserve">(Fischer </w:t>
      </w:r>
      <w:r w:rsidRPr="00F21896">
        <w:rPr>
          <w:i/>
          <w:iCs/>
        </w:rPr>
        <w:t>et al.</w:t>
      </w:r>
      <w:r w:rsidRPr="00F21896">
        <w:t>, 2020)</w:t>
      </w:r>
      <w:r w:rsidRPr="00F21896">
        <w:fldChar w:fldCharType="end"/>
      </w:r>
      <w:r w:rsidRPr="00F21896">
        <w:t xml:space="preserve">. Fischer et al. found that two major anomalous shifts from the typical diatom-dominated system to enhanced dinoflagellate abundance were linked to a strongly negative North Pacific Gyre Oscillation, increased river discharge and variable interactions with upwelling. </w:t>
      </w:r>
    </w:p>
    <w:p w14:paraId="53A442F4" w14:textId="77777777" w:rsidR="00FE52E9" w:rsidRPr="00F21896" w:rsidRDefault="00FE52E9" w:rsidP="00FE52E9">
      <w:pPr>
        <w:ind w:firstLine="720"/>
      </w:pPr>
      <w:r w:rsidRPr="00F21896">
        <w:t xml:space="preserve">Interannual climate phenomena with known impacts on biogeochemistry of the CCE such as El Niño/La Niña may be linked to wildfire events. Fire-related climate anomalies have been shown to follow a 5-7 year oscillation, with extreme fire years preceded by a La Niña event, followed by a winter with less precipitation and snow, and finally increased dry season temperatures, drought and wildfire vulnerability </w:t>
      </w:r>
      <w:r w:rsidRPr="00F21896">
        <w:fldChar w:fldCharType="begin"/>
      </w:r>
      <w:r w:rsidRPr="00F21896">
        <w:instrText xml:space="preserve"> ADDIN ZOTERO_ITEM CSL_CITATION {"citationID":"IVUmLUYy","properties":{"formattedCitation":"(Son {\\i{}et al.}, 2021)","plainCitation":"(Son et al., 2021)","noteIndex":0},"citationItems":[{"id":803,"uris":["http://zotero.org/groups/5151425/items/RHFS78SS"],"itemData":{"id":803,"type":"article-journal","abstract":"Historical wildfire events in California have shown a tendency to occur every five to seven years with a rapidly increasing tendency in recent decades. This oscillation is evident in multiple historical climate records, some more than a century long, and appears to be continuing. Analysis shows that this 5–7 year oscillation is linked to a sequence of anomalous large-scale climate patterns with an eastward propagation in both the ocean and atmosphere. While warmer temperature emerges from the northern central Pacific to the west coast of California, La Niña pattern develops simultaneously, implying that the lifecycle of the El Niño-Southern Oscillation that takes multiple years to form could be a trigger. The evolving patterns of the Pacific-to-North America atmospheric teleconnection suggest the role of tropical and subtropical forcing embedded in this lifecycle. These results highlight the semi-cyclical hydrological behavior as a climate driver for wildfire variability in California.","container-title":"Environmental Research Letters","DOI":"10.1088/1748-9326/ac1f44","ISSN":"1748-9326","issue":"9","journalAbbreviation":"Environ. Res. Lett.","language":"en","note":"publisher: IOP Publishing","page":"094031","source":"Institute of Physics","title":"Recurrent pattern of extreme fire weather in California","volume":"16","author":[{"family":"Son","given":"Rackhun"},{"family":"Wang","given":"S.-Y. Simon"},{"family":"Kim","given":"Seung Hee"},{"family":"Kim","given":"Hyungjun"},{"family":"Jeong","given":"Jee-Hoon"},{"family":"Yoon","given":"Jin-Ho"}],"issued":{"date-parts":[["2021",8]]}}}],"schema":"https://github.com/citation-style-language/schema/raw/master/csl-citation.json"} </w:instrText>
      </w:r>
      <w:r w:rsidRPr="00F21896">
        <w:fldChar w:fldCharType="separate"/>
      </w:r>
      <w:r w:rsidRPr="00F21896">
        <w:t xml:space="preserve">(Son </w:t>
      </w:r>
      <w:r w:rsidRPr="00F21896">
        <w:rPr>
          <w:i/>
          <w:iCs/>
        </w:rPr>
        <w:t>et al.</w:t>
      </w:r>
      <w:r w:rsidRPr="00F21896">
        <w:t>, 2021)</w:t>
      </w:r>
      <w:r w:rsidRPr="00F21896">
        <w:fldChar w:fldCharType="end"/>
      </w:r>
      <w:r w:rsidRPr="00F21896">
        <w:t xml:space="preserve">. Wildfire events may then occur due to higher-frequency intensifications of offshore downslope winds such as the Santa Ana (Southern California) and Diablo (Northern California) winds </w:t>
      </w:r>
      <w:r w:rsidRPr="00F21896">
        <w:fldChar w:fldCharType="begin"/>
      </w:r>
      <w:r w:rsidRPr="00F21896">
        <w:instrText xml:space="preserve"> ADDIN ZOTERO_ITEM CSL_CITATION {"citationID":"Uw3dcm2G","properties":{"formattedCitation":"(Abatzoglou {\\i{}et al.}, 2021)","plainCitation":"(Abatzoglou et al., 2021)","noteIndex":0},"citationItems":[{"id":800,"uris":["http://zotero.org/groups/5151425/items/DT9D7T84"],"itemData":{"id":800,"type":"article-journal","abstract":"Downslope winds are mesoscale mountain meteorological phenomena that contribute to localized temperature extremes and contribute to numerous societal and environmental impacts. Whereas previous studies have examined local downslope winds, no known efforts have attempted to identify and characterize meso- to synoptic-scale downslope winds globally using a common approach. We use a conceptual model for downslope winds that employs cross-barrier wind speed, near-mountain top static stability, and downward vertical velocity using thresholds guided by a chronology of local downslope winds and meta-analysis of downslope wind case studies. This approach was applied to ERA-5 reanalysis during 1979–2018 to develop a global atlas of downslope winds. Downslope winds adhered to distinct geographic and seasonal patterns, with peak occurrence in north–south oriented midlatitude mountains in the winter hemisphere associated with strong cross-mountain winds and stability. However, we identify numerous locations from the tropics to the high-latitudes where downslope winds occur at least 60 days a year as a byproduct of the general circulation and local-scale circulation interacting with topography. The four-decade-long data set is also used to examine statistical relationships between the occurrence of downslope winds and El Niño-Southern Oscillation as well as long-term trends in downslope wind occurrence.","container-title":"International Journal of Climatology","DOI":"10.1002/joc.6607","ISSN":"1097-0088","issue":"1","language":"en","license":"© 2020 Royal Meteorological Society","note":"_eprint: https://onlinelibrary.wiley.com/doi/pdf/10.1002/joc.6607","page":"31-50","source":"Wiley Online Library","title":"Global climatology of synoptically-forced downslope winds","volume":"41","author":[{"family":"Abatzoglou","given":"John T."},{"family":"Hatchett","given":"Benjamin J."},{"family":"Fox-Hughes","given":"Paul"},{"family":"Gershunov","given":"Alexander"},{"family":"Nauslar","given":"Nicholas J."}],"issued":{"date-parts":[["2021"]]}}}],"schema":"https://github.com/citation-style-language/schema/raw/master/csl-citation.json"} </w:instrText>
      </w:r>
      <w:r w:rsidRPr="00F21896">
        <w:fldChar w:fldCharType="separate"/>
      </w:r>
      <w:r w:rsidRPr="00F21896">
        <w:t>(</w:t>
      </w:r>
      <w:proofErr w:type="spellStart"/>
      <w:r w:rsidRPr="00F21896">
        <w:t>Abatzoglou</w:t>
      </w:r>
      <w:proofErr w:type="spellEnd"/>
      <w:r w:rsidRPr="00F21896">
        <w:t xml:space="preserve"> </w:t>
      </w:r>
      <w:r w:rsidRPr="00F21896">
        <w:rPr>
          <w:i/>
          <w:iCs/>
        </w:rPr>
        <w:t>et al.</w:t>
      </w:r>
      <w:r w:rsidRPr="00F21896">
        <w:t>, 2021)</w:t>
      </w:r>
      <w:r w:rsidRPr="00F21896">
        <w:fldChar w:fldCharType="end"/>
      </w:r>
      <w:r w:rsidRPr="00F21896">
        <w:t xml:space="preserve">. These offshore winds may also transport dust which has been shown to have a mixed impact on chlorophyll-a ranging from no effect to fertilization </w:t>
      </w:r>
      <w:r w:rsidRPr="00F21896">
        <w:fldChar w:fldCharType="begin"/>
      </w:r>
      <w:r w:rsidRPr="00F21896">
        <w:instrText xml:space="preserve"> ADDIN ZOTERO_ITEM CSL_CITATION {"citationID":"ZASJ7yDu","properties":{"formattedCitation":"(Sosa-Avalos {\\i{}et al.}, 2005; \\uc0\\u193{}lvarez {\\i{}et al.}, 2020)","plainCitation":"(Sosa-Avalos et al., 2005; Álvarez et al., 2020)","noteIndex":0},"citationItems":[{"id":807,"uris":["http://zotero.org/groups/5151425/items/MXJI2U8U"],"itemData":{"id":807,"type":"article-journal","abstract":"The effect of Santa Ana winds on bio-optical properties (absorption coefficients of particles, detritus and phytoplankton) off Baja California (Mexico) was evaluated using data obtained during four cruises in January, April, August and October 1999. Meteorological data from a station at Todos Santos Bay and satellite-derived wind data indicated three Santa Ana events during October 1999, with low relative humidity, high air temperature and persistent ENE winds. The absorption coefficient of detritus (adT) in surface samples was ten-fold higher in October because of the inorganic material wind-driven by the Santa Ana events that occurred from 9 to 11 and from 17 to 20 October, 1999. The absorption coefficients of particles (ap) and phytoplankton (a</w:instrText>
      </w:r>
      <w:r w:rsidRPr="00F21896">
        <w:rPr>
          <w:rFonts w:ascii="Arial" w:hAnsi="Arial" w:cs="Arial"/>
        </w:rPr>
        <w:instrText>ɸ</w:instrText>
      </w:r>
      <w:r w:rsidRPr="00F21896">
        <w:instrText>) in the euphotic zone were higher in the April survey as a result of higher phytoplankton abundance. The ap, a&amp;nbsp; and Kd values in the euphotic zone were fitted to chlorophyll using a power function, with an explained variance of 37%, 72% and 16%, respectively. On excluding the October adT surface values, chlorophyll explained 82% of the changes in the absorption coefficients (ap and a</w:instrText>
      </w:r>
      <w:r w:rsidRPr="00F21896">
        <w:rPr>
          <w:rFonts w:ascii="Arial" w:hAnsi="Arial" w:cs="Arial"/>
        </w:rPr>
        <w:instrText>ɸ</w:instrText>
      </w:r>
      <w:r w:rsidRPr="00F21896">
        <w:instrText xml:space="preserve">), and 87% of the Kd variability. Approximately 80% of the chlorophyll concentration can be explained by the water column spectral reflectance relationship: Rrs(443)/Rrs(555). According to our results, regional chlorophyll estimates from water column bio-optical information were not greatly affected by wind-borne dust transported during the October 1999 Santa Ana events.","container-title":"Ciencias Marinas","DOI":"10.7773/cm.v31i2.60","ISSN":"2395-9053","issue":"2","language":"en","license":"Copyright (c) 2005 Ramón Sosa-Avalos, Gilberto Gaxiola-Castro, Reginaldo Durazo, B Greg-Mitchell","note":"number: 2","page":"339-348","source":"www.cienciasmarinas.com.mx","title":"Effect of Santa Ana winds on bio-optical properties off Baja California","volume":"31","author":[{"family":"Sosa-Avalos","given":"Ramón"},{"family":"Gaxiola-Castro","given":"Gilberto"},{"family":"Durazo","given":"Reginaldo"},{"family":"Greg-Mitchell","given":"B."}],"issued":{"date-parts":[["2005",3,6]]}}},{"id":809,"uris":["http://zotero.org/groups/5151425/items/H5TJM2Z8"],"itemData":{"id":809,"type":"article-journal","abstract":"Numerical simulations revealed a profound interaction between the severe dust storm of 2007 caused by Santa Ana winds and the Gulf of California. The weather research and forecasting model coupled with a chemistry module (WRF-CHEM) and the hybrid single-particle Lagrangian integrated trajectory model (HYSPLIT) allowed for the estimation of the meteorological and dynamic aspects of the event and the dust deposition on the surface waters of the Gulf of California caused by the erosion and entrainment of dust particles from the surrounding desert regions. The dust emission rates from three chosen areas (Altar desert, Sonora coast, and a region between these two zones) and their contribution to dust deposition over the Gulf of California were analyzed. The Altar Desert had the highest dust emission rates and the highest contribution to dust deposition over the Gulf of California, i.e., it has the most critical influence with 96,879 tons of emission and 43,539 tons of dust deposition in the gulf. An increase of chlorophyll-a concentrations is observed coinciding with areas of high dust deposition in the northern and western coast of the gulf. This kind of event could have a significant positive influence over the mineralization and productivity processes in the Gulf of California, despite the soil loss in the eroded regions.","container-title":"Atmosphere","DOI":"10.3390/atmos11030275","ISSN":"2073-4433","issue":"3","language":"en","license":"http://creativecommons.org/licenses/by/3.0/","note":"number: 3\npublisher: Multidisciplinary Digital Publishing Institute","page":"275","source":"www.mdpi.com","title":"Dust Deposition on the Gulf of California Caused by Santa Ana Winds","volume":"11","author":[{"family":"Álvarez","given":"Christian A."},{"family":"Carbajal","given":"José N."},{"family":"Pineda-Martínez","given":"Luis F."},{"family":"Tuxpan","given":"José"},{"family":"Flores","given":"David E."}],"issued":{"date-parts":[["2020",3]]}}}],"schema":"https://github.com/citation-style-language/schema/raw/master/csl-citation.json"} </w:instrText>
      </w:r>
      <w:r w:rsidRPr="00F21896">
        <w:fldChar w:fldCharType="separate"/>
      </w:r>
      <w:r w:rsidRPr="00F21896">
        <w:t xml:space="preserve">(Sosa-Avalos </w:t>
      </w:r>
      <w:r w:rsidRPr="00F21896">
        <w:rPr>
          <w:i/>
          <w:iCs/>
        </w:rPr>
        <w:t>et al.</w:t>
      </w:r>
      <w:r w:rsidRPr="00F21896">
        <w:t xml:space="preserve">, 2005; Álvarez </w:t>
      </w:r>
      <w:r w:rsidRPr="00F21896">
        <w:rPr>
          <w:i/>
          <w:iCs/>
        </w:rPr>
        <w:t>et al.</w:t>
      </w:r>
      <w:r w:rsidRPr="00F21896">
        <w:t>, 2020)</w:t>
      </w:r>
      <w:r w:rsidRPr="00F21896">
        <w:fldChar w:fldCharType="end"/>
      </w:r>
      <w:r w:rsidRPr="00F21896">
        <w:t>. Due to the complexity of interactions and connectivity in the terrestrial-atmosphere-ocean system, high-resolution data on the many potential drivers of biogeochemistry (interannual climate variability, upwelling, winds, and freshwater runoff) are required to reject alternative hypotheses.</w:t>
      </w:r>
    </w:p>
    <w:p w14:paraId="5FA969DF" w14:textId="4FC63CC4" w:rsidR="00FE52E9" w:rsidRPr="00F21896" w:rsidRDefault="00FE52E9" w:rsidP="00FE52E9">
      <w:pPr>
        <w:ind w:firstLine="720"/>
      </w:pPr>
      <w:r w:rsidRPr="00F21896">
        <w:t xml:space="preserve">Here </w:t>
      </w:r>
      <w:r w:rsidR="00195AB0">
        <w:t xml:space="preserve">we </w:t>
      </w:r>
      <w:r w:rsidRPr="00F21896">
        <w:t xml:space="preserve">leverage the multiple </w:t>
      </w:r>
      <w:proofErr w:type="spellStart"/>
      <w:r w:rsidRPr="00F21896">
        <w:t>datastreams</w:t>
      </w:r>
      <w:proofErr w:type="spellEnd"/>
      <w:r w:rsidRPr="00F21896">
        <w:t xml:space="preserve"> available </w:t>
      </w:r>
      <w:r w:rsidR="00195AB0">
        <w:t xml:space="preserve">in around the Monterey Bay to </w:t>
      </w:r>
      <w:r w:rsidRPr="00F21896">
        <w:t xml:space="preserve">analyze the impact of </w:t>
      </w:r>
      <w:r w:rsidR="00195AB0">
        <w:t>the SCU Lightning Complex fires (August-October 2020)</w:t>
      </w:r>
      <w:r w:rsidRPr="00F21896">
        <w:t xml:space="preserve"> on biogeochemistry of the coastal ocean. First, </w:t>
      </w:r>
      <w:r w:rsidR="00195AB0">
        <w:t>we</w:t>
      </w:r>
      <w:r w:rsidRPr="00F21896">
        <w:t xml:space="preserve"> scale responses of satellite chlorophyll-a to wildfire emissions measured as black carbon aerosols. Next, I will analyze whether </w:t>
      </w:r>
      <w:r w:rsidRPr="00F21896">
        <w:rPr>
          <w:i/>
          <w:iCs/>
        </w:rPr>
        <w:t>in-situ</w:t>
      </w:r>
      <w:r w:rsidRPr="00F21896">
        <w:rPr>
          <w:i/>
        </w:rPr>
        <w:t xml:space="preserve"> </w:t>
      </w:r>
      <w:r w:rsidRPr="00F21896">
        <w:t xml:space="preserve">biogeochemical data collected at coastal monitoring stations correlates with anomalies in wildfire aerosol emissions and whether responses are coherent in space and time. Finally, I will focus on the Santa Clara Unit (SCU) Lightning Complex Fires near Monterey Bay in August-October 2020 and utilize shore-station biogeochemistry, ground-based aerosols, and phytoplankton (community composition and abundance quantified through both images and microscopy) to examine whether wildfire alters biological community composition and structure. </w:t>
      </w:r>
      <w:proofErr w:type="gramStart"/>
      <w:r w:rsidR="00195AB0">
        <w:t xml:space="preserve">We </w:t>
      </w:r>
      <w:r w:rsidRPr="00F21896">
        <w:t xml:space="preserve"> explore</w:t>
      </w:r>
      <w:proofErr w:type="gramEnd"/>
      <w:r w:rsidRPr="00F21896">
        <w:t xml:space="preserve"> alternative hypotheses to potential biogeochemical responses including interannual climate variability, </w:t>
      </w:r>
      <w:r>
        <w:t>u</w:t>
      </w:r>
      <w:r w:rsidRPr="00F21896">
        <w:t>pwelling, winds, and freshwater runoff.</w:t>
      </w:r>
    </w:p>
    <w:p w14:paraId="014F8B0C" w14:textId="77777777" w:rsidR="00FE52E9" w:rsidRPr="00F21896" w:rsidRDefault="00FE52E9" w:rsidP="00FE52E9">
      <w:pPr>
        <w:keepNext/>
      </w:pPr>
      <w:r w:rsidRPr="00F21896">
        <w:rPr>
          <w:noProof/>
        </w:rPr>
        <w:lastRenderedPageBreak/>
        <w:drawing>
          <wp:inline distT="0" distB="0" distL="0" distR="0" wp14:anchorId="31D22A44" wp14:editId="66AC334A">
            <wp:extent cx="3283044" cy="3261360"/>
            <wp:effectExtent l="0" t="0" r="0" b="0"/>
            <wp:docPr id="2109707458" name="Picture 2109707458" descr="A collage of clouds and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07458" name="Picture 5" descr="A collage of clouds and wa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91694" cy="3269953"/>
                    </a:xfrm>
                    <a:prstGeom prst="rect">
                      <a:avLst/>
                    </a:prstGeom>
                  </pic:spPr>
                </pic:pic>
              </a:graphicData>
            </a:graphic>
          </wp:inline>
        </w:drawing>
      </w:r>
    </w:p>
    <w:p w14:paraId="56B67C7A" w14:textId="449D71F5" w:rsidR="00FE52E9" w:rsidRPr="00F21896" w:rsidRDefault="00FE52E9" w:rsidP="00FE52E9">
      <w:bookmarkStart w:id="0" w:name="_Ref150199806"/>
      <w:r w:rsidRPr="00F21896">
        <w:t xml:space="preserve">Figure </w:t>
      </w:r>
      <w:r w:rsidRPr="00F21896">
        <w:fldChar w:fldCharType="begin"/>
      </w:r>
      <w:r w:rsidRPr="00F21896">
        <w:instrText xml:space="preserve"> SEQ Figure \* ARABIC </w:instrText>
      </w:r>
      <w:r w:rsidRPr="00F21896">
        <w:fldChar w:fldCharType="separate"/>
      </w:r>
      <w:r w:rsidR="00E52C43">
        <w:rPr>
          <w:noProof/>
        </w:rPr>
        <w:t>1</w:t>
      </w:r>
      <w:r w:rsidRPr="00F21896">
        <w:rPr>
          <w:noProof/>
        </w:rPr>
        <w:fldChar w:fldCharType="end"/>
      </w:r>
      <w:bookmarkEnd w:id="0"/>
      <w:r w:rsidRPr="00F21896">
        <w:t xml:space="preserve">. Evolution of the SCU Lightning Complex fire over the Santa Cruz/Monterey region from August-October 2020. (Source: </w:t>
      </w:r>
      <w:hyperlink r:id="rId8" w:history="1">
        <w:r w:rsidRPr="00F21896">
          <w:rPr>
            <w:rStyle w:val="Hyperlink"/>
            <w:color w:val="000000" w:themeColor="text1"/>
          </w:rPr>
          <w:t>https://worldview.earthdata.nasa.gov/</w:t>
        </w:r>
      </w:hyperlink>
      <w:r w:rsidRPr="00F21896">
        <w:t>)</w:t>
      </w:r>
    </w:p>
    <w:p w14:paraId="42F44B00" w14:textId="77777777" w:rsidR="00FE52E9" w:rsidRPr="00FE52E9" w:rsidRDefault="00FE52E9" w:rsidP="00FE52E9"/>
    <w:p w14:paraId="210E37D1" w14:textId="6BEB3E38" w:rsidR="00FE52E9" w:rsidRDefault="00FE52E9" w:rsidP="00FE52E9">
      <w:pPr>
        <w:pStyle w:val="Heading1"/>
      </w:pPr>
      <w:r w:rsidRPr="00FE52E9">
        <w:t>Methods</w:t>
      </w:r>
    </w:p>
    <w:p w14:paraId="65D41B40" w14:textId="3AAE7F68" w:rsidR="00E52C43" w:rsidRPr="00E52C43" w:rsidRDefault="00E52C43" w:rsidP="00E52C43">
      <w:pPr>
        <w:pStyle w:val="Heading2"/>
      </w:pPr>
      <w:r w:rsidRPr="00E52C43">
        <w:t>Data Acquisition</w:t>
      </w:r>
      <w:r>
        <w:t xml:space="preserve"> and Descriptions</w:t>
      </w:r>
    </w:p>
    <w:p w14:paraId="23ABE552" w14:textId="4223788A" w:rsidR="00FE52E9" w:rsidRDefault="00195AB0" w:rsidP="00FE52E9">
      <w:r>
        <w:t xml:space="preserve">We </w:t>
      </w:r>
      <w:r w:rsidR="00E52C43">
        <w:t>leveraged</w:t>
      </w:r>
      <w:r w:rsidR="00FE52E9" w:rsidRPr="00F21896">
        <w:t xml:space="preserve"> data from </w:t>
      </w:r>
      <w:r>
        <w:t>a multitude of</w:t>
      </w:r>
      <w:r w:rsidR="00FE52E9" w:rsidRPr="00F21896">
        <w:t xml:space="preserve"> locations, organizations, and instruments, each with its gaps in sampling, sampling frequencies, availability ranges and distances from the shore or surf zone. </w:t>
      </w:r>
      <w:r>
        <w:t>We</w:t>
      </w:r>
      <w:r w:rsidR="00FE52E9" w:rsidRPr="00F21896">
        <w:t xml:space="preserve"> provide more comprehensive descriptions of each </w:t>
      </w:r>
      <w:r w:rsidR="00E52C43" w:rsidRPr="00F21896">
        <w:t>data stream</w:t>
      </w:r>
      <w:r>
        <w:t xml:space="preserve">, </w:t>
      </w:r>
      <w:r w:rsidR="00FE52E9" w:rsidRPr="00F21896">
        <w:t>its limitations</w:t>
      </w:r>
      <w:r>
        <w:t xml:space="preserve">, and pre-processing required for analysis </w:t>
      </w:r>
      <w:r w:rsidR="00FE52E9" w:rsidRPr="00F21896">
        <w:t xml:space="preserve">below. </w:t>
      </w:r>
    </w:p>
    <w:p w14:paraId="751D4DDA" w14:textId="77777777" w:rsidR="006A2AE1" w:rsidRDefault="006A2AE1" w:rsidP="00FE52E9"/>
    <w:p w14:paraId="473559BD" w14:textId="36DDFB6E" w:rsidR="006A2AE1" w:rsidRDefault="006A2AE1" w:rsidP="00E52C43">
      <w:pPr>
        <w:pStyle w:val="Heading3"/>
      </w:pPr>
      <w:r>
        <w:t>Plankton and Biogeochemical</w:t>
      </w:r>
    </w:p>
    <w:p w14:paraId="08EA1D6A" w14:textId="77777777" w:rsidR="00195AB0" w:rsidRPr="00F21896" w:rsidRDefault="00195AB0" w:rsidP="00195AB0">
      <w:pPr>
        <w:rPr>
          <w:i/>
        </w:rPr>
      </w:pPr>
      <w:r w:rsidRPr="00F21896">
        <w:rPr>
          <w:i/>
        </w:rPr>
        <w:t>Ocean Color</w:t>
      </w:r>
    </w:p>
    <w:p w14:paraId="18771865" w14:textId="3481B1DA" w:rsidR="00195AB0" w:rsidRPr="00F21896" w:rsidRDefault="00987752" w:rsidP="00195AB0">
      <w:r>
        <w:t>Ocean Color data were downloaded for the Monterey Bay region (37, 112) from</w:t>
      </w:r>
      <w:r w:rsidR="00A91EEC" w:rsidRPr="00A91EEC">
        <w:t xml:space="preserve"> </w:t>
      </w:r>
      <w:hyperlink r:id="rId9" w:history="1">
        <w:r w:rsidR="00A91EEC" w:rsidRPr="00F167F2">
          <w:rPr>
            <w:rStyle w:val="Hyperlink"/>
          </w:rPr>
          <w:t>https://spg-satdata.ucsd.edu/MBay/MBay.htm</w:t>
        </w:r>
      </w:hyperlink>
      <w:r w:rsidR="00A91EEC">
        <w:t>. These data are a produced as a composite</w:t>
      </w:r>
      <w:r>
        <w:t xml:space="preserve"> </w:t>
      </w:r>
      <w:r w:rsidR="00A91EEC">
        <w:t xml:space="preserve">of multiple satellite measurements. A </w:t>
      </w:r>
      <w:r w:rsidR="00974C5C">
        <w:t>thorough</w:t>
      </w:r>
      <w:r w:rsidR="00A91EEC">
        <w:t xml:space="preserve"> explanation of the product is</w:t>
      </w:r>
      <w:r w:rsidR="00974C5C">
        <w:t xml:space="preserve"> detailed in (). </w:t>
      </w:r>
      <w:r w:rsidR="00195AB0" w:rsidRPr="00F21896">
        <w:t xml:space="preserve">Limitations to </w:t>
      </w:r>
      <w:r w:rsidR="00974C5C">
        <w:t>these satellite data</w:t>
      </w:r>
      <w:r w:rsidR="00195AB0" w:rsidRPr="00F21896">
        <w:t xml:space="preserve"> include potential overestimation of chlorophyll-a and colored dissolved organic matter during a wildfire event </w:t>
      </w:r>
      <w:r w:rsidR="00195AB0" w:rsidRPr="00F21896">
        <w:fldChar w:fldCharType="begin"/>
      </w:r>
      <w:r w:rsidR="00195AB0" w:rsidRPr="00F21896">
        <w:instrText xml:space="preserve"> ADDIN ZOTERO_ITEM CSL_CITATION {"citationID":"tW5CoNFG","properties":{"formattedCitation":"(Kramer, Bisson and Mitchell, 2023)","plainCitation":"(Kramer, Bisson and Mitchell, 2023)","noteIndex":0},"citationItems":[{"id":684,"uris":["http://zotero.org/groups/5151425/items/Y8Z8W3GE"],"itemData":{"id":684,"type":"report","genre":"preprint","language":"en","note":"DOI: 10.22541/au.167727712.28102811/v1","publisher":"Preprints","source":"DOI.org (Crossref)","title":"What data are needed to detect wildfire effects on coastal ecosystems? A case study during the Thomas Fire","title-short":"What data are needed to detect wildfire effects on coastal ecosystems?","URL":"https://www.authorea.com/users/589314/articles/626206-what-data-are-needed-to-detect-wildfire-effects-on-coastal-ecosystems-a-case-study-during-the-thomas-fire?commit=49b09d3a40e7eb6cba03057f2b8b36a8a0b5ef2c","author":[{"family":"Kramer","given":"Sasha J"},{"family":"Bisson","given":"Kelsey M"},{"family":"Mitchell","given":"Catherine"}],"accessed":{"date-parts":[["2023",9,6]]},"issued":{"date-parts":[["2023",2,24]]}}}],"schema":"https://github.com/citation-style-language/schema/raw/master/csl-citation.json"} </w:instrText>
      </w:r>
      <w:r w:rsidR="00195AB0" w:rsidRPr="00F21896">
        <w:fldChar w:fldCharType="separate"/>
      </w:r>
      <w:r w:rsidR="00195AB0" w:rsidRPr="00F21896">
        <w:t>(Kramer, Bisson and Mitchell, 2023)</w:t>
      </w:r>
      <w:r w:rsidR="00195AB0" w:rsidRPr="00F21896">
        <w:fldChar w:fldCharType="end"/>
      </w:r>
      <w:r w:rsidR="00195AB0" w:rsidRPr="00F21896">
        <w:t>.</w:t>
      </w:r>
    </w:p>
    <w:p w14:paraId="43D97855" w14:textId="77777777" w:rsidR="00195AB0" w:rsidRPr="00F21896" w:rsidRDefault="00195AB0" w:rsidP="00FE52E9"/>
    <w:p w14:paraId="1489377C" w14:textId="77777777" w:rsidR="00FE52E9" w:rsidRPr="00F21896" w:rsidRDefault="00FE52E9" w:rsidP="00FE52E9">
      <w:pPr>
        <w:rPr>
          <w:i/>
        </w:rPr>
      </w:pPr>
      <w:r w:rsidRPr="00F21896">
        <w:rPr>
          <w:i/>
        </w:rPr>
        <w:t>Shore Stations</w:t>
      </w:r>
    </w:p>
    <w:p w14:paraId="6F224877" w14:textId="77777777" w:rsidR="00FE52E9" w:rsidRPr="00F21896" w:rsidRDefault="00FE52E9" w:rsidP="00FE52E9">
      <w:r w:rsidRPr="00F21896">
        <w:lastRenderedPageBreak/>
        <w:t>The shore station network consists of a suite of fixed, Eulerian sensors that measure (at minimum) temperature, salinity, chlorophyll-a, and water level all along the California coast (</w:t>
      </w:r>
      <w:r w:rsidRPr="00F21896">
        <w:fldChar w:fldCharType="begin"/>
      </w:r>
      <w:r w:rsidRPr="00F21896">
        <w:instrText xml:space="preserve"> REF _Ref149136029 \h  \* MERGEFORMAT </w:instrText>
      </w:r>
      <w:r w:rsidRPr="00F21896">
        <w:fldChar w:fldCharType="separate"/>
      </w:r>
      <w:r w:rsidRPr="00F21896">
        <w:t xml:space="preserve">Figure </w:t>
      </w:r>
      <w:r w:rsidRPr="00F21896">
        <w:rPr>
          <w:noProof/>
        </w:rPr>
        <w:t>2</w:t>
      </w:r>
      <w:r w:rsidRPr="00F21896">
        <w:fldChar w:fldCharType="end"/>
      </w:r>
      <w:r w:rsidRPr="00F21896">
        <w:t xml:space="preserve">). Many of the shore stations have records of automated sensor data that date back to the late 2000’s-early 2010’s and continue to the present day. Some shore stations sample </w:t>
      </w:r>
      <w:proofErr w:type="gramStart"/>
      <w:r w:rsidRPr="00F21896">
        <w:t>off of</w:t>
      </w:r>
      <w:proofErr w:type="gramEnd"/>
      <w:r w:rsidRPr="00F21896">
        <w:t xml:space="preserve"> piers that extend beyond the surf zone (e.g. Scripps Pier) whereas others collect water from a flow-through system (e.g. Bodega Marine Lab).</w:t>
      </w:r>
    </w:p>
    <w:p w14:paraId="1142F4D2" w14:textId="77777777" w:rsidR="00FE52E9" w:rsidRPr="00F21896" w:rsidRDefault="00FE52E9" w:rsidP="00FE52E9">
      <w:pPr>
        <w:keepNext/>
      </w:pPr>
    </w:p>
    <w:p w14:paraId="5826DE3E" w14:textId="77777777" w:rsidR="00FE52E9" w:rsidRPr="00F21896" w:rsidRDefault="00FE52E9" w:rsidP="00FE52E9">
      <w:pPr>
        <w:rPr>
          <w:i/>
        </w:rPr>
      </w:pPr>
      <w:r w:rsidRPr="00F21896">
        <w:rPr>
          <w:i/>
        </w:rPr>
        <w:t xml:space="preserve">Imaging Flow </w:t>
      </w:r>
      <w:proofErr w:type="spellStart"/>
      <w:r w:rsidRPr="00F21896">
        <w:rPr>
          <w:i/>
        </w:rPr>
        <w:t>Cytobots</w:t>
      </w:r>
      <w:proofErr w:type="spellEnd"/>
    </w:p>
    <w:p w14:paraId="582F6909" w14:textId="77777777" w:rsidR="007346A8" w:rsidRDefault="00FE52E9" w:rsidP="00FE52E9">
      <w:r w:rsidRPr="00F21896">
        <w:t xml:space="preserve">The California Imaging Flow </w:t>
      </w:r>
      <w:proofErr w:type="spellStart"/>
      <w:r w:rsidRPr="00F21896">
        <w:t>Cytobot</w:t>
      </w:r>
      <w:proofErr w:type="spellEnd"/>
      <w:r w:rsidRPr="00F21896">
        <w:t xml:space="preserve"> Network (CA IFCB Network) maintains 12 </w:t>
      </w:r>
      <w:r w:rsidRPr="00F21896">
        <w:rPr>
          <w:i/>
          <w:iCs/>
        </w:rPr>
        <w:t>in-situ</w:t>
      </w:r>
      <w:r w:rsidRPr="00F21896">
        <w:rPr>
          <w:i/>
        </w:rPr>
        <w:t xml:space="preserve"> </w:t>
      </w:r>
      <w:r w:rsidRPr="00F21896">
        <w:t xml:space="preserve">instruments to measure phytoplankton community composition, taxa-specific abundance and biovolume. The IFCB </w:t>
      </w:r>
      <w:r w:rsidR="007346A8">
        <w:t xml:space="preserve">continuously </w:t>
      </w:r>
      <w:r w:rsidRPr="00F21896">
        <w:t xml:space="preserve">images plankton and particles (&lt;10 to 150 </w:t>
      </w:r>
      <w:proofErr w:type="spellStart"/>
      <w:r w:rsidRPr="00F21896">
        <w:t>μm</w:t>
      </w:r>
      <w:proofErr w:type="spellEnd"/>
      <w:r w:rsidRPr="00F21896">
        <w:t xml:space="preserve">) </w:t>
      </w:r>
      <w:r w:rsidR="007346A8">
        <w:t xml:space="preserve">in approximately 5mL sample volumes every 20min. The </w:t>
      </w:r>
      <w:r w:rsidRPr="00F21896">
        <w:t xml:space="preserve">Santa Cruz Municipal Wharf (SCMW) </w:t>
      </w:r>
      <w:r w:rsidR="007346A8">
        <w:t xml:space="preserve">IFCB </w:t>
      </w:r>
      <w:r w:rsidRPr="00F21896">
        <w:t xml:space="preserve">has </w:t>
      </w:r>
      <w:r w:rsidR="007346A8">
        <w:t xml:space="preserve">been collecting </w:t>
      </w:r>
      <w:r w:rsidRPr="00F21896">
        <w:t xml:space="preserve">data </w:t>
      </w:r>
      <w:r w:rsidR="007346A8">
        <w:t>since</w:t>
      </w:r>
      <w:r w:rsidRPr="00F21896">
        <w:t xml:space="preserve"> 8/20/2015</w:t>
      </w:r>
      <w:r w:rsidR="007346A8">
        <w:t xml:space="preserve">, with a handful of gaps. The instrument and image data are maintained by the Kudela Lab at the University of California, Santa Cruz. A convolutional neural network (CNN) is used to classify images into one of 54 distinct classes (). Classes are assigned probabilistically in the penultimate layer of the CNN and here we assumed classes with an assigned probability of &gt;0.85 to be true. </w:t>
      </w:r>
    </w:p>
    <w:p w14:paraId="658005E2" w14:textId="373463E8" w:rsidR="006A2AE1" w:rsidRDefault="007346A8" w:rsidP="00FE52E9">
      <w:r>
        <w:t xml:space="preserve">Each class can be used to produce time series of cell abundances (cells/L) or cell biovolumes (ug C/L). We computed daily </w:t>
      </w:r>
      <w:r w:rsidR="005715BD">
        <w:t>maximum</w:t>
      </w:r>
      <w:r>
        <w:t xml:space="preserve"> metrics of abundance and biovolume for each phytoplankton class</w:t>
      </w:r>
      <w:r w:rsidR="005715BD">
        <w:t xml:space="preserve"> and</w:t>
      </w:r>
      <w:r>
        <w:t xml:space="preserve"> </w:t>
      </w:r>
      <w:r w:rsidR="005715BD">
        <w:t>normalized by the sample volume to yield a concentration of cells or carbon.</w:t>
      </w:r>
    </w:p>
    <w:p w14:paraId="2753F7B1" w14:textId="77777777" w:rsidR="007346A8" w:rsidRDefault="007346A8" w:rsidP="00FE52E9"/>
    <w:p w14:paraId="4871C63B" w14:textId="4F0A5D63" w:rsidR="00FE52E9" w:rsidRPr="00F21896" w:rsidRDefault="00FE52E9" w:rsidP="00FE52E9">
      <w:r w:rsidRPr="00F21896">
        <w:t xml:space="preserve"> The specifics of the classifier are detailed in </w:t>
      </w:r>
      <w:r w:rsidRPr="00F21896">
        <w:fldChar w:fldCharType="begin"/>
      </w:r>
      <w:r w:rsidRPr="00F21896">
        <w:instrText xml:space="preserve"> ADDIN ZOTERO_ITEM CSL_CITATION {"citationID":"a2aujtg6bdu","properties":{"formattedCitation":"\\uldash{(Fischer {\\i{}et al.}, 2020)}","plainCitation":"(Fischer et al., 2020)","dontUpdate":true,"noteIndex":0},"citationItems":[{"id":781,"uris":["http://zotero.org/groups/5151425/items/YXW8NAAV"],"itemData":{"id":781,"type":"article-journal","abstract":"Phytoplankton biomass in Monterey Bay, California is typically dominated by diatoms, but it shifted to dinoflagellates twice in the past 18 years (2004–2007, 2017–2018), which was associated with increased harmful algal blooms. Located within the central California Current System (CCS), Monterey Bay is strongly influenced by cycles of upwelling-favorable winds and their relaxation or reversal. Both dinoflagellate-dominated periods were linked to a negative North Pacific Gyre Oscillation (NPGO) and increased river discharge, but each had a different relationship with upwelling. To examine the connection between large-scale and local forcings underlying floristic shifts in the phytoplankton assemblage, an Imaging FlowCytobot (IFCB) was deployed within the Monterey Bay upwelling shadow for a full year. A machine learning classifier differentiating IFCB images of the phytoplankton assemblage was developed. Despite anomalously strong upwelling in 2018, dinoflagellates comprised 57% of the annual phytoplankton-specific biomass. During upwelling, dinoflagellates appear to have accumulated at convergent fronts, while during relaxation these frontal populations were transported to the nearshore where they seeded local blooms. Frequent upwelling-relaxation cycles and local wind anomalies generated an unusually retentive circulation pattern in the upwelling shadow, producing a warm and stratified bloom incubator. Thus, local features and forcings (upwelling shadow, winds, river discharge) modified the effects of regional- and basin-scale oceanographic variability (regional upwelling, NPGO), altering local phytoplankton patterns. As North Pacific decadal variability and CCS upwelling intensity increase under climate warming, dinoflagellates may become more common in some CCS regions, due to the enhancement or mitigation of large-scale trends by local forcings.","container-title":"Limnology and Oceanography","DOI":"10.1002/lno.11443","ISSN":"1939-5590","issue":"9","language":"en","license":"© 2020 The Authors. Limnology and Oceanography published by Wiley Periodicals, Inc. on behalf of Association for the Sciences of Limnology and Oceanography.","note":"_eprint: https://onlinelibrary.wiley.com/doi/pdf/10.1002/lno.11443","page":"2125-2141","source":"Wiley Online Library","title":"Return of the “age of dinoflagellates” in Monterey Bay: Drivers of dinoflagellate dominance examined using automated imaging flow cytometry and long-term time series analysis","title-short":"Return of the “age of dinoflagellates” in Monterey Bay","volume":"65","author":[{"family":"Fischer","given":"Alexis D."},{"family":"Hayashi","given":"Kendra"},{"family":"McGaraghan","given":"Anna"},{"family":"Kudela","given":"Raphael M."}],"issued":{"date-parts":[["2020"]]}}}],"schema":"https://github.com/citation-style-language/schema/raw/master/csl-citation.json"} </w:instrText>
      </w:r>
      <w:r w:rsidRPr="00F21896">
        <w:fldChar w:fldCharType="separate"/>
      </w:r>
      <w:r w:rsidRPr="00F21896">
        <w:t xml:space="preserve">Fischer </w:t>
      </w:r>
      <w:r w:rsidRPr="00F21896">
        <w:rPr>
          <w:i/>
          <w:iCs/>
        </w:rPr>
        <w:t>et al.</w:t>
      </w:r>
      <w:r w:rsidRPr="00F21896">
        <w:t xml:space="preserve"> (2020)</w:t>
      </w:r>
      <w:r w:rsidRPr="00F21896">
        <w:fldChar w:fldCharType="end"/>
      </w:r>
      <w:r w:rsidRPr="00F21896">
        <w:t xml:space="preserve"> and data for each sample are available on the IFCB dashboard</w:t>
      </w:r>
      <w:r w:rsidR="00195AB0">
        <w:t xml:space="preserve"> </w:t>
      </w:r>
      <w:r w:rsidRPr="00F21896">
        <w:t>(</w:t>
      </w:r>
      <w:hyperlink r:id="rId10" w:history="1">
        <w:r w:rsidRPr="00F21896">
          <w:rPr>
            <w:rStyle w:val="Hyperlink"/>
          </w:rPr>
          <w:t>http://akashiwo.oceandatacenter.ucsc.edu:8000/dashboard</w:t>
        </w:r>
      </w:hyperlink>
      <w:r w:rsidRPr="00F21896">
        <w:t xml:space="preserve">). </w:t>
      </w:r>
    </w:p>
    <w:p w14:paraId="4FCE942F" w14:textId="77777777" w:rsidR="00FE52E9" w:rsidRPr="00F21896" w:rsidRDefault="00FE52E9" w:rsidP="00FE52E9">
      <w:pPr>
        <w:rPr>
          <w:i/>
        </w:rPr>
      </w:pPr>
      <w:r w:rsidRPr="00F21896">
        <w:rPr>
          <w:i/>
        </w:rPr>
        <w:t>The Harmful Algal Bloom Monitoring and Alert Program</w:t>
      </w:r>
    </w:p>
    <w:p w14:paraId="4317A53E" w14:textId="4D9C7472" w:rsidR="00FE52E9" w:rsidRPr="00F21896" w:rsidRDefault="00FE52E9" w:rsidP="00FE52E9">
      <w:r w:rsidRPr="00F21896">
        <w:t xml:space="preserve">The California Harmful Algal Bloom Monitoring and Alert Program (Cal HABMAP) is a sampling program within the Shore Stations network and founded in 2008 that collects weekly phytoplankton and water quality data at nine locations along the California coast (Figure 2). The program was formed as a collaborative effort for the interests of researchers, managers and stakeholders to monitor blooms of harmful species of phytoplankton. Taxonomic groups are identified through microscopy and include </w:t>
      </w:r>
      <w:proofErr w:type="spellStart"/>
      <w:r w:rsidRPr="00F21896">
        <w:rPr>
          <w:i/>
        </w:rPr>
        <w:t>Alexandrium</w:t>
      </w:r>
      <w:proofErr w:type="spellEnd"/>
      <w:r w:rsidRPr="00F21896">
        <w:rPr>
          <w:i/>
        </w:rPr>
        <w:t xml:space="preserve">, </w:t>
      </w:r>
      <w:proofErr w:type="spellStart"/>
      <w:r w:rsidRPr="00F21896">
        <w:rPr>
          <w:i/>
        </w:rPr>
        <w:t>Cochlodinium</w:t>
      </w:r>
      <w:proofErr w:type="spellEnd"/>
      <w:r w:rsidRPr="00F21896">
        <w:rPr>
          <w:i/>
        </w:rPr>
        <w:t xml:space="preserve">, </w:t>
      </w:r>
      <w:proofErr w:type="spellStart"/>
      <w:r w:rsidRPr="00F21896">
        <w:rPr>
          <w:i/>
        </w:rPr>
        <w:t>Dinophysis</w:t>
      </w:r>
      <w:proofErr w:type="spellEnd"/>
      <w:r w:rsidRPr="00F21896">
        <w:rPr>
          <w:i/>
        </w:rPr>
        <w:t xml:space="preserve"> </w:t>
      </w:r>
      <w:r w:rsidRPr="00F21896">
        <w:t xml:space="preserve">spp., </w:t>
      </w:r>
      <w:proofErr w:type="spellStart"/>
      <w:r w:rsidRPr="00F21896">
        <w:rPr>
          <w:i/>
        </w:rPr>
        <w:t>Gonyaulax</w:t>
      </w:r>
      <w:proofErr w:type="spellEnd"/>
      <w:r w:rsidRPr="00F21896">
        <w:rPr>
          <w:i/>
        </w:rPr>
        <w:t xml:space="preserve">, </w:t>
      </w:r>
      <w:proofErr w:type="spellStart"/>
      <w:r w:rsidRPr="00F21896">
        <w:rPr>
          <w:i/>
        </w:rPr>
        <w:t>Lingulodinium</w:t>
      </w:r>
      <w:proofErr w:type="spellEnd"/>
      <w:r w:rsidRPr="00F21896">
        <w:rPr>
          <w:i/>
        </w:rPr>
        <w:t xml:space="preserve">, </w:t>
      </w:r>
      <w:proofErr w:type="spellStart"/>
      <w:r w:rsidRPr="00F21896">
        <w:rPr>
          <w:i/>
        </w:rPr>
        <w:t>Prorocentrum</w:t>
      </w:r>
      <w:proofErr w:type="spellEnd"/>
      <w:r w:rsidRPr="00F21896">
        <w:t xml:space="preserve"> spp., </w:t>
      </w:r>
      <w:r w:rsidRPr="00F21896">
        <w:rPr>
          <w:i/>
        </w:rPr>
        <w:t>Pseudo-</w:t>
      </w:r>
      <w:proofErr w:type="spellStart"/>
      <w:r w:rsidRPr="00F21896">
        <w:rPr>
          <w:i/>
        </w:rPr>
        <w:t>nitzschia</w:t>
      </w:r>
      <w:proofErr w:type="spellEnd"/>
      <w:r w:rsidRPr="00F21896">
        <w:rPr>
          <w:i/>
        </w:rPr>
        <w:t xml:space="preserve"> </w:t>
      </w:r>
      <w:proofErr w:type="spellStart"/>
      <w:r w:rsidRPr="00F21896">
        <w:rPr>
          <w:i/>
        </w:rPr>
        <w:t>delicatissima</w:t>
      </w:r>
      <w:proofErr w:type="spellEnd"/>
      <w:r w:rsidRPr="00F21896">
        <w:t xml:space="preserve">-size class, </w:t>
      </w:r>
      <w:r w:rsidRPr="00F21896">
        <w:rPr>
          <w:i/>
        </w:rPr>
        <w:t>Pseudo-</w:t>
      </w:r>
      <w:proofErr w:type="spellStart"/>
      <w:r w:rsidRPr="00F21896">
        <w:rPr>
          <w:i/>
        </w:rPr>
        <w:t>nitzschia</w:t>
      </w:r>
      <w:proofErr w:type="spellEnd"/>
      <w:r w:rsidRPr="00F21896">
        <w:rPr>
          <w:i/>
        </w:rPr>
        <w:t xml:space="preserve"> </w:t>
      </w:r>
      <w:proofErr w:type="spellStart"/>
      <w:r w:rsidRPr="00F21896">
        <w:rPr>
          <w:i/>
        </w:rPr>
        <w:t>seriata</w:t>
      </w:r>
      <w:proofErr w:type="spellEnd"/>
      <w:r w:rsidRPr="00F21896">
        <w:t xml:space="preserve">-size class, </w:t>
      </w:r>
      <w:proofErr w:type="spellStart"/>
      <w:r w:rsidRPr="00F21896">
        <w:rPr>
          <w:i/>
        </w:rPr>
        <w:t>Phaeocystis</w:t>
      </w:r>
      <w:proofErr w:type="spellEnd"/>
      <w:r w:rsidRPr="00F21896">
        <w:t>, total diatoms, and total dinoflagellates. Most stations sample weekly in the morning, with day of week varying between sites. Potential limitations to these data include sub-sampling extrapolations and taxonomic expertise.</w:t>
      </w:r>
    </w:p>
    <w:p w14:paraId="7838A9F4" w14:textId="77777777" w:rsidR="00FE52E9" w:rsidRPr="00F21896" w:rsidRDefault="00FE52E9" w:rsidP="00FE52E9"/>
    <w:p w14:paraId="37CB3F18" w14:textId="50688662" w:rsidR="00FE52E9" w:rsidRDefault="006A2AE1" w:rsidP="00E52C43">
      <w:pPr>
        <w:pStyle w:val="Heading3"/>
      </w:pPr>
      <w:r>
        <w:t>Wildfire Aerosol Data</w:t>
      </w:r>
    </w:p>
    <w:p w14:paraId="365134C2" w14:textId="77777777" w:rsidR="006A2AE1" w:rsidRPr="00F21896" w:rsidRDefault="006A2AE1" w:rsidP="006A2AE1">
      <w:pPr>
        <w:rPr>
          <w:i/>
        </w:rPr>
      </w:pPr>
      <w:r w:rsidRPr="00F21896">
        <w:rPr>
          <w:i/>
        </w:rPr>
        <w:t>MERRA-2 Black Carbon aerosol</w:t>
      </w:r>
    </w:p>
    <w:p w14:paraId="532E67CE" w14:textId="18A997C8" w:rsidR="006A2AE1" w:rsidRPr="00F21896" w:rsidRDefault="006A2AE1" w:rsidP="00FE52E9">
      <w:r w:rsidRPr="00F21896">
        <w:lastRenderedPageBreak/>
        <w:t xml:space="preserve">Daily, 0.5×0.65◦ resolved black-carbon aerosol data will be obtained from the Modern-Era Retrospective Analysis for Research and Applications, Version 2 (MERRA-2) for 1980-2022 </w:t>
      </w:r>
      <w:r w:rsidRPr="00F21896">
        <w:fldChar w:fldCharType="begin"/>
      </w:r>
      <w:r w:rsidRPr="00F21896">
        <w:instrText xml:space="preserve"> ADDIN ZOTERO_ITEM CSL_CITATION {"citationID":"GixqCGFh","properties":{"formattedCitation":"(Gelaro {\\i{}et al.}, 2017)","plainCitation":"(Gelaro et al., 2017)","noteIndex":0},"citationItems":[{"id":766,"uris":["http://zotero.org/groups/5151425/items/EL393JGZ"],"itemData":{"id":766,"type":"article-journal","abstract":"Abstract The Modern-Era Retrospective Analysis for Research and Applications, version 2 (MERRA-2), is the latest atmospheric reanalysis of the modern satellite era produced by NASA’s Global Modeling and Assimilation Office (GMAO). MERRA-2 assimilates observation types not available to its predecessor, MERRA, and includes updates to the Goddard Earth Observing System (GEOS) model and analysis scheme so as to provide a viable ongoing climate analysis beyond MERRA’s terminus. While addressing known limitations of MERRA, MERRA-2 is also intended to be a development milestone for a future integrated Earth system analysis (IESA) currently under development at GMAO. This paper provides an overview of the MERRA-2 system and various performance metrics. Among the advances in MERRA-2 relevant to IESA are the assimilation of aerosol observations, several improvements to the representation of the stratosphere including ozone, and improved representations of cryospheric processes. Other improvements in the quality of MERRA-2 compared with MERRA include the reduction of some spurious trends and jumps related to changes in the observing system and reduced biases and imbalances in aspects of the water cycle. Remaining deficiencies are also identified. Production of MERRA-2 began in June 2014 in four processing streams and converged to a single near-real-time stream in mid-2015. MERRA-2 products are accessible online through the NASA Goddard Earth Sciences Data Information Services Center (GES DISC).","container-title":"Journal of Climate","DOI":"10.1175/JCLI-D-16-0758.1","ISSN":"0894-8755, 1520-0442","issue":"14","language":"EN","note":"publisher: American Meteorological Society\nsection: Journal of Climate","page":"5419-5454","source":"journals.ametsoc.org","title":"The Modern-Era Retrospective Analysis for Research and Applications, Version 2 (MERRA-2)","volume":"30","author":[{"family":"Gelaro","given":"Ronald"},{"family":"McCarty","given":"Will"},{"family":"Suárez","given":"Max J."},{"family":"Todling","given":"Ricardo"},{"family":"Molod","given":"Andrea"},{"family":"Takacs","given":"Lawrence"},{"family":"Randles","given":"Cynthia A."},{"family":"Darmenov","given":"Anton"},{"family":"Bosilovich","given":"Michael G."},{"family":"Reichle","given":"Rolf"},{"family":"Wargan","given":"Krzysztof"},{"family":"Coy","given":"Lawrence"},{"family":"Cullather","given":"Richard"},{"family":"Draper","given":"Clara"},{"family":"Akella","given":"Santha"},{"family":"Buchard","given":"Virginie"},{"family":"Conaty","given":"Austin"},{"family":"Silva","given":"Arlindo M.","dropping-particle":"da"},{"family":"Gu","given":"Wei"},{"family":"Kim","given":"Gi-Kong"},{"family":"Koster","given":"Randal"},{"family":"Lucchesi","given":"Robert"},{"family":"Merkova","given":"Dagmar"},{"family":"Nielsen","given":"Jon Eric"},{"family":"Partyka","given":"Gary"},{"family":"Pawson","given":"Steven"},{"family":"Putman","given":"William"},{"family":"Rienecker","given":"Michele"},{"family":"Schubert","given":"Siegfried D."},{"family":"Sienkiewicz","given":"Meta"},{"family":"Zhao","given":"Bin"}],"issued":{"date-parts":[["2017",7,15]]}}}],"schema":"https://github.com/citation-style-language/schema/raw/master/csl-citation.json"} </w:instrText>
      </w:r>
      <w:r w:rsidRPr="00F21896">
        <w:fldChar w:fldCharType="separate"/>
      </w:r>
      <w:r w:rsidRPr="00F21896">
        <w:t>(</w:t>
      </w:r>
      <w:proofErr w:type="spellStart"/>
      <w:r w:rsidRPr="00F21896">
        <w:t>Gelaro</w:t>
      </w:r>
      <w:proofErr w:type="spellEnd"/>
      <w:r w:rsidRPr="00F21896">
        <w:t xml:space="preserve"> </w:t>
      </w:r>
      <w:r w:rsidRPr="00F21896">
        <w:rPr>
          <w:i/>
          <w:iCs/>
        </w:rPr>
        <w:t>et al.</w:t>
      </w:r>
      <w:r w:rsidRPr="00F21896">
        <w:t>, 2017)</w:t>
      </w:r>
      <w:r w:rsidRPr="00F21896">
        <w:fldChar w:fldCharType="end"/>
      </w:r>
      <w:r w:rsidRPr="00F21896">
        <w:t xml:space="preserve"> as a proxy for wildfire emissions. Reanalysis involves the combination of disparate historical observations with a data-assimilating  forecast model to produce a regularly-gridded dataset including observed and derived variables </w:t>
      </w:r>
      <w:r w:rsidRPr="00F21896">
        <w:fldChar w:fldCharType="begin"/>
      </w:r>
      <w:r w:rsidRPr="00F21896">
        <w:instrText xml:space="preserve"> ADDIN ZOTERO_ITEM CSL_CITATION {"citationID":"fpktlU0D","properties":{"formattedCitation":"(Gelaro {\\i{}et al.}, 2017)","plainCitation":"(Gelaro et al., 2017)","noteIndex":0},"citationItems":[{"id":766,"uris":["http://zotero.org/groups/5151425/items/EL393JGZ"],"itemData":{"id":766,"type":"article-journal","abstract":"Abstract The Modern-Era Retrospective Analysis for Research and Applications, version 2 (MERRA-2), is the latest atmospheric reanalysis of the modern satellite era produced by NASA’s Global Modeling and Assimilation Office (GMAO). MERRA-2 assimilates observation types not available to its predecessor, MERRA, and includes updates to the Goddard Earth Observing System (GEOS) model and analysis scheme so as to provide a viable ongoing climate analysis beyond MERRA’s terminus. While addressing known limitations of MERRA, MERRA-2 is also intended to be a development milestone for a future integrated Earth system analysis (IESA) currently under development at GMAO. This paper provides an overview of the MERRA-2 system and various performance metrics. Among the advances in MERRA-2 relevant to IESA are the assimilation of aerosol observations, several improvements to the representation of the stratosphere including ozone, and improved representations of cryospheric processes. Other improvements in the quality of MERRA-2 compared with MERRA include the reduction of some spurious trends and jumps related to changes in the observing system and reduced biases and imbalances in aspects of the water cycle. Remaining deficiencies are also identified. Production of MERRA-2 began in June 2014 in four processing streams and converged to a single near-real-time stream in mid-2015. MERRA-2 products are accessible online through the NASA Goddard Earth Sciences Data Information Services Center (GES DISC).","container-title":"Journal of Climate","DOI":"10.1175/JCLI-D-16-0758.1","ISSN":"0894-8755, 1520-0442","issue":"14","language":"EN","note":"publisher: American Meteorological Society\nsection: Journal of Climate","page":"5419-5454","source":"journals.ametsoc.org","title":"The Modern-Era Retrospective Analysis for Research and Applications, Version 2 (MERRA-2)","volume":"30","author":[{"family":"Gelaro","given":"Ronald"},{"family":"McCarty","given":"Will"},{"family":"Suárez","given":"Max J."},{"family":"Todling","given":"Ricardo"},{"family":"Molod","given":"Andrea"},{"family":"Takacs","given":"Lawrence"},{"family":"Randles","given":"Cynthia A."},{"family":"Darmenov","given":"Anton"},{"family":"Bosilovich","given":"Michael G."},{"family":"Reichle","given":"Rolf"},{"family":"Wargan","given":"Krzysztof"},{"family":"Coy","given":"Lawrence"},{"family":"Cullather","given":"Richard"},{"family":"Draper","given":"Clara"},{"family":"Akella","given":"Santha"},{"family":"Buchard","given":"Virginie"},{"family":"Conaty","given":"Austin"},{"family":"Silva","given":"Arlindo M.","dropping-particle":"da"},{"family":"Gu","given":"Wei"},{"family":"Kim","given":"Gi-Kong"},{"family":"Koster","given":"Randal"},{"family":"Lucchesi","given":"Robert"},{"family":"Merkova","given":"Dagmar"},{"family":"Nielsen","given":"Jon Eric"},{"family":"Partyka","given":"Gary"},{"family":"Pawson","given":"Steven"},{"family":"Putman","given":"William"},{"family":"Rienecker","given":"Michele"},{"family":"Schubert","given":"Siegfried D."},{"family":"Sienkiewicz","given":"Meta"},{"family":"Zhao","given":"Bin"}],"issued":{"date-parts":[["2017",7,15]]}}}],"schema":"https://github.com/citation-style-language/schema/raw/master/csl-citation.json"} </w:instrText>
      </w:r>
      <w:r w:rsidRPr="00F21896">
        <w:fldChar w:fldCharType="separate"/>
      </w:r>
      <w:r w:rsidRPr="00F21896">
        <w:t>(</w:t>
      </w:r>
      <w:proofErr w:type="spellStart"/>
      <w:r w:rsidRPr="00F21896">
        <w:t>Gelaro</w:t>
      </w:r>
      <w:proofErr w:type="spellEnd"/>
      <w:r w:rsidRPr="00F21896">
        <w:t xml:space="preserve"> </w:t>
      </w:r>
      <w:r w:rsidRPr="00F21896">
        <w:rPr>
          <w:i/>
          <w:iCs/>
        </w:rPr>
        <w:t>et al.</w:t>
      </w:r>
      <w:r w:rsidRPr="00F21896">
        <w:t>, 2017)</w:t>
      </w:r>
      <w:r w:rsidRPr="00F21896">
        <w:fldChar w:fldCharType="end"/>
      </w:r>
      <w:r w:rsidRPr="00F21896">
        <w:t>. The model utilizes biomass burning emission data from the Tropospheric Chemical Composition, version 2 (RETRO-2;</w:t>
      </w:r>
      <w:r w:rsidRPr="00F21896">
        <w:fldChar w:fldCharType="begin"/>
      </w:r>
      <w:r w:rsidRPr="00F21896">
        <w:instrText xml:space="preserve"> ADDIN ZOTERO_ITEM CSL_CITATION {"citationID":"3sliQMkd","properties":{"formattedCitation":"(Schultz {\\i{}et al.}, 2008)","plainCitation":"(Schultz et al., 2008)","noteIndex":0},"citationItems":[{"id":828,"uris":["http://zotero.org/groups/5151425/items/UKGQKSD2"],"itemData":{"id":828,"type":"article-journal","abstract":"In many regions of the world, fires are an important and highly variable source of air pollutant emissions, and they thus constitute a significant if not dominant factor controlling the interannual variability of the atmospheric composition. This paper describes the 41-year inventory of vegetation fire emissions constructed for the Reanalysis of the Tropospheric chemical composition over the past 40 years project (RETRO), a global modeling study to investigate the trends and variability of tropospheric ozone and other air pollutants over the past decades. It is the first attempt to construct a global emissions data set with monthly time resolution over such a long period. The inventory is based on a literature review, on estimates from different satellite products, and on a numerical model with a semiphysical approach to simulate fire occurrence and fire spread. Burned areas, carbon consumption, and total carbon release are estimated for 13 continental-scale regions, including explicit treatment of some major burning events such as Indonesia in 1997 and 1998. Global carbon emissions from this inventory range from 1410 to 3140 Tg C/a with the minimum and maximum occurring in 1974 and 1992, respectively (mean of 2078 Tg C/a). Emissions of other species are also reported (mean CO of 330 Tg/a, NOx of 4.6 Tg N/a, CH2O of 3.9 Tg/a, CH4 of 15.4 Tg/a, BC of 2.2 Tg/a, OC of 17.6 Tg/a, SO2 of 2.2 Tg/a). The uncertainties of these estimates remain high even for later years where satellite data products are available. Future versions of this inventory may benefit from ongoing analysis of burned areas from satellite data going back to 1982.","container-title":"Global Biogeochemical Cycles","DOI":"10.1029/2007GB003031","ISSN":"1944-9224","issue":"2","language":"en","license":"Copyright 2008 by the American Geophysical Union.","note":"_eprint: https://onlinelibrary.wiley.com/doi/pdf/10.1029/2007GB003031","source":"Wiley Online Library","title":"Global wildland fire emissions from 1960 to 2000","URL":"https://onlinelibrary.wiley.com/doi/abs/10.1029/2007GB003031","volume":"22","author":[{"family":"Schultz","given":"Martin G."},{"family":"Heil","given":"Angelika"},{"family":"Hoelzemann","given":"Judith J."},{"family":"Spessa","given":"Allan"},{"family":"Thonicke","given":"Kirsten"},{"family":"Goldammer","given":"Johann G."},{"family":"Held","given":"Alexander C."},{"family":"Pereira","given":"Jose M. C."},{"family":"Bolscher","given":"Maarten","non-dropping-particle":"van het"}],"accessed":{"date-parts":[["2023",9,20]]},"issued":{"date-parts":[["2008"]]}}}],"schema":"https://github.com/citation-style-language/schema/raw/master/csl-citation.json"} </w:instrText>
      </w:r>
      <w:r w:rsidRPr="00F21896">
        <w:fldChar w:fldCharType="separate"/>
      </w:r>
      <w:r w:rsidRPr="00F21896">
        <w:t xml:space="preserve">(Schultz </w:t>
      </w:r>
      <w:r w:rsidRPr="00F21896">
        <w:rPr>
          <w:i/>
          <w:iCs/>
        </w:rPr>
        <w:t>et al.</w:t>
      </w:r>
      <w:r w:rsidRPr="00F21896">
        <w:t>, 2008)</w:t>
      </w:r>
      <w:r w:rsidRPr="00F21896">
        <w:fldChar w:fldCharType="end"/>
      </w:r>
      <w:r w:rsidRPr="00F21896">
        <w:t xml:space="preserve">), the Global Fire Emissions Database, version 3.1 (GFED-3.1; van der </w:t>
      </w:r>
      <w:proofErr w:type="spellStart"/>
      <w:r w:rsidRPr="00F21896">
        <w:t>Irf</w:t>
      </w:r>
      <w:proofErr w:type="spellEnd"/>
      <w:r w:rsidRPr="00F21896">
        <w:t xml:space="preserve"> et al. 2006), and the Quick Fire Emission Dataset, version 2.4r6 (QFED-2.4.r6;). Previous studies have found MERRA-2 black carbon data to reliably match ground-based measurements </w:t>
      </w:r>
      <w:r w:rsidRPr="00F21896">
        <w:fldChar w:fldCharType="begin"/>
      </w:r>
      <w:r w:rsidRPr="00F21896">
        <w:instrText xml:space="preserve"> ADDIN ZOTERO_ITEM CSL_CITATION {"citationID":"wyoiSKYY","properties":{"formattedCitation":"(Qin {\\i{}et al.}, 2019; Cao {\\i{}et al.}, 2021)","plainCitation":"(Qin et al., 2019; Cao et al., 2021)","noteIndex":0},"citationItems":[{"id":816,"uris":["http://zotero.org/groups/5151425/items/L9N8VYI5"],"itemData":{"id":816,"type":"article-journal","abstract":"Based on the ground-measurements and MERRA-2 (Modern-Era Retrospective Analysis for Research and Applications, Version 2) reanalysis data, the temporal-spatial variation of black carbon (BC) in Beijing and the affecting factors were investigated. According to the ground-measured BC concentration in November months of 2014, 2015 and 2016, the before-heating period in November 2014 showed the lowest BC concentration as a result of the efficient emission controls for the Asia-Pacific Economic Cooperation (APEC) meeting. Except for November 2014, the BC mass concentration during the heating periods was notably lower than the before-heating periods in November 2015 and 2016. Wind speed and relative humidity appeared to be two important meteorological parameters affecting BC pollution. The MERRA-2 BC concentration was validated through comparison with the continuous ground BC measurements in 2015 and 2016, affirming its reliability in demonstrating the large scale and long term variations of the ground BC concentration. The MERRA-2 BC spatial distribution, the potential source regions determined by concentration weighted trajectory (CWT) analysis, and the regional emission inventories were combined to reveal the potential source regions and source types of BC in Beijing. Transportation emission in Beijing and residential emissions in the neighboring regions such as Hebei appeared to be important sources of BC in Beijing. According to the historical trends of MERRA-2 BC concentration and typical fossil fuel consumption (1980–2017), local coal and coke are no longer the major factor affecting the BC concentration, instead, liquid fuels such as gasoline, kerosene, and diesel may highly contribute to the BC pollution in Beijing in recent years. Regional transport of BC may have also contributed to the loading of BC in Beijing. Open biomass burning may be a non-negligible factor for the short-term variation of BC in the atmosphere.","container-title":"Environmental Pollution","DOI":"10.1016/j.envpol.2018.11.063","ISSN":"0269-7491","journalAbbreviation":"Environmental Pollution","page":"853-863","source":"ScienceDirect","title":"Variation, sources and historical trend of black carbon in Beijing, China based on ground observation and MERRA-2 reanalysis data","volume":"245","author":[{"family":"Qin","given":"Weihua"},{"family":"Zhang","given":"Yuepeng"},{"family":"Chen","given":"Jing"},{"family":"Yu","given":"Qing"},{"family":"Cheng","given":"Siming"},{"family":"Li","given":"Wenguang"},{"family":"Liu","given":"Xingang"},{"family":"Tian","given":"Hezhong"}],"issued":{"date-parts":[["2019",2,1]]}}},{"id":818,"uris":["http://zotero.org/groups/5151425/items/FU6MLST3"],"itemData":{"id":818,"type":"article-journal","abstract":"Black carbon (BC), an important component of atmospheric aerosols, has a great influence on regional and global radiation balance, climate and human health due to its small particle size, large specific surface area and radiation forcing. The long-term variation of atmospheric BC over China during 1980–2019 was investigated through MERRA-2 reanalysis data. MERRA-2 BC generally presented a good correlation (average R = 0.61) with 852 monthly samples from ground-based observations at 64 stations around China. In recent 40 years, the annual-averaged atmospheric BC concentration derived from MERRA-2 reanalysis data was 1.10 ± 0.22 μg/m3, with an average annual growth rate of 1.52%. The monthly BC concentrations showed a \"U\"-shaped trend. Based on the Mann-Kendall trend analysis, the BC concentration can be roughly divided into three stages: (1) the “low value” stage with slow growth rate (1.68%) (1980–1999, 0.91 ± 0.10 μg/m3), (2) the fluctuating “median value” stage with high growth rate (4.44%) (2000–2007, 1.28 ± 0.13 μg/m3), and (3) the “high value” stage with slow downtrend (−0.87%) (2008–2019, 1.32 ± 0.06 μg/m3). Peak times and multi-year average growth rates of BC concentration and emission were not synchronized. The spatial distribution, dividing by the Hu Line, a line dividing the population density and urbanization of China, formed three BC high-value areas in Sichuan Basin, Northern Henan area and Beijing-Tianjin-Hebei (BTH). The altitude where the concentration of BC increased fastest at an average annual growth rate of 3.47% during 1980–2019 was between 0 and 500 m. The growth rate of BC concentration was close to zero as the altitude increased. During the past 40 years, significant overall uptrends were detected in MERRA-2 BC concentration with Mann-Kendall trend analysis at pixel scale, especially during 1980–1999 and 2000–2007. This increasing trend was more obvious in the eastern Hu Line. Whereas, a downward trend was appeared in the plains and basins of southeast China during 2008–2019.","container-title":"Atmospheric Environment","DOI":"10.1016/j.atmosenv.2021.118662","ISSN":"1352-2310","journalAbbreviation":"Atmospheric Environment","page":"118662","source":"ScienceDirect","title":"A long-term analysis of atmospheric black carbon MERRA-2 concentration over China during 1980–2019","volume":"264","author":[{"family":"Cao","given":"Shanshan"},{"family":"Zhang","given":"Shiqing"},{"family":"Gao","given":"Chanchan"},{"family":"Yan","given":"Yuanyuan"},{"family":"Bao","given":"Jiehuan"},{"family":"Su","given":"Ling"},{"family":"Liu","given":"Mengqing"},{"family":"Peng","given":"Nana"},{"family":"Liu","given":"Min"}],"issued":{"date-parts":[["2021",11,1]]}}}],"schema":"https://github.com/citation-style-language/schema/raw/master/csl-citation.json"} </w:instrText>
      </w:r>
      <w:r w:rsidRPr="00F21896">
        <w:fldChar w:fldCharType="separate"/>
      </w:r>
      <w:r w:rsidRPr="00F21896">
        <w:t xml:space="preserve">(Qin </w:t>
      </w:r>
      <w:r w:rsidRPr="00F21896">
        <w:rPr>
          <w:i/>
          <w:iCs/>
        </w:rPr>
        <w:t>et al.</w:t>
      </w:r>
      <w:r w:rsidRPr="00F21896">
        <w:t xml:space="preserve">, 2019; Cao </w:t>
      </w:r>
      <w:r w:rsidRPr="00F21896">
        <w:rPr>
          <w:i/>
          <w:iCs/>
        </w:rPr>
        <w:t>et al.</w:t>
      </w:r>
      <w:r w:rsidRPr="00F21896">
        <w:t>, 2021)</w:t>
      </w:r>
      <w:r w:rsidRPr="00F21896">
        <w:fldChar w:fldCharType="end"/>
      </w:r>
      <w:r w:rsidRPr="00F21896">
        <w:t>.</w:t>
      </w:r>
    </w:p>
    <w:p w14:paraId="0B40496C" w14:textId="77777777" w:rsidR="00FE52E9" w:rsidRPr="00F21896" w:rsidRDefault="00FE52E9" w:rsidP="00FE52E9">
      <w:pPr>
        <w:rPr>
          <w:i/>
        </w:rPr>
      </w:pPr>
      <w:proofErr w:type="spellStart"/>
      <w:r w:rsidRPr="00F21896">
        <w:rPr>
          <w:i/>
        </w:rPr>
        <w:t>Aeronet</w:t>
      </w:r>
      <w:proofErr w:type="spellEnd"/>
      <w:r w:rsidRPr="00F21896">
        <w:rPr>
          <w:i/>
        </w:rPr>
        <w:t xml:space="preserve"> Aerosol Optical Depth</w:t>
      </w:r>
    </w:p>
    <w:p w14:paraId="3C4D7593" w14:textId="77777777" w:rsidR="00FE52E9" w:rsidRDefault="00FE52E9" w:rsidP="00FE52E9">
      <w:r w:rsidRPr="00F21896">
        <w:t xml:space="preserve">The </w:t>
      </w:r>
      <w:proofErr w:type="spellStart"/>
      <w:r w:rsidRPr="00F21896">
        <w:t>Aeronet</w:t>
      </w:r>
      <w:proofErr w:type="spellEnd"/>
      <w:r w:rsidRPr="00F21896">
        <w:t xml:space="preserve"> (</w:t>
      </w:r>
      <w:proofErr w:type="spellStart"/>
      <w:r w:rsidRPr="00F21896">
        <w:t>AErosol</w:t>
      </w:r>
      <w:proofErr w:type="spellEnd"/>
      <w:r w:rsidRPr="00F21896">
        <w:t xml:space="preserve"> </w:t>
      </w:r>
      <w:proofErr w:type="spellStart"/>
      <w:r w:rsidRPr="00F21896">
        <w:t>RObotic</w:t>
      </w:r>
      <w:proofErr w:type="spellEnd"/>
      <w:r w:rsidRPr="00F21896">
        <w:t xml:space="preserve"> </w:t>
      </w:r>
      <w:proofErr w:type="spellStart"/>
      <w:r w:rsidRPr="00F21896">
        <w:t>NETwork</w:t>
      </w:r>
      <w:proofErr w:type="spellEnd"/>
      <w:r w:rsidRPr="00F21896">
        <w:t>) is a global ground-based remote sensing aerosol network established by NASA and PHOTONS (</w:t>
      </w:r>
      <w:proofErr w:type="spellStart"/>
      <w:r w:rsidRPr="00F21896">
        <w:t>PHOtométrie</w:t>
      </w:r>
      <w:proofErr w:type="spellEnd"/>
      <w:r w:rsidRPr="00F21896">
        <w:t xml:space="preserve"> </w:t>
      </w:r>
      <w:proofErr w:type="spellStart"/>
      <w:r w:rsidRPr="00F21896">
        <w:t>pmy</w:t>
      </w:r>
      <w:proofErr w:type="spellEnd"/>
      <w:r w:rsidRPr="00F21896">
        <w:t xml:space="preserve"> le </w:t>
      </w:r>
      <w:proofErr w:type="spellStart"/>
      <w:r w:rsidRPr="00F21896">
        <w:t>Traitement</w:t>
      </w:r>
      <w:proofErr w:type="spellEnd"/>
      <w:r w:rsidRPr="00F21896">
        <w:t xml:space="preserve"> </w:t>
      </w:r>
      <w:proofErr w:type="spellStart"/>
      <w:r w:rsidRPr="00F21896">
        <w:t>Opérationnel</w:t>
      </w:r>
      <w:proofErr w:type="spellEnd"/>
      <w:r w:rsidRPr="00F21896">
        <w:t xml:space="preserve"> de </w:t>
      </w:r>
      <w:proofErr w:type="spellStart"/>
      <w:r w:rsidRPr="00F21896">
        <w:t>Normalisation</w:t>
      </w:r>
      <w:proofErr w:type="spellEnd"/>
      <w:r w:rsidRPr="00F21896">
        <w:t xml:space="preserve"> </w:t>
      </w:r>
      <w:proofErr w:type="spellStart"/>
      <w:r w:rsidRPr="00F21896">
        <w:t>Satellitaire</w:t>
      </w:r>
      <w:proofErr w:type="spellEnd"/>
      <w:r w:rsidRPr="00F21896">
        <w:t xml:space="preserve">, </w:t>
      </w:r>
      <w:hyperlink r:id="rId11" w:history="1">
        <w:r w:rsidRPr="00F21896">
          <w:rPr>
            <w:rStyle w:val="Hyperlink"/>
          </w:rPr>
          <w:t>https://aeronet.gsfc.nasa.gov/new_web/index.html</w:t>
        </w:r>
      </w:hyperlink>
      <w:r w:rsidRPr="00F21896">
        <w:t xml:space="preserve">). Sun photometer measurements of solar radiation provide information to calculate the columnar aerosol optical depth (AOD) and validate satellite based AOD. The spectral deconvolution algorithm is applied to the AOD data to derive coarse and fine-mode optical depths at 500 nm. Here I will use Level 1.5-2.0 data which are automatically cloud cleared and quality assured (Level 1.5 and 2.0) with pre-field and post-field calibration applied (Level 2.0). </w:t>
      </w:r>
      <w:proofErr w:type="spellStart"/>
      <w:r w:rsidRPr="00F21896">
        <w:t>Aeronet</w:t>
      </w:r>
      <w:proofErr w:type="spellEnd"/>
      <w:r w:rsidRPr="00F21896">
        <w:t xml:space="preserve"> sensors are available at the following locations proximal to shore stations: Trinidad Head (2005-present), Monterey (2002-present), UCSB (2002-present), USC (2011-present), and La Jolla (2000-2007,2010-2013,2019-present).</w:t>
      </w:r>
    </w:p>
    <w:p w14:paraId="094CDA12" w14:textId="17B76015" w:rsidR="006A2AE1" w:rsidRPr="006A2AE1" w:rsidRDefault="006A2AE1" w:rsidP="00FE52E9">
      <w:pPr>
        <w:rPr>
          <w:i/>
          <w:iCs/>
        </w:rPr>
      </w:pPr>
      <w:proofErr w:type="spellStart"/>
      <w:r>
        <w:rPr>
          <w:i/>
          <w:iCs/>
        </w:rPr>
        <w:t>Airnow</w:t>
      </w:r>
      <w:proofErr w:type="spellEnd"/>
      <w:r>
        <w:rPr>
          <w:i/>
          <w:iCs/>
        </w:rPr>
        <w:t xml:space="preserve"> PM 2.5 Air Quality Data</w:t>
      </w:r>
    </w:p>
    <w:p w14:paraId="02A44ADE" w14:textId="1821CA03" w:rsidR="00FE52E9" w:rsidRPr="006A2AE1" w:rsidRDefault="006A2AE1" w:rsidP="00FE52E9">
      <w:pPr>
        <w:rPr>
          <w:iCs/>
        </w:rPr>
      </w:pPr>
      <w:r>
        <w:rPr>
          <w:iCs/>
        </w:rPr>
        <w:t xml:space="preserve">Daily air quality data is available on Airnow.gov and includes measurements of ozone, and PM 2.5. Monitoring stations in Santa Cruz County </w:t>
      </w:r>
      <w:proofErr w:type="gramStart"/>
      <w:r>
        <w:rPr>
          <w:iCs/>
        </w:rPr>
        <w:t>are located in</w:t>
      </w:r>
      <w:proofErr w:type="gramEnd"/>
      <w:r>
        <w:rPr>
          <w:iCs/>
        </w:rPr>
        <w:t xml:space="preserve"> </w:t>
      </w:r>
    </w:p>
    <w:p w14:paraId="6322FE5B" w14:textId="77777777" w:rsidR="00FE52E9" w:rsidRPr="00F21896" w:rsidRDefault="00FE52E9" w:rsidP="00FE52E9"/>
    <w:p w14:paraId="5084E4C4" w14:textId="67B82B5B" w:rsidR="00FE52E9" w:rsidRPr="006A2AE1" w:rsidRDefault="00FE52E9" w:rsidP="00E52C43">
      <w:pPr>
        <w:pStyle w:val="Heading3"/>
      </w:pPr>
      <w:r w:rsidRPr="006A2AE1">
        <w:t xml:space="preserve">Indices and </w:t>
      </w:r>
      <w:proofErr w:type="spellStart"/>
      <w:r w:rsidRPr="006A2AE1">
        <w:t>Me</w:t>
      </w:r>
      <w:r w:rsidR="00E52C43">
        <w:t>ausurement</w:t>
      </w:r>
      <w:proofErr w:type="spellEnd"/>
      <w:r w:rsidRPr="006A2AE1">
        <w:t xml:space="preserve"> for Alternative Hypotheses</w:t>
      </w:r>
    </w:p>
    <w:p w14:paraId="42A29016" w14:textId="77777777" w:rsidR="00FE52E9" w:rsidRDefault="00FE52E9" w:rsidP="00EE1CB8">
      <w:r w:rsidRPr="00F21896">
        <w:t>To reject alternative hypotheses of physical forcing driving changes in coastal biogeochemistry I can examine relevant indices and measurements. To test for the influence of upwelling, I will use the Biologically Effective Upwelling Transport Index (BEUTI) (</w:t>
      </w:r>
      <w:hyperlink r:id="rId12" w:history="1">
        <w:r w:rsidRPr="00F21896">
          <w:rPr>
            <w:rStyle w:val="Hyperlink"/>
          </w:rPr>
          <w:t>https://mjacox.com/upwelling-indices</w:t>
        </w:r>
      </w:hyperlink>
      <w:r w:rsidRPr="00F21896">
        <w:t xml:space="preserve">) which provides daily or monthly estimates of vertical nitrate flux near the coast </w:t>
      </w:r>
      <w:r w:rsidRPr="00F21896">
        <w:fldChar w:fldCharType="begin"/>
      </w:r>
      <w:r w:rsidRPr="00F21896">
        <w:instrText xml:space="preserve"> ADDIN ZOTERO_ITEM CSL_CITATION {"citationID":"vJhDeZJk","properties":{"formattedCitation":"(Jacox {\\i{}et al.}, 2018)","plainCitation":"(Jacox et al., 2018)","noteIndex":0},"citationItems":[{"id":863,"uris":["http://zotero.org/groups/5151425/items/GI8QBJUD"],"itemData":{"id":863,"type":"article-journal","abstract":"Coastal upwelling is responsible for thriving marine ecosystems and ﬁsheries that are disproportionately productive relative to their surface area, particularly in the world’s major eastern boundary upwelling systems. Along oceanic eastern boundaries, equatorward wind stress and the Earth’s rotation combine to drive a near-surface layer of water offshore, a process called Ekman transport. Similarly, positive wind stress curl drives divergence in the surface Ekman layer and consequently upwelling from below, a process known as Ekman suction. In both cases, displaced water is replaced by upwelling of relatively nutrient-rich water from below, which stimulates the growth of microscopic phytoplankton that form the base of the marine food web. Ekman theory is foundational and underlies the calculation of upwelling indices such as the “Bakun Index” that are ubiquitous in eastern boundary upwelling system studies. While generally valuable ﬁrst-order descriptions, these indices and their underlying theory provide an incomplete picture of coastal upwelling. Here we review the relevant dynamics and limitations of classical upwelling indices, particularly related to representation of the surface wind stress, the inﬂuence of geostrophic currents, and the properties of upwelled water. To address these shortcomings, we present two new upwelling indices for the U.S. West Coast (31–47°N), which are available from 1988 to present. The Coastal Upwelling Transport Index and the Biologically Effective Upwelling Transport Index provide improved estimates of vertical transport and vertical nitrate ﬂux, respectively, by leveraging technological and scientiﬁc advances realized since the introduction of the Bakun Index nearly a half century ago. Plain Language Summary The California Current System, running along the North American West Coast, hosts a rich and diverse marine ecosystem that provides considerable socioeconomic beneﬁt. The process underlying this exceptional biological productivity is wind-driven coastal upwelling, which delivers deep, nutrient-rich water to the sunlit surface layer and stimulates growth of phytoplankton that form the base of the marine food web. Given the ecological importance of upwelling, indices designed to monitor its intensity (e.g., the “Bakun Index”) were introduced nearly 50 years ago. While these indices have proved extremely useful, they have a number of limitations as they are derived from relatively coarse resolution atmospheric pressure ﬁelds. In particular, uncertainties arise in the estimation of wind stress and from the omission of the inﬂuence of ocean circulation. Furthermore, historical indices estimate only the amount of water upwelled, not the nutrient content of that water. Here we present new indices that leverage ocean models, satellite data, and in situ observations to more accurately estimate upwelling strength as well as the amount of nitrate being upwelled. The new indices are publicly available, extend from 1988 to present, and will be valuable for monitoring upwelling in near real time and for understanding its impacts on the marine ecosystem.","container-title":"Journal of Geophysical Research: Oceans","DOI":"10.1029/2018JC014187","ISSN":"2169-9275, 2169-9291","issue":"10","journalAbbreviation":"JGR Oceans","language":"en","page":"7332-7350","source":"DOI.org (Crossref)","title":"Coastal Upwelling Revisited: Ekman, Bakun, and Improved Upwelling Indices for the U.S. West Coast","title-short":"Coastal Upwelling Revisited","volume":"123","author":[{"family":"Jacox","given":"Michael G."},{"family":"Edwards","given":"Christopher A."},{"family":"Hazen","given":"Elliott L."},{"family":"Bograd","given":"Steven J."}],"issued":{"date-parts":[["2018",10]]}}}],"schema":"https://github.com/citation-style-language/schema/raw/master/csl-citation.json"} </w:instrText>
      </w:r>
      <w:r w:rsidRPr="00F21896">
        <w:fldChar w:fldCharType="separate"/>
      </w:r>
      <w:r w:rsidRPr="00F21896">
        <w:t xml:space="preserve">(Jacox </w:t>
      </w:r>
      <w:r w:rsidRPr="00F21896">
        <w:rPr>
          <w:i/>
          <w:iCs/>
        </w:rPr>
        <w:t>et al.</w:t>
      </w:r>
      <w:r w:rsidRPr="00F21896">
        <w:t>, 2018)</w:t>
      </w:r>
      <w:r w:rsidRPr="00F21896">
        <w:fldChar w:fldCharType="end"/>
      </w:r>
      <w:r w:rsidRPr="00F21896">
        <w:t>. Wind forcing will be determined through wind speed and direction measured from NDBC buoy 46042 (</w:t>
      </w:r>
      <w:hyperlink r:id="rId13">
        <w:r w:rsidRPr="00F21896">
          <w:rPr>
            <w:color w:val="1155CC"/>
            <w:u w:val="single"/>
          </w:rPr>
          <w:t>https://www.ndbc.noaa.gov/station_page.php?station=46042&amp;unit=E</w:t>
        </w:r>
      </w:hyperlink>
      <w:r w:rsidRPr="00F21896">
        <w:t xml:space="preserve"> ). I will use stream gauge data from USGS as a proxy for freshwater discharge for the San Lorenzo River in Santa Cruz (</w:t>
      </w:r>
      <w:hyperlink r:id="rId14">
        <w:r w:rsidRPr="00F21896">
          <w:rPr>
            <w:color w:val="1155CC"/>
            <w:u w:val="single"/>
          </w:rPr>
          <w:t>https://waterdata.usgs.gov/monitoring-location/11161000</w:t>
        </w:r>
      </w:hyperlink>
      <w:r w:rsidRPr="00F21896">
        <w:t>). To examine coincidence of fires with interannual climate phenomena, I will use the Multivariate ENSO Index which is computed from the 1st EOF of anomalies in sea level pressure, sea surface temperature, surface zonal and meridional winds, and outgoing longwave radiation (</w:t>
      </w:r>
      <w:hyperlink r:id="rId15">
        <w:r w:rsidRPr="00F21896">
          <w:rPr>
            <w:color w:val="1155CC"/>
            <w:u w:val="single"/>
          </w:rPr>
          <w:t>https://psl.noaa.gov/enso/mei</w:t>
        </w:r>
      </w:hyperlink>
      <w:r w:rsidRPr="00F21896">
        <w:t>).</w:t>
      </w:r>
    </w:p>
    <w:p w14:paraId="352721E5" w14:textId="77777777" w:rsidR="00EE1CB8" w:rsidRDefault="00EE1CB8" w:rsidP="00EE1CB8">
      <w:pPr>
        <w:rPr>
          <w:lang w:val="en"/>
        </w:rPr>
      </w:pPr>
    </w:p>
    <w:p w14:paraId="70FD95DE" w14:textId="77777777" w:rsidR="00805D58" w:rsidRPr="00195AB0" w:rsidRDefault="00805D58" w:rsidP="00EE1CB8">
      <w:pPr>
        <w:rPr>
          <w:lang w:val="en"/>
        </w:rPr>
        <w:sectPr w:rsidR="00805D58" w:rsidRPr="00195AB0" w:rsidSect="00EE1CB8">
          <w:headerReference w:type="default" r:id="rId16"/>
          <w:type w:val="continuous"/>
          <w:pgSz w:w="12240" w:h="15840"/>
          <w:pgMar w:top="720" w:right="720" w:bottom="720" w:left="720" w:header="720" w:footer="720" w:gutter="0"/>
          <w:pgNumType w:start="1"/>
          <w:cols w:space="720"/>
          <w:docGrid w:linePitch="299"/>
        </w:sectPr>
      </w:pPr>
    </w:p>
    <w:p w14:paraId="4B6B499A" w14:textId="77777777" w:rsidR="00EE1CB8" w:rsidRPr="007B3AAD" w:rsidRDefault="00EE1CB8" w:rsidP="00EE1CB8">
      <w:pPr>
        <w:rPr>
          <w:i/>
          <w:iCs/>
          <w:lang w:val="en"/>
        </w:rPr>
      </w:pPr>
      <w:r w:rsidRPr="007B3AAD">
        <w:rPr>
          <w:i/>
          <w:iCs/>
          <w:lang w:val="en"/>
        </w:rPr>
        <w:lastRenderedPageBreak/>
        <w:t>Time Series and Statistical Analysis</w:t>
      </w:r>
    </w:p>
    <w:p w14:paraId="6DF37EC5" w14:textId="77777777" w:rsidR="00EE1CB8" w:rsidRDefault="00EE1CB8" w:rsidP="00EE1CB8">
      <w:pPr>
        <w:ind w:firstLine="720"/>
        <w:rPr>
          <w:lang w:val="en"/>
        </w:rPr>
      </w:pPr>
      <w:r>
        <w:rPr>
          <w:lang w:val="en"/>
        </w:rPr>
        <w:t xml:space="preserve">The analysis and statistics for this work were conducted using MATLAB R2023b-2024b and </w:t>
      </w:r>
      <w:proofErr w:type="spellStart"/>
      <w:r>
        <w:rPr>
          <w:lang w:val="en"/>
        </w:rPr>
        <w:t>Rstudio</w:t>
      </w:r>
      <w:proofErr w:type="spellEnd"/>
      <w:r>
        <w:rPr>
          <w:lang w:val="en"/>
        </w:rPr>
        <w:t xml:space="preserve">. We used cross-correlation between wildfire and alternative physical driver metrics and phytoplankton chlorophyll-a or group </w:t>
      </w:r>
      <w:proofErr w:type="gramStart"/>
      <w:r>
        <w:rPr>
          <w:lang w:val="en"/>
        </w:rPr>
        <w:t>abundances  to</w:t>
      </w:r>
      <w:proofErr w:type="gramEnd"/>
      <w:r>
        <w:rPr>
          <w:lang w:val="en"/>
        </w:rPr>
        <w:t xml:space="preserve"> test the strength of the relationship and associated lag between the time series. We used </w:t>
      </w:r>
      <w:proofErr w:type="gramStart"/>
      <w:r>
        <w:rPr>
          <w:lang w:val="en"/>
        </w:rPr>
        <w:t>daily-averaged</w:t>
      </w:r>
      <w:proofErr w:type="gramEnd"/>
      <w:r>
        <w:rPr>
          <w:lang w:val="en"/>
        </w:rPr>
        <w:t xml:space="preserve"> values of each variable with the climatological median removed to cross-correlate anomalies of each signal. For </w:t>
      </w:r>
      <w:proofErr w:type="spellStart"/>
      <w:r>
        <w:rPr>
          <w:lang w:val="en"/>
        </w:rPr>
        <w:t>Aeronet</w:t>
      </w:r>
      <w:proofErr w:type="spellEnd"/>
      <w:r>
        <w:rPr>
          <w:lang w:val="en"/>
        </w:rPr>
        <w:t xml:space="preserve"> AOD data, we used linear interpolation with the MATLAB ‘</w:t>
      </w:r>
      <w:proofErr w:type="spellStart"/>
      <w:r>
        <w:rPr>
          <w:i/>
          <w:iCs/>
          <w:lang w:val="en"/>
        </w:rPr>
        <w:t>fillmissing</w:t>
      </w:r>
      <w:proofErr w:type="spellEnd"/>
      <w:r>
        <w:rPr>
          <w:i/>
          <w:iCs/>
          <w:lang w:val="en"/>
        </w:rPr>
        <w:t>’</w:t>
      </w:r>
      <w:r>
        <w:rPr>
          <w:lang w:val="en"/>
        </w:rPr>
        <w:t xml:space="preserve"> function to ensure that the time series had no gaps prior to cross-correlation.</w:t>
      </w:r>
    </w:p>
    <w:p w14:paraId="31534600" w14:textId="77777777" w:rsidR="00EE1CB8" w:rsidRDefault="00EE1CB8" w:rsidP="00EE1CB8">
      <w:pPr>
        <w:rPr>
          <w:lang w:val="en"/>
        </w:rPr>
      </w:pPr>
      <w:r>
        <w:rPr>
          <w:lang w:val="en"/>
        </w:rPr>
        <w:tab/>
        <w:t xml:space="preserve">We selected </w:t>
      </w:r>
      <w:proofErr w:type="spellStart"/>
      <w:r>
        <w:rPr>
          <w:lang w:val="en"/>
        </w:rPr>
        <w:t>phyoplankton</w:t>
      </w:r>
      <w:proofErr w:type="spellEnd"/>
      <w:r>
        <w:rPr>
          <w:lang w:val="en"/>
        </w:rPr>
        <w:t xml:space="preserve"> groups which displayed a correlation coefficient of &gt;0.6 for subsequent analysis. For each phytoplankton group, we found the lag that produced the maximum correlation between the time series. </w:t>
      </w:r>
    </w:p>
    <w:p w14:paraId="62B14058" w14:textId="77777777" w:rsidR="00EE1CB8" w:rsidRDefault="00EE1CB8" w:rsidP="00EE1CB8">
      <w:pPr>
        <w:rPr>
          <w:lang w:val="en"/>
        </w:rPr>
      </w:pPr>
      <w:r>
        <w:rPr>
          <w:lang w:val="en"/>
        </w:rPr>
        <w:tab/>
        <w:t xml:space="preserve">To determine whether the phytoplankton community structure changed in response to the wildfires, we used lags from taxa-fire correlations to compute a Bray-Curtis dissimilarity index. The mode lag for the phytoplankton taxa that displayed the strongest responses to fire was 8 days, so the Bray-Curtis index was calculated between communities 8 days apart for the entire time series. A probability-density function (PDF) for this dissimilarity index was constructed for the entire time-series using kernel density. We determined which points within the fire period fell into the extremes of the distribution (top 10%). </w:t>
      </w:r>
    </w:p>
    <w:p w14:paraId="44FE61B6" w14:textId="77777777" w:rsidR="00EE1CB8" w:rsidRDefault="00EE1CB8" w:rsidP="00EE1CB8">
      <w:pPr>
        <w:rPr>
          <w:lang w:val="en"/>
        </w:rPr>
      </w:pPr>
      <w:r>
        <w:rPr>
          <w:lang w:val="en"/>
        </w:rPr>
        <w:tab/>
        <w:t>Following examination of the change in community composition, we explored how the abundance and biovolume of the responding taxa during the fire period compared with the climatological averages. We produced PDFs for the fire period (August-October) for the year of the fire, 2020, and compared these distributions with the those for the same fall window using the full time series. We used a two-sided Kolmogorov-Smirnov test to determine whether there was a significant difference (where p-values &gt;0.05) in the distributions.</w:t>
      </w:r>
    </w:p>
    <w:p w14:paraId="6DF7529D" w14:textId="77777777" w:rsidR="00EE1CB8" w:rsidRDefault="00EE1CB8" w:rsidP="00EE1CB8">
      <w:pPr>
        <w:rPr>
          <w:lang w:val="en"/>
        </w:rPr>
      </w:pPr>
    </w:p>
    <w:p w14:paraId="44294686" w14:textId="77777777" w:rsidR="00EE1CB8" w:rsidRDefault="00EE1CB8" w:rsidP="00EE1CB8">
      <w:pPr>
        <w:rPr>
          <w:lang w:val="en"/>
        </w:rPr>
      </w:pPr>
      <w:r>
        <w:rPr>
          <w:i/>
          <w:iCs/>
          <w:lang w:val="en"/>
        </w:rPr>
        <w:t>Tests of Alternative Drivers</w:t>
      </w:r>
    </w:p>
    <w:p w14:paraId="7E835552" w14:textId="77777777" w:rsidR="00EE1CB8" w:rsidRDefault="00EE1CB8" w:rsidP="00EE1CB8">
      <w:pPr>
        <w:rPr>
          <w:lang w:val="en"/>
        </w:rPr>
      </w:pPr>
      <w:r>
        <w:rPr>
          <w:lang w:val="en"/>
        </w:rPr>
        <w:tab/>
        <w:t xml:space="preserve">The complex dynamics of the Monterey Bay and multitude of forcings that have been shown to impact phytoplankton production locally demanded that we explore alternative drivers of phytoplankton anomalies during the fire period. We used drivers explored in </w:t>
      </w:r>
      <w:r>
        <w:rPr>
          <w:lang w:val="en"/>
        </w:rPr>
        <w:fldChar w:fldCharType="begin"/>
      </w:r>
      <w:r>
        <w:rPr>
          <w:lang w:val="en"/>
        </w:rPr>
        <w:instrText xml:space="preserve"> ADDIN ZOTERO_ITEM CSL_CITATION {"citationID":"CsiT3VUj","properties":{"formattedCitation":"(Fischer {\\i{}et al.}, 2020)","plainCitation":"(Fischer et al., 2020)","noteIndex":0},"citationItems":[{"id":781,"uris":["http://zotero.org/groups/5151425/items/YXW8NAAV"],"itemData":{"id":781,"type":"article-journal","abstract":"Phytoplankton biomass in Monterey Bay, California is typically dominated by diatoms, but it shifted to dinoflagellates twice in the past 18 years (2004–2007, 2017–2018), which was associated with increased harmful algal blooms. Located within the central California Current System (CCS), Monterey Bay is strongly influenced by cycles of upwelling-favorable winds and their relaxation or reversal. Both dinoflagellate-dominated periods were linked to a negative North Pacific Gyre Oscillation (NPGO) and increased river discharge, but each had a different relationship with upwelling. To examine the connection between large-scale and local forcings underlying floristic shifts in the phytoplankton assemblage, an Imaging FlowCytobot (IFCB) was deployed within the Monterey Bay upwelling shadow for a full year. A machine learning classifier differentiating IFCB images of the phytoplankton assemblage was developed. Despite anomalously strong upwelling in 2018, dinoflagellates comprised 57% of the annual phytoplankton-specific biomass. During upwelling, dinoflagellates appear to have accumulated at convergent fronts, while during relaxation these frontal populations were transported to the nearshore where they seeded local blooms. Frequent upwelling-relaxation cycles and local wind anomalies generated an unusually retentive circulation pattern in the upwelling shadow, producing a warm and stratified bloom incubator. Thus, local features and forcings (upwelling shadow, winds, river discharge) modified the effects of regional- and basin-scale oceanographic variability (regional upwelling, NPGO), altering local phytoplankton patterns. As North Pacific decadal variability and CCS upwelling intensity increase under climate warming, dinoflagellates may become more common in some CCS regions, due to the enhancement or mitigation of large-scale trends by local forcings.","container-title":"Limnology and Oceanography","DOI":"10.1002/lno.11443","ISSN":"1939-5590","issue":"9","language":"en","license":"© 2020 The Authors. Limnology and Oceanography published by Wiley Periodicals, Inc. on behalf of Association for the Sciences of Limnology and Oceanography.","note":"_eprint: https://onlinelibrary.wiley.com/doi/pdf/10.1002/lno.11443","page":"2125-2141","source":"Wiley Online Library","title":"Return of the “age of dinoflagellates” in Monterey Bay: Drivers of dinoflagellate dominance examined using automated imaging flow cytometry and long-term time series analysis","title-short":"Return of the “age of dinoflagellates” in Monterey Bay","volume":"65","author":[{"family":"Fischer","given":"Alexis D."},{"family":"Hayashi","given":"Kendra"},{"family":"McGaraghan","given":"Anna"},{"family":"Kudela","given":"Raphael M."}],"issued":{"date-parts":[["2020"]]}}}],"schema":"https://github.com/citation-style-language/schema/raw/master/csl-citation.json"} </w:instrText>
      </w:r>
      <w:r>
        <w:rPr>
          <w:lang w:val="en"/>
        </w:rPr>
        <w:fldChar w:fldCharType="separate"/>
      </w:r>
      <w:r w:rsidRPr="00A91EEC">
        <w:rPr>
          <w:rFonts w:ascii="Aptos" w:hAnsi="Aptos" w:cs="Times New Roman"/>
          <w:kern w:val="0"/>
        </w:rPr>
        <w:t xml:space="preserve">Fischer </w:t>
      </w:r>
      <w:r w:rsidRPr="00A91EEC">
        <w:rPr>
          <w:rFonts w:ascii="Aptos" w:hAnsi="Aptos" w:cs="Times New Roman"/>
          <w:i/>
          <w:iCs/>
          <w:kern w:val="0"/>
        </w:rPr>
        <w:t>et al.</w:t>
      </w:r>
      <w:r w:rsidRPr="00A91EEC">
        <w:rPr>
          <w:rFonts w:ascii="Aptos" w:hAnsi="Aptos" w:cs="Times New Roman"/>
          <w:kern w:val="0"/>
        </w:rPr>
        <w:t xml:space="preserve"> </w:t>
      </w:r>
      <w:r>
        <w:rPr>
          <w:rFonts w:ascii="Aptos" w:hAnsi="Aptos" w:cs="Times New Roman"/>
          <w:kern w:val="0"/>
        </w:rPr>
        <w:t>(</w:t>
      </w:r>
      <w:r w:rsidRPr="00A91EEC">
        <w:rPr>
          <w:rFonts w:ascii="Aptos" w:hAnsi="Aptos" w:cs="Times New Roman"/>
          <w:kern w:val="0"/>
        </w:rPr>
        <w:t>2020)</w:t>
      </w:r>
      <w:r>
        <w:rPr>
          <w:lang w:val="en"/>
        </w:rPr>
        <w:fldChar w:fldCharType="end"/>
      </w:r>
      <w:r>
        <w:rPr>
          <w:lang w:val="en"/>
        </w:rPr>
        <w:t xml:space="preserve"> as a basis for this analysis. </w:t>
      </w:r>
    </w:p>
    <w:p w14:paraId="0F6D3868" w14:textId="77777777" w:rsidR="00EE1CB8" w:rsidRDefault="00EE1CB8" w:rsidP="00EE1CB8">
      <w:pPr>
        <w:rPr>
          <w:lang w:val="en"/>
        </w:rPr>
      </w:pPr>
      <w:r>
        <w:rPr>
          <w:lang w:val="en"/>
        </w:rPr>
        <w:lastRenderedPageBreak/>
        <w:tab/>
        <w:t>Furthermore, previous work at the SCMW has shown that this sampling point may not always be representative of the Monterey Bay as a whole ().</w:t>
      </w:r>
    </w:p>
    <w:p w14:paraId="6C19ACF2" w14:textId="77777777" w:rsidR="00EE1CB8" w:rsidRDefault="00EE1CB8" w:rsidP="00EE1CB8">
      <w:pPr>
        <w:rPr>
          <w:lang w:val="en"/>
        </w:rPr>
      </w:pPr>
    </w:p>
    <w:p w14:paraId="300C9E7A" w14:textId="77777777" w:rsidR="00EE1CB8" w:rsidRDefault="00EE1CB8" w:rsidP="00EE1CB8">
      <w:pPr>
        <w:rPr>
          <w:i/>
          <w:iCs/>
          <w:lang w:val="en"/>
        </w:rPr>
      </w:pPr>
      <w:r>
        <w:rPr>
          <w:i/>
          <w:iCs/>
          <w:lang w:val="en"/>
        </w:rPr>
        <w:t>Deposition and HYSPLIT Models</w:t>
      </w:r>
    </w:p>
    <w:p w14:paraId="6F286AC9" w14:textId="77777777" w:rsidR="00EE1CB8" w:rsidRPr="00A91EEC" w:rsidRDefault="00EE1CB8" w:rsidP="00EE1CB8">
      <w:pPr>
        <w:rPr>
          <w:lang w:val="en"/>
        </w:rPr>
      </w:pPr>
      <w:r>
        <w:rPr>
          <w:lang w:val="en"/>
        </w:rPr>
        <w:t xml:space="preserve">Although no </w:t>
      </w:r>
      <w:r>
        <w:rPr>
          <w:i/>
          <w:iCs/>
          <w:lang w:val="en"/>
        </w:rPr>
        <w:t>in-situ</w:t>
      </w:r>
      <w:r>
        <w:rPr>
          <w:lang w:val="en"/>
        </w:rPr>
        <w:t xml:space="preserve"> measurements of a wildfire tracer (e.g. dissolved black carbon, iron, </w:t>
      </w:r>
      <w:proofErr w:type="spellStart"/>
      <w:r>
        <w:rPr>
          <w:lang w:val="en"/>
        </w:rPr>
        <w:t>etc</w:t>
      </w:r>
      <w:proofErr w:type="spellEnd"/>
      <w:r>
        <w:rPr>
          <w:lang w:val="en"/>
        </w:rPr>
        <w:t>) were measured during fall 2020, deposition and aerosol back-tracking models can be used to determine whether wildfire aerosols would have been present at the ocean surface of the SCMW. We used NOAA’s HYSPLIT model to produce daily back trajectories for the SCMW during the fire period. We also ran forward trajectories on the source wildfires to confirm the altitude and fate of fire aerosols.</w:t>
      </w:r>
    </w:p>
    <w:p w14:paraId="7C959142" w14:textId="77777777" w:rsidR="00EE1CB8" w:rsidRDefault="00EE1CB8" w:rsidP="00EE1CB8">
      <w:pPr>
        <w:rPr>
          <w:lang w:val="en"/>
        </w:rPr>
      </w:pPr>
    </w:p>
    <w:p w14:paraId="10F29514" w14:textId="77777777" w:rsidR="00EE1CB8" w:rsidRPr="006A2AE1" w:rsidRDefault="00EE1CB8" w:rsidP="00EE1CB8">
      <w:pPr>
        <w:rPr>
          <w:lang w:val="en"/>
        </w:rPr>
      </w:pPr>
    </w:p>
    <w:p w14:paraId="454DDCBC" w14:textId="77777777" w:rsidR="00EE1CB8" w:rsidRDefault="00EE1CB8" w:rsidP="00EE1CB8">
      <w:pPr>
        <w:pStyle w:val="Heading1"/>
      </w:pPr>
      <w:r w:rsidRPr="00FE52E9">
        <w:t>Results</w:t>
      </w:r>
    </w:p>
    <w:p w14:paraId="5719E22D" w14:textId="77777777" w:rsidR="00EE1CB8" w:rsidRDefault="00EE1CB8" w:rsidP="00EE1CB8">
      <w:pPr>
        <w:rPr>
          <w:i/>
          <w:iCs/>
        </w:rPr>
      </w:pPr>
      <w:r>
        <w:rPr>
          <w:i/>
          <w:iCs/>
        </w:rPr>
        <w:t>Wildfire Aerosols over the Monterey Bay</w:t>
      </w:r>
    </w:p>
    <w:p w14:paraId="1706B5F0" w14:textId="77777777" w:rsidR="00EE1CB8" w:rsidRDefault="00EE1CB8" w:rsidP="00EE1CB8">
      <w:r>
        <w:t xml:space="preserve">We characterized </w:t>
      </w:r>
      <w:proofErr w:type="spellStart"/>
      <w:r>
        <w:t>climatologies</w:t>
      </w:r>
      <w:proofErr w:type="spellEnd"/>
      <w:r>
        <w:t xml:space="preserve"> for wildfire aerosols using </w:t>
      </w:r>
      <w:proofErr w:type="spellStart"/>
      <w:r>
        <w:t>Aeronet</w:t>
      </w:r>
      <w:proofErr w:type="spellEnd"/>
      <w:r>
        <w:t xml:space="preserve"> AOD, MERRA-2 black carbon surface mass, and PM 2.5. We found that wildfires during the period of available data resulted in orders of magnitude increase in aerosol measurements when compared to the historical averages (). Although other factors such as anthropogenic emissions can influence wildfire aerosol metrics used here, we find that the anomalies observed during the fire are large enough to yield fluctuations related to these signals insignificant.</w:t>
      </w:r>
    </w:p>
    <w:p w14:paraId="777E66A4" w14:textId="77777777" w:rsidR="00EE1CB8" w:rsidRDefault="00EE1CB8" w:rsidP="00EE1CB8">
      <w:pPr>
        <w:keepNext/>
      </w:pPr>
      <w:r w:rsidRPr="00E52C43">
        <w:lastRenderedPageBreak/>
        <w:drawing>
          <wp:inline distT="0" distB="0" distL="0" distR="0" wp14:anchorId="2FFA6397" wp14:editId="07A4C61A">
            <wp:extent cx="5943600" cy="2228850"/>
            <wp:effectExtent l="0" t="0" r="0" b="0"/>
            <wp:docPr id="3" name="Picture 2" descr="A graph of a graph&#10;&#10;Description automatically generated with medium confidence">
              <a:extLst xmlns:a="http://schemas.openxmlformats.org/drawingml/2006/main">
                <a:ext uri="{FF2B5EF4-FFF2-40B4-BE49-F238E27FC236}">
                  <a16:creationId xmlns:a16="http://schemas.microsoft.com/office/drawing/2014/main" id="{330F58D8-DD2C-73BC-0DA7-DE8237F791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graph&#10;&#10;Description automatically generated with medium confidence">
                      <a:extLst>
                        <a:ext uri="{FF2B5EF4-FFF2-40B4-BE49-F238E27FC236}">
                          <a16:creationId xmlns:a16="http://schemas.microsoft.com/office/drawing/2014/main" id="{330F58D8-DD2C-73BC-0DA7-DE8237F7914B}"/>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228850"/>
                    </a:xfrm>
                    <a:prstGeom prst="rect">
                      <a:avLst/>
                    </a:prstGeom>
                  </pic:spPr>
                </pic:pic>
              </a:graphicData>
            </a:graphic>
          </wp:inline>
        </w:drawing>
      </w:r>
    </w:p>
    <w:p w14:paraId="47349318" w14:textId="77777777" w:rsidR="00EE1CB8" w:rsidRPr="004A22CA" w:rsidRDefault="00EE1CB8" w:rsidP="00EE1CB8">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Climatology and selected fire years for Monterey Bay aerosol </w:t>
      </w:r>
      <w:proofErr w:type="spellStart"/>
      <w:proofErr w:type="gramStart"/>
      <w:r>
        <w:t>data.The</w:t>
      </w:r>
      <w:proofErr w:type="spellEnd"/>
      <w:proofErr w:type="gramEnd"/>
      <w:r>
        <w:t xml:space="preserve"> left axis displays the climatological average range for AOD and the right axis is scaled for the years where large wildfires were observed.</w:t>
      </w:r>
    </w:p>
    <w:p w14:paraId="46FBE0C0" w14:textId="77777777" w:rsidR="00EE1CB8" w:rsidRDefault="00EE1CB8" w:rsidP="00EE1CB8">
      <w:pPr>
        <w:ind w:firstLine="720"/>
      </w:pPr>
      <w:r>
        <w:t>Between August 2020 and October 2020 two of the largest wildfires in California state history produced thick smoke plumes above the Monterey Bay. The first fire occurred in the Santa Cruz Mountains (</w:t>
      </w:r>
      <w:proofErr w:type="spellStart"/>
      <w:r>
        <w:t>lat</w:t>
      </w:r>
      <w:proofErr w:type="spellEnd"/>
      <w:r>
        <w:t xml:space="preserve">, </w:t>
      </w:r>
      <w:proofErr w:type="spellStart"/>
      <w:r>
        <w:t>lon</w:t>
      </w:r>
      <w:proofErr w:type="spellEnd"/>
      <w:r>
        <w:t xml:space="preserve">) only xx km away from the SCMW. The second set of fires were much larger in </w:t>
      </w:r>
      <w:proofErr w:type="gramStart"/>
      <w:r>
        <w:t>extent, but</w:t>
      </w:r>
      <w:proofErr w:type="gramEnd"/>
      <w:r>
        <w:t xml:space="preserve"> occurred much further away: approximately </w:t>
      </w:r>
      <w:proofErr w:type="spellStart"/>
      <w:r>
        <w:t>xxkm</w:t>
      </w:r>
      <w:proofErr w:type="spellEnd"/>
      <w:r>
        <w:t xml:space="preserve"> from SCMW. In both cases a large anomaly was observed in measurements of wildfire aerosols including the Monterey </w:t>
      </w:r>
      <w:proofErr w:type="spellStart"/>
      <w:r>
        <w:t>Aeronet</w:t>
      </w:r>
      <w:proofErr w:type="spellEnd"/>
      <w:r>
        <w:t xml:space="preserve"> station’s aerosol optical depth, MERRA-2 black carbon surface mass concentration. Similarity between the signals produced between selected data streams for wildfire reinforce the strength of the magnitude of the observed fire event.</w:t>
      </w:r>
    </w:p>
    <w:p w14:paraId="47EA0835" w14:textId="77777777" w:rsidR="00EE1CB8" w:rsidRPr="00974C5C" w:rsidRDefault="00EE1CB8" w:rsidP="00EE1CB8">
      <w:pPr>
        <w:ind w:firstLine="720"/>
      </w:pPr>
      <w:r>
        <w:t>However, our analysis of smoke plume transport and the locally monitored PM 2.5 data displayed divergence with AOD and BCMASS where the first, local fire produced significantly more detectable particles at the ground level. This finding illustrates the importance of maintaining multiple independent and synergistic proxies for wildfire in the atmosphere when attempting to relate it to other ground-based Eulerian observations.</w:t>
      </w:r>
    </w:p>
    <w:p w14:paraId="7849A6A7" w14:textId="77777777" w:rsidR="00EE1CB8" w:rsidRDefault="00EE1CB8" w:rsidP="00EE1CB8">
      <w:pPr>
        <w:rPr>
          <w:i/>
          <w:iCs/>
        </w:rPr>
      </w:pPr>
      <w:r>
        <w:rPr>
          <w:i/>
          <w:iCs/>
        </w:rPr>
        <w:t>Regional Response of Chlorophyll-a</w:t>
      </w:r>
    </w:p>
    <w:p w14:paraId="3C8B46DC" w14:textId="77777777" w:rsidR="00EE1CB8" w:rsidRDefault="00EE1CB8" w:rsidP="00EE1CB8">
      <w:r>
        <w:tab/>
        <w:t xml:space="preserve">Satellite chlorophyll-a </w:t>
      </w:r>
    </w:p>
    <w:p w14:paraId="462A38DE" w14:textId="77777777" w:rsidR="00EE1CB8" w:rsidRDefault="00EE1CB8" w:rsidP="00EE1CB8">
      <w:pPr>
        <w:rPr>
          <w:i/>
          <w:iCs/>
        </w:rPr>
      </w:pPr>
      <w:r>
        <w:rPr>
          <w:i/>
          <w:iCs/>
        </w:rPr>
        <w:t>An Anomalous Community Composition</w:t>
      </w:r>
    </w:p>
    <w:p w14:paraId="5CD47969" w14:textId="77777777" w:rsidR="00EE1CB8" w:rsidRDefault="00EE1CB8" w:rsidP="00EE1CB8">
      <w:r w:rsidRPr="00E52C43">
        <w:lastRenderedPageBreak/>
        <w:drawing>
          <wp:inline distT="0" distB="0" distL="0" distR="0" wp14:anchorId="1A54DF33" wp14:editId="45035D7A">
            <wp:extent cx="5943600" cy="3304540"/>
            <wp:effectExtent l="0" t="0" r="0" b="0"/>
            <wp:docPr id="8" name="Picture 7" descr="A graph of a graph of different colors&#10;&#10;Description automatically generated with medium confidence">
              <a:extLst xmlns:a="http://schemas.openxmlformats.org/drawingml/2006/main">
                <a:ext uri="{FF2B5EF4-FFF2-40B4-BE49-F238E27FC236}">
                  <a16:creationId xmlns:a16="http://schemas.microsoft.com/office/drawing/2014/main" id="{7BB75F31-443A-1A6E-BCEA-9368D61FFE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graph of different colors&#10;&#10;Description automatically generated with medium confidence">
                      <a:extLst>
                        <a:ext uri="{FF2B5EF4-FFF2-40B4-BE49-F238E27FC236}">
                          <a16:creationId xmlns:a16="http://schemas.microsoft.com/office/drawing/2014/main" id="{7BB75F31-443A-1A6E-BCEA-9368D61FFE06}"/>
                        </a:ext>
                      </a:extLst>
                    </pic:cNvPr>
                    <pic:cNvPicPr>
                      <a:picLocks noChangeAspect="1"/>
                    </pic:cNvPicPr>
                  </pic:nvPicPr>
                  <pic:blipFill rotWithShape="1">
                    <a:blip r:embed="rId18" cstate="print">
                      <a:extLst>
                        <a:ext uri="{28A0092B-C50C-407E-A947-70E740481C1C}">
                          <a14:useLocalDpi xmlns:a14="http://schemas.microsoft.com/office/drawing/2010/main" val="0"/>
                        </a:ext>
                      </a:extLst>
                    </a:blip>
                    <a:srcRect l="6613" t="3968" r="5386"/>
                    <a:stretch/>
                  </pic:blipFill>
                  <pic:spPr>
                    <a:xfrm>
                      <a:off x="0" y="0"/>
                      <a:ext cx="5943600" cy="3304540"/>
                    </a:xfrm>
                    <a:prstGeom prst="rect">
                      <a:avLst/>
                    </a:prstGeom>
                  </pic:spPr>
                </pic:pic>
              </a:graphicData>
            </a:graphic>
          </wp:inline>
        </w:drawing>
      </w:r>
    </w:p>
    <w:p w14:paraId="5E428609" w14:textId="77777777" w:rsidR="00EE1CB8" w:rsidRPr="00E52C43" w:rsidRDefault="00EE1CB8" w:rsidP="00EE1CB8">
      <w:r w:rsidRPr="00E52C43">
        <w:drawing>
          <wp:inline distT="0" distB="0" distL="0" distR="0" wp14:anchorId="2D25E2C5" wp14:editId="2179640E">
            <wp:extent cx="3755220" cy="2386330"/>
            <wp:effectExtent l="0" t="0" r="0" b="0"/>
            <wp:docPr id="30" name="Picture 29" descr="A graph of a normal distribution&#10;&#10;Description automatically generated">
              <a:extLst xmlns:a="http://schemas.openxmlformats.org/drawingml/2006/main">
                <a:ext uri="{FF2B5EF4-FFF2-40B4-BE49-F238E27FC236}">
                  <a16:creationId xmlns:a16="http://schemas.microsoft.com/office/drawing/2014/main" id="{7DE602B5-F592-8B82-FB1A-E9D5585D7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graph of a normal distribution&#10;&#10;Description automatically generated">
                      <a:extLst>
                        <a:ext uri="{FF2B5EF4-FFF2-40B4-BE49-F238E27FC236}">
                          <a16:creationId xmlns:a16="http://schemas.microsoft.com/office/drawing/2014/main" id="{7DE602B5-F592-8B82-FB1A-E9D5585D7520}"/>
                        </a:ext>
                      </a:extLst>
                    </pic:cNvPr>
                    <pic:cNvPicPr>
                      <a:picLocks noChangeAspect="1"/>
                    </pic:cNvPicPr>
                  </pic:nvPicPr>
                  <pic:blipFill rotWithShape="1">
                    <a:blip r:embed="rId19">
                      <a:extLst>
                        <a:ext uri="{28A0092B-C50C-407E-A947-70E740481C1C}">
                          <a14:useLocalDpi xmlns:a14="http://schemas.microsoft.com/office/drawing/2010/main" val="0"/>
                        </a:ext>
                      </a:extLst>
                    </a:blip>
                    <a:srcRect l="18210" r="4138" b="1791"/>
                    <a:stretch/>
                  </pic:blipFill>
                  <pic:spPr>
                    <a:xfrm>
                      <a:off x="0" y="0"/>
                      <a:ext cx="3761762" cy="2390487"/>
                    </a:xfrm>
                    <a:prstGeom prst="rect">
                      <a:avLst/>
                    </a:prstGeom>
                  </pic:spPr>
                </pic:pic>
              </a:graphicData>
            </a:graphic>
          </wp:inline>
        </w:drawing>
      </w:r>
    </w:p>
    <w:p w14:paraId="391CFFC1" w14:textId="77777777" w:rsidR="00EE1CB8" w:rsidRDefault="00EE1CB8" w:rsidP="00EE1CB8">
      <w:pPr>
        <w:rPr>
          <w:i/>
          <w:iCs/>
        </w:rPr>
      </w:pPr>
      <w:r>
        <w:rPr>
          <w:i/>
          <w:iCs/>
        </w:rPr>
        <w:t>Bloom of Particular Phytoplankton Groups</w:t>
      </w:r>
    </w:p>
    <w:p w14:paraId="288C6BF4" w14:textId="77777777" w:rsidR="00EE1CB8" w:rsidRDefault="00EE1CB8" w:rsidP="00EE1CB8">
      <w:r w:rsidRPr="00FE52E9">
        <w:lastRenderedPageBreak/>
        <w:drawing>
          <wp:inline distT="0" distB="0" distL="0" distR="0" wp14:anchorId="49002150" wp14:editId="250AC4B1">
            <wp:extent cx="5943600" cy="4272280"/>
            <wp:effectExtent l="0" t="0" r="0" b="0"/>
            <wp:docPr id="1074" name="Picture 1073" descr="A blue and yellow striped background&#10;&#10;Description automatically generated">
              <a:extLst xmlns:a="http://schemas.openxmlformats.org/drawingml/2006/main">
                <a:ext uri="{FF2B5EF4-FFF2-40B4-BE49-F238E27FC236}">
                  <a16:creationId xmlns:a16="http://schemas.microsoft.com/office/drawing/2014/main" id="{2B9E9711-D099-FBF9-C269-43256FDA8C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Picture 1073" descr="A blue and yellow striped background&#10;&#10;Description automatically generated">
                      <a:extLst>
                        <a:ext uri="{FF2B5EF4-FFF2-40B4-BE49-F238E27FC236}">
                          <a16:creationId xmlns:a16="http://schemas.microsoft.com/office/drawing/2014/main" id="{2B9E9711-D099-FBF9-C269-43256FDA8C5C}"/>
                        </a:ext>
                      </a:extLst>
                    </pic:cNvPr>
                    <pic:cNvPicPr>
                      <a:picLocks noChangeAspect="1"/>
                    </pic:cNvPicPr>
                  </pic:nvPicPr>
                  <pic:blipFill rotWithShape="1">
                    <a:blip r:embed="rId20" cstate="print">
                      <a:extLst>
                        <a:ext uri="{28A0092B-C50C-407E-A947-70E740481C1C}">
                          <a14:useLocalDpi xmlns:a14="http://schemas.microsoft.com/office/drawing/2010/main" val="0"/>
                        </a:ext>
                      </a:extLst>
                    </a:blip>
                    <a:srcRect l="4119" t="4604" r="6849" b="5849"/>
                    <a:stretch/>
                  </pic:blipFill>
                  <pic:spPr>
                    <a:xfrm>
                      <a:off x="0" y="0"/>
                      <a:ext cx="5943600" cy="4272280"/>
                    </a:xfrm>
                    <a:prstGeom prst="rect">
                      <a:avLst/>
                    </a:prstGeom>
                  </pic:spPr>
                </pic:pic>
              </a:graphicData>
            </a:graphic>
          </wp:inline>
        </w:drawing>
      </w:r>
    </w:p>
    <w:p w14:paraId="2E162524" w14:textId="77777777" w:rsidR="00EE1CB8" w:rsidRPr="00987752" w:rsidRDefault="00EE1CB8" w:rsidP="00EE1CB8">
      <w:pPr>
        <w:pStyle w:val="Caption"/>
      </w:pPr>
      <w:bookmarkStart w:id="1" w:name="_Ref168738440"/>
      <w:r>
        <w:t xml:space="preserve">Figure </w:t>
      </w:r>
      <w:r>
        <w:fldChar w:fldCharType="begin"/>
      </w:r>
      <w:r>
        <w:instrText xml:space="preserve"> SEQ Figure \* ARABIC </w:instrText>
      </w:r>
      <w:r>
        <w:fldChar w:fldCharType="separate"/>
      </w:r>
      <w:r>
        <w:rPr>
          <w:noProof/>
        </w:rPr>
        <w:t>3</w:t>
      </w:r>
      <w:r>
        <w:fldChar w:fldCharType="end"/>
      </w:r>
      <w:bookmarkEnd w:id="1"/>
      <w:r>
        <w:t xml:space="preserve">. Heatmap of cross-correlation coefficients between IFCB phytoplankton classes and ground-based PM 2.5 observations at different lags following the start of the wildfire aerosol anomaly. </w:t>
      </w:r>
    </w:p>
    <w:p w14:paraId="229BA415" w14:textId="77777777" w:rsidR="00EE1CB8" w:rsidRDefault="00EE1CB8" w:rsidP="00EE1CB8">
      <w:r>
        <w:tab/>
        <w:t>Correlations between wildfire aerosols and phytoplankton taxa revealed 6 diatom groups with strong (C &gt;0.6), positive relationships to the fires (</w:t>
      </w:r>
      <w:r>
        <w:fldChar w:fldCharType="begin"/>
      </w:r>
      <w:r>
        <w:instrText xml:space="preserve"> REF _Ref168738440 \h </w:instrText>
      </w:r>
      <w:r>
        <w:fldChar w:fldCharType="separate"/>
      </w:r>
      <w:r>
        <w:t xml:space="preserve">Figure </w:t>
      </w:r>
      <w:r>
        <w:rPr>
          <w:noProof/>
        </w:rPr>
        <w:t>2</w:t>
      </w:r>
      <w:r>
        <w:fldChar w:fldCharType="end"/>
      </w:r>
      <w:r>
        <w:t xml:space="preserve">). </w:t>
      </w:r>
    </w:p>
    <w:p w14:paraId="47F2707A" w14:textId="77777777" w:rsidR="00EE1CB8" w:rsidRPr="005715BD" w:rsidRDefault="00EE1CB8" w:rsidP="00EE1CB8"/>
    <w:p w14:paraId="3AD1D0A9" w14:textId="77777777" w:rsidR="00EE1CB8" w:rsidRDefault="00EE1CB8" w:rsidP="00EE1CB8">
      <w:pPr>
        <w:pStyle w:val="Heading1"/>
      </w:pPr>
      <w:r w:rsidRPr="00FE52E9">
        <w:t>Discussion</w:t>
      </w:r>
    </w:p>
    <w:p w14:paraId="1E3EC328" w14:textId="77777777" w:rsidR="00EE1CB8" w:rsidRDefault="00EE1CB8" w:rsidP="00EE1CB8"/>
    <w:p w14:paraId="68D18E40" w14:textId="77777777" w:rsidR="00EE1CB8" w:rsidRPr="00243E84" w:rsidRDefault="00EE1CB8" w:rsidP="00EE1CB8"/>
    <w:p w14:paraId="4A4B1A58" w14:textId="77777777" w:rsidR="00EE1CB8" w:rsidRPr="00FE52E9" w:rsidRDefault="00EE1CB8" w:rsidP="00EE1CB8">
      <w:pPr>
        <w:pStyle w:val="Heading1"/>
      </w:pPr>
      <w:r w:rsidRPr="00FE52E9">
        <w:lastRenderedPageBreak/>
        <w:t xml:space="preserve">References </w:t>
      </w:r>
    </w:p>
    <w:p w14:paraId="3E3E8DCA" w14:textId="77777777" w:rsidR="00EE1CB8" w:rsidRDefault="00EE1CB8" w:rsidP="00EE1CB8">
      <w:pPr>
        <w:pStyle w:val="Heading1"/>
      </w:pPr>
      <w:r w:rsidRPr="00FE52E9">
        <w:t>Supplementary</w:t>
      </w:r>
    </w:p>
    <w:p w14:paraId="00D266D6" w14:textId="77777777" w:rsidR="00EE1CB8" w:rsidRDefault="00EE1CB8" w:rsidP="00EE1CB8"/>
    <w:p w14:paraId="22BFDB2A" w14:textId="77777777" w:rsidR="00EE1CB8" w:rsidRDefault="00EE1CB8" w:rsidP="00EE1CB8"/>
    <w:tbl>
      <w:tblPr>
        <w:tblW w:w="0" w:type="auto"/>
        <w:tblLook w:val="04A0" w:firstRow="1" w:lastRow="0" w:firstColumn="1" w:lastColumn="0" w:noHBand="0" w:noVBand="1"/>
      </w:tblPr>
      <w:tblGrid>
        <w:gridCol w:w="1127"/>
        <w:gridCol w:w="1194"/>
        <w:gridCol w:w="1274"/>
        <w:gridCol w:w="1290"/>
        <w:gridCol w:w="1060"/>
        <w:gridCol w:w="1050"/>
        <w:gridCol w:w="1050"/>
        <w:gridCol w:w="1305"/>
      </w:tblGrid>
      <w:tr w:rsidR="00EE1CB8" w:rsidRPr="00F21896" w14:paraId="2573D42A" w14:textId="77777777" w:rsidTr="00EE3AB3">
        <w:trPr>
          <w:trHeight w:val="264"/>
        </w:trPr>
        <w:tc>
          <w:tcPr>
            <w:tcW w:w="0" w:type="auto"/>
            <w:tcBorders>
              <w:top w:val="single" w:sz="4" w:space="0" w:color="000000"/>
              <w:left w:val="single" w:sz="4" w:space="0" w:color="000000"/>
              <w:bottom w:val="single" w:sz="4" w:space="0" w:color="000000"/>
              <w:right w:val="nil"/>
            </w:tcBorders>
            <w:shd w:val="clear" w:color="EFEFEF" w:fill="EFEFEF"/>
            <w:hideMark/>
          </w:tcPr>
          <w:p w14:paraId="35478F4F" w14:textId="77777777" w:rsidR="00EE1CB8" w:rsidRPr="00F21896" w:rsidRDefault="00EE1CB8" w:rsidP="00EE3AB3">
            <w:pPr>
              <w:spacing w:line="240" w:lineRule="auto"/>
              <w:rPr>
                <w:rFonts w:eastAsia="Times New Roman"/>
                <w:b/>
                <w:bCs/>
                <w:color w:val="000000"/>
                <w:sz w:val="18"/>
                <w:szCs w:val="18"/>
              </w:rPr>
            </w:pPr>
            <w:proofErr w:type="spellStart"/>
            <w:r w:rsidRPr="00F21896">
              <w:rPr>
                <w:rFonts w:eastAsia="Times New Roman"/>
                <w:b/>
                <w:bCs/>
                <w:color w:val="000000"/>
                <w:sz w:val="18"/>
                <w:szCs w:val="18"/>
              </w:rPr>
              <w:t>Datastream</w:t>
            </w:r>
            <w:proofErr w:type="spellEnd"/>
          </w:p>
        </w:tc>
        <w:tc>
          <w:tcPr>
            <w:tcW w:w="1416" w:type="dxa"/>
            <w:tcBorders>
              <w:top w:val="single" w:sz="4" w:space="0" w:color="000000"/>
              <w:left w:val="nil"/>
              <w:bottom w:val="single" w:sz="4" w:space="0" w:color="000000"/>
              <w:right w:val="nil"/>
            </w:tcBorders>
            <w:shd w:val="clear" w:color="EFEFEF" w:fill="EFEFEF"/>
            <w:hideMark/>
          </w:tcPr>
          <w:p w14:paraId="15519FC2"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Organization</w:t>
            </w:r>
          </w:p>
        </w:tc>
        <w:tc>
          <w:tcPr>
            <w:tcW w:w="1480" w:type="dxa"/>
            <w:tcBorders>
              <w:top w:val="single" w:sz="4" w:space="0" w:color="000000"/>
              <w:left w:val="nil"/>
              <w:bottom w:val="single" w:sz="4" w:space="0" w:color="000000"/>
              <w:right w:val="nil"/>
            </w:tcBorders>
            <w:shd w:val="clear" w:color="EFEFEF" w:fill="EFEFEF"/>
            <w:hideMark/>
          </w:tcPr>
          <w:p w14:paraId="776A8D55"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Data Type</w:t>
            </w:r>
          </w:p>
        </w:tc>
        <w:tc>
          <w:tcPr>
            <w:tcW w:w="2736" w:type="dxa"/>
            <w:tcBorders>
              <w:top w:val="single" w:sz="4" w:space="0" w:color="000000"/>
              <w:left w:val="nil"/>
              <w:bottom w:val="single" w:sz="4" w:space="0" w:color="000000"/>
              <w:right w:val="nil"/>
            </w:tcBorders>
            <w:shd w:val="clear" w:color="EFEFEF" w:fill="EFEFEF"/>
            <w:hideMark/>
          </w:tcPr>
          <w:p w14:paraId="4DBCF2BF"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Locations</w:t>
            </w:r>
          </w:p>
        </w:tc>
        <w:tc>
          <w:tcPr>
            <w:tcW w:w="1446" w:type="dxa"/>
            <w:tcBorders>
              <w:top w:val="single" w:sz="4" w:space="0" w:color="000000"/>
              <w:left w:val="nil"/>
              <w:bottom w:val="single" w:sz="4" w:space="0" w:color="000000"/>
              <w:right w:val="nil"/>
            </w:tcBorders>
            <w:shd w:val="clear" w:color="EFEFEF" w:fill="EFEFEF"/>
            <w:hideMark/>
          </w:tcPr>
          <w:p w14:paraId="64B96B2B"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Data availability</w:t>
            </w:r>
          </w:p>
        </w:tc>
        <w:tc>
          <w:tcPr>
            <w:tcW w:w="1212" w:type="dxa"/>
            <w:tcBorders>
              <w:top w:val="single" w:sz="4" w:space="0" w:color="000000"/>
              <w:left w:val="nil"/>
              <w:bottom w:val="single" w:sz="4" w:space="0" w:color="000000"/>
              <w:right w:val="nil"/>
            </w:tcBorders>
            <w:shd w:val="clear" w:color="EFEFEF" w:fill="EFEFEF"/>
            <w:hideMark/>
          </w:tcPr>
          <w:p w14:paraId="38512C09"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Temporal Resolution</w:t>
            </w:r>
          </w:p>
        </w:tc>
        <w:tc>
          <w:tcPr>
            <w:tcW w:w="1212" w:type="dxa"/>
            <w:tcBorders>
              <w:top w:val="single" w:sz="4" w:space="0" w:color="000000"/>
              <w:left w:val="nil"/>
              <w:bottom w:val="single" w:sz="4" w:space="0" w:color="000000"/>
              <w:right w:val="nil"/>
            </w:tcBorders>
            <w:shd w:val="clear" w:color="EFEFEF" w:fill="EFEFEF"/>
            <w:hideMark/>
          </w:tcPr>
          <w:p w14:paraId="1D131FD3"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Spatial Resolution</w:t>
            </w:r>
          </w:p>
        </w:tc>
        <w:tc>
          <w:tcPr>
            <w:tcW w:w="3595" w:type="dxa"/>
            <w:tcBorders>
              <w:top w:val="single" w:sz="4" w:space="0" w:color="000000"/>
              <w:left w:val="nil"/>
              <w:bottom w:val="single" w:sz="4" w:space="0" w:color="000000"/>
              <w:right w:val="single" w:sz="4" w:space="0" w:color="000000"/>
            </w:tcBorders>
            <w:shd w:val="clear" w:color="EFEFEF" w:fill="EFEFEF"/>
            <w:hideMark/>
          </w:tcPr>
          <w:p w14:paraId="01B8B13B"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Variables</w:t>
            </w:r>
          </w:p>
        </w:tc>
      </w:tr>
      <w:tr w:rsidR="00EE1CB8" w:rsidRPr="00F21896" w14:paraId="59828911" w14:textId="77777777" w:rsidTr="00EE3AB3">
        <w:trPr>
          <w:trHeight w:val="1530"/>
        </w:trPr>
        <w:tc>
          <w:tcPr>
            <w:tcW w:w="0" w:type="auto"/>
            <w:tcBorders>
              <w:top w:val="single" w:sz="4" w:space="0" w:color="000000"/>
              <w:left w:val="single" w:sz="4" w:space="0" w:color="000000"/>
              <w:bottom w:val="single" w:sz="4" w:space="0" w:color="000000"/>
              <w:right w:val="nil"/>
            </w:tcBorders>
            <w:shd w:val="clear" w:color="D9D9D9" w:fill="D9D9D9"/>
            <w:hideMark/>
          </w:tcPr>
          <w:p w14:paraId="679F1DC8"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Shore Stations</w:t>
            </w:r>
          </w:p>
        </w:tc>
        <w:tc>
          <w:tcPr>
            <w:tcW w:w="1416" w:type="dxa"/>
            <w:tcBorders>
              <w:top w:val="single" w:sz="4" w:space="0" w:color="000000"/>
              <w:left w:val="nil"/>
              <w:bottom w:val="single" w:sz="4" w:space="0" w:color="000000"/>
              <w:right w:val="nil"/>
            </w:tcBorders>
            <w:shd w:val="clear" w:color="D9D9D9" w:fill="D9D9D9"/>
            <w:hideMark/>
          </w:tcPr>
          <w:p w14:paraId="5E468049" w14:textId="77777777" w:rsidR="00EE1CB8" w:rsidRPr="00F21896" w:rsidRDefault="00EE1CB8" w:rsidP="00EE3AB3">
            <w:pPr>
              <w:spacing w:line="240" w:lineRule="auto"/>
              <w:rPr>
                <w:rFonts w:eastAsia="Times New Roman"/>
                <w:color w:val="000000"/>
                <w:sz w:val="18"/>
                <w:szCs w:val="18"/>
              </w:rPr>
            </w:pPr>
            <w:proofErr w:type="spellStart"/>
            <w:r w:rsidRPr="00F21896">
              <w:rPr>
                <w:rFonts w:eastAsia="Times New Roman"/>
                <w:color w:val="000000"/>
                <w:sz w:val="18"/>
                <w:szCs w:val="18"/>
              </w:rPr>
              <w:t>CalOOS</w:t>
            </w:r>
            <w:proofErr w:type="spellEnd"/>
          </w:p>
        </w:tc>
        <w:tc>
          <w:tcPr>
            <w:tcW w:w="1480" w:type="dxa"/>
            <w:tcBorders>
              <w:top w:val="single" w:sz="4" w:space="0" w:color="000000"/>
              <w:left w:val="nil"/>
              <w:bottom w:val="single" w:sz="4" w:space="0" w:color="000000"/>
              <w:right w:val="nil"/>
            </w:tcBorders>
            <w:shd w:val="clear" w:color="D9D9D9" w:fill="D9D9D9"/>
            <w:hideMark/>
          </w:tcPr>
          <w:p w14:paraId="51B4494F"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Eulerian environmental sensors</w:t>
            </w:r>
          </w:p>
        </w:tc>
        <w:tc>
          <w:tcPr>
            <w:tcW w:w="2736" w:type="dxa"/>
            <w:tcBorders>
              <w:top w:val="single" w:sz="4" w:space="0" w:color="000000"/>
              <w:left w:val="nil"/>
              <w:bottom w:val="single" w:sz="4" w:space="0" w:color="000000"/>
              <w:right w:val="nil"/>
            </w:tcBorders>
            <w:shd w:val="clear" w:color="D9D9D9" w:fill="D9D9D9"/>
            <w:hideMark/>
          </w:tcPr>
          <w:p w14:paraId="0C6D3EE8"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 xml:space="preserve">Scripps Pier, Santa Monica Pier, Stearns Wharf, Newport Beach, Moss Landing, Morro Bay, Humboldt, Trinidad, </w:t>
            </w:r>
            <w:proofErr w:type="spellStart"/>
            <w:r w:rsidRPr="00F21896">
              <w:rPr>
                <w:rFonts w:eastAsia="Times New Roman"/>
                <w:color w:val="000000"/>
                <w:sz w:val="18"/>
                <w:szCs w:val="18"/>
              </w:rPr>
              <w:t>Bodgea</w:t>
            </w:r>
            <w:proofErr w:type="spellEnd"/>
            <w:r w:rsidRPr="00F21896">
              <w:rPr>
                <w:rFonts w:eastAsia="Times New Roman"/>
                <w:color w:val="000000"/>
                <w:sz w:val="18"/>
                <w:szCs w:val="18"/>
              </w:rPr>
              <w:t xml:space="preserve">, Hog Island Oyster Co, Fort Point, </w:t>
            </w:r>
            <w:proofErr w:type="spellStart"/>
            <w:r w:rsidRPr="00F21896">
              <w:rPr>
                <w:rFonts w:eastAsia="Times New Roman"/>
                <w:color w:val="000000"/>
                <w:sz w:val="18"/>
                <w:szCs w:val="18"/>
              </w:rPr>
              <w:t>Carquinez</w:t>
            </w:r>
            <w:proofErr w:type="spellEnd"/>
            <w:r w:rsidRPr="00F21896">
              <w:rPr>
                <w:rFonts w:eastAsia="Times New Roman"/>
                <w:color w:val="000000"/>
                <w:sz w:val="18"/>
                <w:szCs w:val="18"/>
              </w:rPr>
              <w:t>, Exploratorium, SLO</w:t>
            </w:r>
          </w:p>
        </w:tc>
        <w:tc>
          <w:tcPr>
            <w:tcW w:w="1446" w:type="dxa"/>
            <w:tcBorders>
              <w:top w:val="single" w:sz="4" w:space="0" w:color="000000"/>
              <w:left w:val="nil"/>
              <w:bottom w:val="single" w:sz="4" w:space="0" w:color="000000"/>
              <w:right w:val="nil"/>
            </w:tcBorders>
            <w:shd w:val="clear" w:color="D9D9D9" w:fill="D9D9D9"/>
            <w:hideMark/>
          </w:tcPr>
          <w:p w14:paraId="561310A3"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2005-present, 2008-present, 2013-present, 2015-present, 2018-present</w:t>
            </w:r>
          </w:p>
        </w:tc>
        <w:tc>
          <w:tcPr>
            <w:tcW w:w="1212" w:type="dxa"/>
            <w:tcBorders>
              <w:top w:val="single" w:sz="4" w:space="0" w:color="000000"/>
              <w:left w:val="nil"/>
              <w:bottom w:val="single" w:sz="4" w:space="0" w:color="000000"/>
              <w:right w:val="nil"/>
            </w:tcBorders>
            <w:shd w:val="clear" w:color="D9D9D9" w:fill="D9D9D9"/>
            <w:hideMark/>
          </w:tcPr>
          <w:p w14:paraId="34722C8F"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continuous</w:t>
            </w:r>
          </w:p>
        </w:tc>
        <w:tc>
          <w:tcPr>
            <w:tcW w:w="1212" w:type="dxa"/>
            <w:tcBorders>
              <w:top w:val="single" w:sz="4" w:space="0" w:color="000000"/>
              <w:left w:val="nil"/>
              <w:bottom w:val="single" w:sz="4" w:space="0" w:color="000000"/>
              <w:right w:val="nil"/>
            </w:tcBorders>
            <w:shd w:val="clear" w:color="D9D9D9" w:fill="D9D9D9"/>
            <w:hideMark/>
          </w:tcPr>
          <w:p w14:paraId="1B2440A5"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Eulerian, California coastline</w:t>
            </w:r>
          </w:p>
        </w:tc>
        <w:tc>
          <w:tcPr>
            <w:tcW w:w="3595" w:type="dxa"/>
            <w:tcBorders>
              <w:top w:val="single" w:sz="4" w:space="0" w:color="000000"/>
              <w:left w:val="nil"/>
              <w:bottom w:val="single" w:sz="4" w:space="0" w:color="000000"/>
              <w:right w:val="single" w:sz="4" w:space="0" w:color="000000"/>
            </w:tcBorders>
            <w:shd w:val="clear" w:color="D9D9D9" w:fill="D9D9D9"/>
            <w:hideMark/>
          </w:tcPr>
          <w:p w14:paraId="58D0B37C"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CO2, chlorophyll-a, conductivity, fluorescence, nitrate, dissolved oxygen,</w:t>
            </w:r>
            <w:r w:rsidRPr="00F21896">
              <w:rPr>
                <w:rFonts w:eastAsia="Times New Roman"/>
                <w:color w:val="000000"/>
                <w:sz w:val="18"/>
                <w:szCs w:val="18"/>
              </w:rPr>
              <w:br/>
              <w:t xml:space="preserve"> oxygen saturation, pH, radiative flux: beam attenuation coefficient, salinity, temperature</w:t>
            </w:r>
            <w:r w:rsidRPr="00F21896">
              <w:rPr>
                <w:rFonts w:eastAsia="Times New Roman"/>
                <w:color w:val="000000"/>
                <w:sz w:val="18"/>
                <w:szCs w:val="18"/>
              </w:rPr>
              <w:br/>
              <w:t xml:space="preserve"> transmissivity, water level</w:t>
            </w:r>
          </w:p>
        </w:tc>
      </w:tr>
      <w:tr w:rsidR="00EE1CB8" w:rsidRPr="00F21896" w14:paraId="35B2E660" w14:textId="77777777" w:rsidTr="00EE3AB3">
        <w:trPr>
          <w:trHeight w:val="792"/>
        </w:trPr>
        <w:tc>
          <w:tcPr>
            <w:tcW w:w="0" w:type="auto"/>
            <w:tcBorders>
              <w:top w:val="single" w:sz="4" w:space="0" w:color="000000"/>
              <w:left w:val="single" w:sz="4" w:space="0" w:color="000000"/>
              <w:bottom w:val="single" w:sz="4" w:space="0" w:color="000000"/>
              <w:right w:val="nil"/>
            </w:tcBorders>
            <w:shd w:val="clear" w:color="D9D9D9" w:fill="D9D9D9"/>
            <w:hideMark/>
          </w:tcPr>
          <w:p w14:paraId="7FD13607"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Buoys</w:t>
            </w:r>
          </w:p>
        </w:tc>
        <w:tc>
          <w:tcPr>
            <w:tcW w:w="1416" w:type="dxa"/>
            <w:tcBorders>
              <w:top w:val="single" w:sz="4" w:space="0" w:color="000000"/>
              <w:left w:val="nil"/>
              <w:bottom w:val="single" w:sz="4" w:space="0" w:color="000000"/>
              <w:right w:val="nil"/>
            </w:tcBorders>
            <w:shd w:val="clear" w:color="auto" w:fill="D9D9D9" w:themeFill="background1" w:themeFillShade="D9"/>
            <w:hideMark/>
          </w:tcPr>
          <w:p w14:paraId="1812971E"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NDBC, BML</w:t>
            </w:r>
          </w:p>
        </w:tc>
        <w:tc>
          <w:tcPr>
            <w:tcW w:w="1480" w:type="dxa"/>
            <w:tcBorders>
              <w:top w:val="single" w:sz="4" w:space="0" w:color="000000"/>
              <w:left w:val="nil"/>
              <w:bottom w:val="single" w:sz="4" w:space="0" w:color="000000"/>
              <w:right w:val="nil"/>
            </w:tcBorders>
            <w:shd w:val="clear" w:color="auto" w:fill="D9D9D9" w:themeFill="background1" w:themeFillShade="D9"/>
            <w:vAlign w:val="bottom"/>
            <w:hideMark/>
          </w:tcPr>
          <w:p w14:paraId="1C3C1505" w14:textId="77777777" w:rsidR="00EE1CB8" w:rsidRPr="00F21896" w:rsidRDefault="00EE1CB8" w:rsidP="00EE3AB3">
            <w:pPr>
              <w:spacing w:line="240" w:lineRule="auto"/>
              <w:rPr>
                <w:rFonts w:eastAsia="Times New Roman"/>
                <w:color w:val="1F1F1F"/>
                <w:sz w:val="18"/>
                <w:szCs w:val="18"/>
              </w:rPr>
            </w:pPr>
            <w:r w:rsidRPr="00F21896">
              <w:rPr>
                <w:rFonts w:eastAsia="Times New Roman"/>
                <w:color w:val="1F1F1F"/>
                <w:sz w:val="18"/>
                <w:szCs w:val="18"/>
              </w:rPr>
              <w:t>Eulerian environmental sensors</w:t>
            </w:r>
          </w:p>
        </w:tc>
        <w:tc>
          <w:tcPr>
            <w:tcW w:w="2736" w:type="dxa"/>
            <w:tcBorders>
              <w:top w:val="single" w:sz="4" w:space="0" w:color="000000"/>
              <w:left w:val="nil"/>
              <w:bottom w:val="single" w:sz="4" w:space="0" w:color="000000"/>
              <w:right w:val="nil"/>
            </w:tcBorders>
            <w:shd w:val="clear" w:color="D9D9D9" w:fill="D9D9D9"/>
            <w:hideMark/>
          </w:tcPr>
          <w:p w14:paraId="47FF205B"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 xml:space="preserve">Bodega, </w:t>
            </w:r>
            <w:proofErr w:type="spellStart"/>
            <w:r w:rsidRPr="00F21896">
              <w:rPr>
                <w:rFonts w:eastAsia="Times New Roman"/>
                <w:color w:val="000000"/>
                <w:sz w:val="18"/>
                <w:szCs w:val="18"/>
              </w:rPr>
              <w:t>Tomales</w:t>
            </w:r>
            <w:proofErr w:type="spellEnd"/>
            <w:r w:rsidRPr="00F21896">
              <w:rPr>
                <w:rFonts w:eastAsia="Times New Roman"/>
                <w:color w:val="000000"/>
                <w:sz w:val="18"/>
                <w:szCs w:val="18"/>
              </w:rPr>
              <w:t xml:space="preserve"> Bay, coastally ubiquitous (NDBC)</w:t>
            </w:r>
          </w:p>
        </w:tc>
        <w:tc>
          <w:tcPr>
            <w:tcW w:w="1446" w:type="dxa"/>
            <w:tcBorders>
              <w:top w:val="single" w:sz="4" w:space="0" w:color="000000"/>
              <w:left w:val="nil"/>
              <w:bottom w:val="single" w:sz="4" w:space="0" w:color="000000"/>
              <w:right w:val="nil"/>
            </w:tcBorders>
            <w:shd w:val="clear" w:color="D9D9D9" w:fill="D9D9D9"/>
            <w:hideMark/>
          </w:tcPr>
          <w:p w14:paraId="21891E19"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2004-2018, 2013-present</w:t>
            </w:r>
          </w:p>
        </w:tc>
        <w:tc>
          <w:tcPr>
            <w:tcW w:w="1212" w:type="dxa"/>
            <w:tcBorders>
              <w:top w:val="single" w:sz="4" w:space="0" w:color="000000"/>
              <w:left w:val="nil"/>
              <w:bottom w:val="single" w:sz="4" w:space="0" w:color="000000"/>
              <w:right w:val="nil"/>
            </w:tcBorders>
            <w:shd w:val="clear" w:color="D9D9D9" w:fill="D9D9D9"/>
            <w:hideMark/>
          </w:tcPr>
          <w:p w14:paraId="24547329"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continuous</w:t>
            </w:r>
          </w:p>
        </w:tc>
        <w:tc>
          <w:tcPr>
            <w:tcW w:w="1212" w:type="dxa"/>
            <w:tcBorders>
              <w:top w:val="single" w:sz="4" w:space="0" w:color="000000"/>
              <w:left w:val="nil"/>
              <w:bottom w:val="single" w:sz="4" w:space="0" w:color="000000"/>
              <w:right w:val="nil"/>
            </w:tcBorders>
            <w:shd w:val="clear" w:color="D9D9D9" w:fill="D9D9D9"/>
            <w:hideMark/>
          </w:tcPr>
          <w:p w14:paraId="56D2A9B6"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fixed locations</w:t>
            </w:r>
          </w:p>
        </w:tc>
        <w:tc>
          <w:tcPr>
            <w:tcW w:w="3595" w:type="dxa"/>
            <w:tcBorders>
              <w:top w:val="single" w:sz="4" w:space="0" w:color="000000"/>
              <w:left w:val="nil"/>
              <w:bottom w:val="single" w:sz="4" w:space="0" w:color="000000"/>
              <w:right w:val="single" w:sz="4" w:space="0" w:color="000000"/>
            </w:tcBorders>
            <w:shd w:val="clear" w:color="D9D9D9" w:fill="D9D9D9"/>
            <w:hideMark/>
          </w:tcPr>
          <w:p w14:paraId="6AC57F56"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 xml:space="preserve">chlorophyll-a, conductivity, salinity, density, temperature, turbidity, wind speed </w:t>
            </w:r>
          </w:p>
        </w:tc>
      </w:tr>
      <w:tr w:rsidR="00EE1CB8" w:rsidRPr="00F21896" w14:paraId="55A534A9" w14:textId="77777777" w:rsidTr="00EE3AB3">
        <w:trPr>
          <w:trHeight w:val="792"/>
        </w:trPr>
        <w:tc>
          <w:tcPr>
            <w:tcW w:w="0" w:type="auto"/>
            <w:tcBorders>
              <w:top w:val="single" w:sz="4" w:space="0" w:color="000000"/>
              <w:left w:val="single" w:sz="4" w:space="0" w:color="000000"/>
              <w:bottom w:val="single" w:sz="4" w:space="0" w:color="000000"/>
              <w:right w:val="nil"/>
            </w:tcBorders>
            <w:shd w:val="clear" w:color="D9D9D9" w:fill="D9D9D9"/>
            <w:hideMark/>
          </w:tcPr>
          <w:p w14:paraId="2B3CCC84"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IFCB</w:t>
            </w:r>
          </w:p>
        </w:tc>
        <w:tc>
          <w:tcPr>
            <w:tcW w:w="1416" w:type="dxa"/>
            <w:tcBorders>
              <w:top w:val="single" w:sz="4" w:space="0" w:color="000000"/>
              <w:left w:val="nil"/>
              <w:bottom w:val="single" w:sz="4" w:space="0" w:color="000000"/>
              <w:right w:val="nil"/>
            </w:tcBorders>
            <w:shd w:val="clear" w:color="D9D9D9" w:fill="D9D9D9"/>
            <w:hideMark/>
          </w:tcPr>
          <w:p w14:paraId="567E9D0C" w14:textId="77777777" w:rsidR="00EE1CB8" w:rsidRPr="00F21896" w:rsidRDefault="00EE1CB8" w:rsidP="00EE3AB3">
            <w:pPr>
              <w:spacing w:line="240" w:lineRule="auto"/>
              <w:rPr>
                <w:rFonts w:eastAsia="Times New Roman"/>
                <w:color w:val="000000"/>
                <w:sz w:val="18"/>
                <w:szCs w:val="18"/>
              </w:rPr>
            </w:pPr>
            <w:proofErr w:type="spellStart"/>
            <w:r w:rsidRPr="00F21896">
              <w:rPr>
                <w:rFonts w:eastAsia="Times New Roman"/>
                <w:color w:val="000000"/>
                <w:sz w:val="18"/>
                <w:szCs w:val="18"/>
              </w:rPr>
              <w:t>CalOOS</w:t>
            </w:r>
            <w:proofErr w:type="spellEnd"/>
          </w:p>
        </w:tc>
        <w:tc>
          <w:tcPr>
            <w:tcW w:w="1480" w:type="dxa"/>
            <w:tcBorders>
              <w:top w:val="single" w:sz="4" w:space="0" w:color="000000"/>
              <w:left w:val="nil"/>
              <w:bottom w:val="single" w:sz="4" w:space="0" w:color="000000"/>
              <w:right w:val="nil"/>
            </w:tcBorders>
            <w:shd w:val="clear" w:color="D9D9D9" w:fill="D9D9D9"/>
            <w:hideMark/>
          </w:tcPr>
          <w:p w14:paraId="525BBEEF"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Image-based phytoplankton taxonomic abundances, biovolumes</w:t>
            </w:r>
          </w:p>
        </w:tc>
        <w:tc>
          <w:tcPr>
            <w:tcW w:w="2736" w:type="dxa"/>
            <w:tcBorders>
              <w:top w:val="single" w:sz="4" w:space="0" w:color="000000"/>
              <w:left w:val="nil"/>
              <w:bottom w:val="single" w:sz="4" w:space="0" w:color="000000"/>
              <w:right w:val="nil"/>
            </w:tcBorders>
            <w:shd w:val="clear" w:color="D9D9D9" w:fill="D9D9D9"/>
            <w:hideMark/>
          </w:tcPr>
          <w:p w14:paraId="24B8AE0B"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 xml:space="preserve">Hog </w:t>
            </w:r>
            <w:proofErr w:type="gramStart"/>
            <w:r w:rsidRPr="00F21896">
              <w:rPr>
                <w:rFonts w:eastAsia="Times New Roman"/>
                <w:color w:val="000000"/>
                <w:sz w:val="18"/>
                <w:szCs w:val="18"/>
              </w:rPr>
              <w:t>Island ,</w:t>
            </w:r>
            <w:proofErr w:type="gramEnd"/>
            <w:r w:rsidRPr="00F21896">
              <w:rPr>
                <w:rFonts w:eastAsia="Times New Roman"/>
                <w:color w:val="000000"/>
                <w:sz w:val="18"/>
                <w:szCs w:val="18"/>
              </w:rPr>
              <w:t xml:space="preserve"> Bodega Pier, San Francisco Bay (Pier 17)*, Santa Cruz Municipal Wharf**, Monterey Bay (Power Buoy), Stearns Wharf , Newport Beach Pier, Del Mar </w:t>
            </w:r>
            <w:r w:rsidRPr="00F21896">
              <w:rPr>
                <w:rFonts w:eastAsia="Times New Roman"/>
                <w:color w:val="000000"/>
                <w:sz w:val="18"/>
                <w:szCs w:val="18"/>
              </w:rPr>
              <w:lastRenderedPageBreak/>
              <w:t>Mooring, Scripps Pier</w:t>
            </w:r>
          </w:p>
        </w:tc>
        <w:tc>
          <w:tcPr>
            <w:tcW w:w="1446" w:type="dxa"/>
            <w:tcBorders>
              <w:top w:val="single" w:sz="4" w:space="0" w:color="000000"/>
              <w:left w:val="nil"/>
              <w:bottom w:val="single" w:sz="4" w:space="0" w:color="000000"/>
              <w:right w:val="nil"/>
            </w:tcBorders>
            <w:shd w:val="clear" w:color="D9D9D9" w:fill="D9D9D9"/>
            <w:hideMark/>
          </w:tcPr>
          <w:p w14:paraId="5BF99FF4"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lastRenderedPageBreak/>
              <w:t>2021/2022-present, *2018-</w:t>
            </w:r>
            <w:proofErr w:type="gramStart"/>
            <w:r w:rsidRPr="00F21896">
              <w:rPr>
                <w:rFonts w:eastAsia="Times New Roman"/>
                <w:color w:val="000000"/>
                <w:sz w:val="18"/>
                <w:szCs w:val="18"/>
              </w:rPr>
              <w:t>present,  *</w:t>
            </w:r>
            <w:proofErr w:type="gramEnd"/>
            <w:r w:rsidRPr="00F21896">
              <w:rPr>
                <w:rFonts w:eastAsia="Times New Roman"/>
                <w:color w:val="000000"/>
                <w:sz w:val="18"/>
                <w:szCs w:val="18"/>
              </w:rPr>
              <w:t>*2015-present</w:t>
            </w:r>
          </w:p>
        </w:tc>
        <w:tc>
          <w:tcPr>
            <w:tcW w:w="1212" w:type="dxa"/>
            <w:tcBorders>
              <w:top w:val="single" w:sz="4" w:space="0" w:color="000000"/>
              <w:left w:val="nil"/>
              <w:bottom w:val="single" w:sz="4" w:space="0" w:color="000000"/>
              <w:right w:val="nil"/>
            </w:tcBorders>
            <w:shd w:val="clear" w:color="D9D9D9" w:fill="D9D9D9"/>
            <w:hideMark/>
          </w:tcPr>
          <w:p w14:paraId="127A4A2E"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continuous</w:t>
            </w:r>
          </w:p>
        </w:tc>
        <w:tc>
          <w:tcPr>
            <w:tcW w:w="1212" w:type="dxa"/>
            <w:tcBorders>
              <w:top w:val="single" w:sz="4" w:space="0" w:color="000000"/>
              <w:left w:val="nil"/>
              <w:bottom w:val="single" w:sz="4" w:space="0" w:color="000000"/>
              <w:right w:val="nil"/>
            </w:tcBorders>
            <w:shd w:val="clear" w:color="D9D9D9" w:fill="D9D9D9"/>
            <w:hideMark/>
          </w:tcPr>
          <w:p w14:paraId="787C87D2"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Eulerian, California coastline</w:t>
            </w:r>
          </w:p>
        </w:tc>
        <w:tc>
          <w:tcPr>
            <w:tcW w:w="3595" w:type="dxa"/>
            <w:tcBorders>
              <w:top w:val="single" w:sz="4" w:space="0" w:color="000000"/>
              <w:left w:val="nil"/>
              <w:bottom w:val="single" w:sz="4" w:space="0" w:color="000000"/>
              <w:right w:val="single" w:sz="4" w:space="0" w:color="000000"/>
            </w:tcBorders>
            <w:shd w:val="clear" w:color="D9D9D9" w:fill="D9D9D9"/>
            <w:hideMark/>
          </w:tcPr>
          <w:p w14:paraId="5C737D92"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phytoplankton community composition, abundance, &amp; biovolume</w:t>
            </w:r>
          </w:p>
        </w:tc>
      </w:tr>
      <w:tr w:rsidR="00EE1CB8" w:rsidRPr="00F21896" w14:paraId="79CC5C1A" w14:textId="77777777" w:rsidTr="00EE3AB3">
        <w:trPr>
          <w:trHeight w:val="1320"/>
        </w:trPr>
        <w:tc>
          <w:tcPr>
            <w:tcW w:w="0" w:type="auto"/>
            <w:tcBorders>
              <w:top w:val="single" w:sz="4" w:space="0" w:color="000000"/>
              <w:left w:val="single" w:sz="4" w:space="0" w:color="000000"/>
              <w:bottom w:val="single" w:sz="4" w:space="0" w:color="000000"/>
              <w:right w:val="nil"/>
            </w:tcBorders>
            <w:shd w:val="clear" w:color="auto" w:fill="auto"/>
            <w:hideMark/>
          </w:tcPr>
          <w:p w14:paraId="3DE22371"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Cal HABMAP</w:t>
            </w:r>
          </w:p>
        </w:tc>
        <w:tc>
          <w:tcPr>
            <w:tcW w:w="1416" w:type="dxa"/>
            <w:tcBorders>
              <w:top w:val="single" w:sz="4" w:space="0" w:color="000000"/>
              <w:left w:val="nil"/>
              <w:bottom w:val="single" w:sz="4" w:space="0" w:color="000000"/>
              <w:right w:val="nil"/>
            </w:tcBorders>
            <w:shd w:val="clear" w:color="auto" w:fill="auto"/>
            <w:hideMark/>
          </w:tcPr>
          <w:p w14:paraId="27767D0B" w14:textId="77777777" w:rsidR="00EE1CB8" w:rsidRPr="00F21896" w:rsidRDefault="00EE1CB8" w:rsidP="00EE3AB3">
            <w:pPr>
              <w:spacing w:line="240" w:lineRule="auto"/>
              <w:rPr>
                <w:rFonts w:eastAsia="Times New Roman"/>
                <w:color w:val="000000"/>
                <w:sz w:val="18"/>
                <w:szCs w:val="18"/>
              </w:rPr>
            </w:pPr>
            <w:proofErr w:type="spellStart"/>
            <w:r w:rsidRPr="00F21896">
              <w:rPr>
                <w:rFonts w:eastAsia="Times New Roman"/>
                <w:color w:val="000000"/>
                <w:sz w:val="18"/>
                <w:szCs w:val="18"/>
              </w:rPr>
              <w:t>CalOOS</w:t>
            </w:r>
            <w:proofErr w:type="spellEnd"/>
          </w:p>
        </w:tc>
        <w:tc>
          <w:tcPr>
            <w:tcW w:w="1480" w:type="dxa"/>
            <w:tcBorders>
              <w:top w:val="single" w:sz="4" w:space="0" w:color="000000"/>
              <w:left w:val="nil"/>
              <w:bottom w:val="single" w:sz="4" w:space="0" w:color="000000"/>
              <w:right w:val="nil"/>
            </w:tcBorders>
            <w:shd w:val="clear" w:color="auto" w:fill="auto"/>
            <w:hideMark/>
          </w:tcPr>
          <w:p w14:paraId="07A7E46B"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Phytoplankton group counts</w:t>
            </w:r>
          </w:p>
        </w:tc>
        <w:tc>
          <w:tcPr>
            <w:tcW w:w="2736" w:type="dxa"/>
            <w:tcBorders>
              <w:top w:val="single" w:sz="4" w:space="0" w:color="000000"/>
              <w:left w:val="nil"/>
              <w:bottom w:val="single" w:sz="4" w:space="0" w:color="000000"/>
              <w:right w:val="nil"/>
            </w:tcBorders>
            <w:shd w:val="clear" w:color="auto" w:fill="auto"/>
            <w:hideMark/>
          </w:tcPr>
          <w:p w14:paraId="4EF2930B"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Scripps Pier, Santa Monica Pier, Stearns Wharf, Newport Pier, Trinidad, Bodega Marine Lab Intake, Cal Poly Pier, Santa Cruz Wharf, Monterey Wharf</w:t>
            </w:r>
          </w:p>
        </w:tc>
        <w:tc>
          <w:tcPr>
            <w:tcW w:w="1446" w:type="dxa"/>
            <w:tcBorders>
              <w:top w:val="single" w:sz="4" w:space="0" w:color="000000"/>
              <w:left w:val="nil"/>
              <w:bottom w:val="single" w:sz="4" w:space="0" w:color="000000"/>
              <w:right w:val="nil"/>
            </w:tcBorders>
            <w:shd w:val="clear" w:color="auto" w:fill="auto"/>
            <w:hideMark/>
          </w:tcPr>
          <w:p w14:paraId="4AFFF359"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2008-present, 2022-present, 2005-present</w:t>
            </w:r>
          </w:p>
        </w:tc>
        <w:tc>
          <w:tcPr>
            <w:tcW w:w="1212" w:type="dxa"/>
            <w:tcBorders>
              <w:top w:val="single" w:sz="4" w:space="0" w:color="000000"/>
              <w:left w:val="nil"/>
              <w:bottom w:val="single" w:sz="4" w:space="0" w:color="000000"/>
              <w:right w:val="nil"/>
            </w:tcBorders>
            <w:shd w:val="clear" w:color="auto" w:fill="auto"/>
            <w:hideMark/>
          </w:tcPr>
          <w:p w14:paraId="58277BD1"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weekly</w:t>
            </w:r>
          </w:p>
        </w:tc>
        <w:tc>
          <w:tcPr>
            <w:tcW w:w="1212" w:type="dxa"/>
            <w:tcBorders>
              <w:top w:val="single" w:sz="4" w:space="0" w:color="000000"/>
              <w:left w:val="nil"/>
              <w:bottom w:val="single" w:sz="4" w:space="0" w:color="000000"/>
              <w:right w:val="nil"/>
            </w:tcBorders>
            <w:shd w:val="clear" w:color="auto" w:fill="auto"/>
            <w:hideMark/>
          </w:tcPr>
          <w:p w14:paraId="7DC5DCA2"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Eulerian, California coastline</w:t>
            </w:r>
          </w:p>
        </w:tc>
        <w:tc>
          <w:tcPr>
            <w:tcW w:w="3595" w:type="dxa"/>
            <w:tcBorders>
              <w:top w:val="single" w:sz="4" w:space="0" w:color="000000"/>
              <w:left w:val="nil"/>
              <w:bottom w:val="single" w:sz="4" w:space="0" w:color="000000"/>
              <w:right w:val="single" w:sz="4" w:space="0" w:color="000000"/>
            </w:tcBorders>
            <w:shd w:val="clear" w:color="auto" w:fill="auto"/>
            <w:hideMark/>
          </w:tcPr>
          <w:p w14:paraId="2AAE3FA5" w14:textId="77777777" w:rsidR="00EE1CB8" w:rsidRPr="00F21896" w:rsidRDefault="00EE1CB8" w:rsidP="00EE3AB3">
            <w:pPr>
              <w:spacing w:line="240" w:lineRule="auto"/>
              <w:rPr>
                <w:rFonts w:eastAsia="Times New Roman"/>
                <w:color w:val="000000"/>
                <w:sz w:val="18"/>
                <w:szCs w:val="18"/>
              </w:rPr>
            </w:pPr>
            <w:proofErr w:type="spellStart"/>
            <w:r w:rsidRPr="00F21896">
              <w:rPr>
                <w:rFonts w:eastAsia="Times New Roman"/>
                <w:color w:val="000000"/>
                <w:sz w:val="18"/>
                <w:szCs w:val="18"/>
              </w:rPr>
              <w:t>Akashiwo</w:t>
            </w:r>
            <w:proofErr w:type="spellEnd"/>
            <w:r w:rsidRPr="00F21896">
              <w:rPr>
                <w:rFonts w:eastAsia="Times New Roman"/>
                <w:color w:val="000000"/>
                <w:sz w:val="18"/>
                <w:szCs w:val="18"/>
              </w:rPr>
              <w:t xml:space="preserve">, </w:t>
            </w:r>
            <w:proofErr w:type="spellStart"/>
            <w:r w:rsidRPr="00F21896">
              <w:rPr>
                <w:rFonts w:eastAsia="Times New Roman"/>
                <w:color w:val="000000"/>
                <w:sz w:val="18"/>
                <w:szCs w:val="18"/>
              </w:rPr>
              <w:t>Alexandrium</w:t>
            </w:r>
            <w:proofErr w:type="spellEnd"/>
            <w:r w:rsidRPr="00F21896">
              <w:rPr>
                <w:rFonts w:eastAsia="Times New Roman"/>
                <w:color w:val="000000"/>
                <w:sz w:val="18"/>
                <w:szCs w:val="18"/>
              </w:rPr>
              <w:t xml:space="preserve">, </w:t>
            </w:r>
            <w:proofErr w:type="spellStart"/>
            <w:r w:rsidRPr="00F21896">
              <w:rPr>
                <w:rFonts w:eastAsia="Times New Roman"/>
                <w:color w:val="000000"/>
                <w:sz w:val="18"/>
                <w:szCs w:val="18"/>
              </w:rPr>
              <w:t>Cochlodinium</w:t>
            </w:r>
            <w:proofErr w:type="spellEnd"/>
            <w:r w:rsidRPr="00F21896">
              <w:rPr>
                <w:rFonts w:eastAsia="Times New Roman"/>
                <w:color w:val="000000"/>
                <w:sz w:val="18"/>
                <w:szCs w:val="18"/>
              </w:rPr>
              <w:t xml:space="preserve">, </w:t>
            </w:r>
            <w:proofErr w:type="spellStart"/>
            <w:r w:rsidRPr="00F21896">
              <w:rPr>
                <w:rFonts w:eastAsia="Times New Roman"/>
                <w:color w:val="000000"/>
                <w:sz w:val="18"/>
                <w:szCs w:val="18"/>
              </w:rPr>
              <w:t>Dinophysis</w:t>
            </w:r>
            <w:proofErr w:type="spellEnd"/>
            <w:r w:rsidRPr="00F21896">
              <w:rPr>
                <w:rFonts w:eastAsia="Times New Roman"/>
                <w:color w:val="000000"/>
                <w:sz w:val="18"/>
                <w:szCs w:val="18"/>
              </w:rPr>
              <w:t xml:space="preserve"> spp., </w:t>
            </w:r>
            <w:proofErr w:type="spellStart"/>
            <w:r w:rsidRPr="00F21896">
              <w:rPr>
                <w:rFonts w:eastAsia="Times New Roman"/>
                <w:color w:val="000000"/>
                <w:sz w:val="18"/>
                <w:szCs w:val="18"/>
              </w:rPr>
              <w:t>Gonyaulax</w:t>
            </w:r>
            <w:proofErr w:type="spellEnd"/>
            <w:r w:rsidRPr="00F21896">
              <w:rPr>
                <w:rFonts w:eastAsia="Times New Roman"/>
                <w:color w:val="000000"/>
                <w:sz w:val="18"/>
                <w:szCs w:val="18"/>
              </w:rPr>
              <w:t xml:space="preserve">, </w:t>
            </w:r>
            <w:proofErr w:type="spellStart"/>
            <w:r w:rsidRPr="00F21896">
              <w:rPr>
                <w:rFonts w:eastAsia="Times New Roman"/>
                <w:color w:val="000000"/>
                <w:sz w:val="18"/>
                <w:szCs w:val="18"/>
              </w:rPr>
              <w:t>Lingulodinium</w:t>
            </w:r>
            <w:proofErr w:type="spellEnd"/>
            <w:r w:rsidRPr="00F21896">
              <w:rPr>
                <w:rFonts w:eastAsia="Times New Roman"/>
                <w:color w:val="000000"/>
                <w:sz w:val="18"/>
                <w:szCs w:val="18"/>
              </w:rPr>
              <w:t xml:space="preserve">, </w:t>
            </w:r>
            <w:proofErr w:type="spellStart"/>
            <w:r w:rsidRPr="00F21896">
              <w:rPr>
                <w:rFonts w:eastAsia="Times New Roman"/>
                <w:color w:val="000000"/>
                <w:sz w:val="18"/>
                <w:szCs w:val="18"/>
              </w:rPr>
              <w:t>Prorocentrum</w:t>
            </w:r>
            <w:proofErr w:type="spellEnd"/>
            <w:r w:rsidRPr="00F21896">
              <w:rPr>
                <w:rFonts w:eastAsia="Times New Roman"/>
                <w:color w:val="000000"/>
                <w:sz w:val="18"/>
                <w:szCs w:val="18"/>
              </w:rPr>
              <w:t xml:space="preserve"> spp., Pseudo-</w:t>
            </w:r>
            <w:proofErr w:type="spellStart"/>
            <w:r w:rsidRPr="00F21896">
              <w:rPr>
                <w:rFonts w:eastAsia="Times New Roman"/>
                <w:color w:val="000000"/>
                <w:sz w:val="18"/>
                <w:szCs w:val="18"/>
              </w:rPr>
              <w:t>nitzschia</w:t>
            </w:r>
            <w:proofErr w:type="spellEnd"/>
            <w:r w:rsidRPr="00F21896">
              <w:rPr>
                <w:rFonts w:eastAsia="Times New Roman"/>
                <w:color w:val="000000"/>
                <w:sz w:val="18"/>
                <w:szCs w:val="18"/>
              </w:rPr>
              <w:t xml:space="preserve"> </w:t>
            </w:r>
            <w:proofErr w:type="spellStart"/>
            <w:r w:rsidRPr="00F21896">
              <w:rPr>
                <w:rFonts w:eastAsia="Times New Roman"/>
                <w:color w:val="000000"/>
                <w:sz w:val="18"/>
                <w:szCs w:val="18"/>
              </w:rPr>
              <w:t>delicatissima</w:t>
            </w:r>
            <w:proofErr w:type="spellEnd"/>
            <w:r w:rsidRPr="00F21896">
              <w:rPr>
                <w:rFonts w:eastAsia="Times New Roman"/>
                <w:color w:val="000000"/>
                <w:sz w:val="18"/>
                <w:szCs w:val="18"/>
              </w:rPr>
              <w:t>, Pseudo-</w:t>
            </w:r>
            <w:proofErr w:type="spellStart"/>
            <w:r w:rsidRPr="00F21896">
              <w:rPr>
                <w:rFonts w:eastAsia="Times New Roman"/>
                <w:color w:val="000000"/>
                <w:sz w:val="18"/>
                <w:szCs w:val="18"/>
              </w:rPr>
              <w:t>nitzschia</w:t>
            </w:r>
            <w:proofErr w:type="spellEnd"/>
            <w:r w:rsidRPr="00F21896">
              <w:rPr>
                <w:rFonts w:eastAsia="Times New Roman"/>
                <w:color w:val="000000"/>
                <w:sz w:val="18"/>
                <w:szCs w:val="18"/>
              </w:rPr>
              <w:t xml:space="preserve"> </w:t>
            </w:r>
            <w:proofErr w:type="spellStart"/>
            <w:r w:rsidRPr="00F21896">
              <w:rPr>
                <w:rFonts w:eastAsia="Times New Roman"/>
                <w:color w:val="000000"/>
                <w:sz w:val="18"/>
                <w:szCs w:val="18"/>
              </w:rPr>
              <w:t>seriata</w:t>
            </w:r>
            <w:proofErr w:type="spellEnd"/>
            <w:r w:rsidRPr="00F21896">
              <w:rPr>
                <w:rFonts w:eastAsia="Times New Roman"/>
                <w:color w:val="000000"/>
                <w:sz w:val="18"/>
                <w:szCs w:val="18"/>
              </w:rPr>
              <w:t xml:space="preserve">, </w:t>
            </w:r>
            <w:proofErr w:type="spellStart"/>
            <w:r w:rsidRPr="00F21896">
              <w:rPr>
                <w:rFonts w:eastAsia="Times New Roman"/>
                <w:color w:val="000000"/>
                <w:sz w:val="18"/>
                <w:szCs w:val="18"/>
              </w:rPr>
              <w:t>Phaeocystis</w:t>
            </w:r>
            <w:proofErr w:type="spellEnd"/>
            <w:r w:rsidRPr="00F21896">
              <w:rPr>
                <w:rFonts w:eastAsia="Times New Roman"/>
                <w:color w:val="000000"/>
                <w:sz w:val="18"/>
                <w:szCs w:val="18"/>
              </w:rPr>
              <w:t>, tot diatoms, tot dinoflagellates</w:t>
            </w:r>
          </w:p>
        </w:tc>
      </w:tr>
      <w:tr w:rsidR="00EE1CB8" w:rsidRPr="00F21896" w14:paraId="7E8A14EE" w14:textId="77777777" w:rsidTr="00EE3AB3">
        <w:trPr>
          <w:trHeight w:val="1170"/>
        </w:trPr>
        <w:tc>
          <w:tcPr>
            <w:tcW w:w="0" w:type="auto"/>
            <w:tcBorders>
              <w:top w:val="single" w:sz="4" w:space="0" w:color="000000"/>
              <w:left w:val="single" w:sz="4" w:space="0" w:color="000000"/>
              <w:bottom w:val="single" w:sz="4" w:space="0" w:color="000000"/>
              <w:right w:val="nil"/>
            </w:tcBorders>
            <w:shd w:val="clear" w:color="D9D9D9" w:fill="D9D9D9"/>
            <w:hideMark/>
          </w:tcPr>
          <w:p w14:paraId="2FF6565F"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MODIS-Aqua Level 2 Ocean Color</w:t>
            </w:r>
          </w:p>
        </w:tc>
        <w:tc>
          <w:tcPr>
            <w:tcW w:w="1416" w:type="dxa"/>
            <w:tcBorders>
              <w:top w:val="single" w:sz="4" w:space="0" w:color="000000"/>
              <w:left w:val="nil"/>
              <w:bottom w:val="single" w:sz="4" w:space="0" w:color="000000"/>
              <w:right w:val="nil"/>
            </w:tcBorders>
            <w:shd w:val="clear" w:color="D9D9D9" w:fill="D9D9D9"/>
            <w:hideMark/>
          </w:tcPr>
          <w:p w14:paraId="185C36FB"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NASA</w:t>
            </w:r>
          </w:p>
        </w:tc>
        <w:tc>
          <w:tcPr>
            <w:tcW w:w="1480" w:type="dxa"/>
            <w:tcBorders>
              <w:top w:val="single" w:sz="4" w:space="0" w:color="000000"/>
              <w:left w:val="nil"/>
              <w:bottom w:val="single" w:sz="4" w:space="0" w:color="000000"/>
              <w:right w:val="nil"/>
            </w:tcBorders>
            <w:shd w:val="clear" w:color="D9D9D9" w:fill="D9D9D9"/>
            <w:vAlign w:val="bottom"/>
            <w:hideMark/>
          </w:tcPr>
          <w:p w14:paraId="24B60511"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Satellite chlorophyll-a</w:t>
            </w:r>
          </w:p>
        </w:tc>
        <w:tc>
          <w:tcPr>
            <w:tcW w:w="2736" w:type="dxa"/>
            <w:tcBorders>
              <w:top w:val="single" w:sz="4" w:space="0" w:color="000000"/>
              <w:left w:val="nil"/>
              <w:bottom w:val="single" w:sz="4" w:space="0" w:color="000000"/>
              <w:right w:val="nil"/>
            </w:tcBorders>
            <w:shd w:val="clear" w:color="D9D9D9" w:fill="D9D9D9"/>
            <w:hideMark/>
          </w:tcPr>
          <w:p w14:paraId="75ED1465"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Global</w:t>
            </w:r>
          </w:p>
        </w:tc>
        <w:tc>
          <w:tcPr>
            <w:tcW w:w="1446" w:type="dxa"/>
            <w:tcBorders>
              <w:top w:val="single" w:sz="4" w:space="0" w:color="000000"/>
              <w:left w:val="nil"/>
              <w:bottom w:val="single" w:sz="4" w:space="0" w:color="000000"/>
              <w:right w:val="nil"/>
            </w:tcBorders>
            <w:shd w:val="clear" w:color="D9D9D9" w:fill="D9D9D9"/>
            <w:hideMark/>
          </w:tcPr>
          <w:p w14:paraId="233461E0"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2002-present</w:t>
            </w:r>
          </w:p>
        </w:tc>
        <w:tc>
          <w:tcPr>
            <w:tcW w:w="1212" w:type="dxa"/>
            <w:tcBorders>
              <w:top w:val="single" w:sz="4" w:space="0" w:color="000000"/>
              <w:left w:val="nil"/>
              <w:bottom w:val="single" w:sz="4" w:space="0" w:color="000000"/>
              <w:right w:val="nil"/>
            </w:tcBorders>
            <w:shd w:val="clear" w:color="D9D9D9" w:fill="D9D9D9"/>
            <w:hideMark/>
          </w:tcPr>
          <w:p w14:paraId="2B9B9988"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daily, weekly</w:t>
            </w:r>
          </w:p>
        </w:tc>
        <w:tc>
          <w:tcPr>
            <w:tcW w:w="1212" w:type="dxa"/>
            <w:tcBorders>
              <w:top w:val="single" w:sz="4" w:space="0" w:color="000000"/>
              <w:left w:val="nil"/>
              <w:bottom w:val="single" w:sz="4" w:space="0" w:color="000000"/>
              <w:right w:val="nil"/>
            </w:tcBorders>
            <w:shd w:val="clear" w:color="D9D9D9" w:fill="D9D9D9"/>
            <w:hideMark/>
          </w:tcPr>
          <w:p w14:paraId="0B5DB101"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1km</w:t>
            </w:r>
          </w:p>
        </w:tc>
        <w:tc>
          <w:tcPr>
            <w:tcW w:w="3595" w:type="dxa"/>
            <w:tcBorders>
              <w:top w:val="single" w:sz="4" w:space="0" w:color="000000"/>
              <w:left w:val="nil"/>
              <w:bottom w:val="single" w:sz="4" w:space="0" w:color="000000"/>
              <w:right w:val="single" w:sz="4" w:space="0" w:color="000000"/>
            </w:tcBorders>
            <w:shd w:val="clear" w:color="D9D9D9" w:fill="D9D9D9"/>
            <w:hideMark/>
          </w:tcPr>
          <w:p w14:paraId="245C287D"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chlorophyll-a, particulate backscattering coefficient (</w:t>
            </w:r>
            <w:proofErr w:type="spellStart"/>
            <w:r w:rsidRPr="00F21896">
              <w:rPr>
                <w:rFonts w:eastAsia="Times New Roman"/>
                <w:color w:val="000000"/>
                <w:sz w:val="18"/>
                <w:szCs w:val="18"/>
              </w:rPr>
              <w:t>bbp</w:t>
            </w:r>
            <w:proofErr w:type="spellEnd"/>
            <w:r w:rsidRPr="00F21896">
              <w:rPr>
                <w:rFonts w:eastAsia="Times New Roman"/>
                <w:color w:val="000000"/>
                <w:sz w:val="18"/>
                <w:szCs w:val="18"/>
              </w:rPr>
              <w:t xml:space="preserve"> at 443nm)</w:t>
            </w:r>
          </w:p>
        </w:tc>
      </w:tr>
      <w:tr w:rsidR="00EE1CB8" w:rsidRPr="00F21896" w14:paraId="296EA128" w14:textId="77777777" w:rsidTr="00EE3AB3">
        <w:trPr>
          <w:trHeight w:val="756"/>
        </w:trPr>
        <w:tc>
          <w:tcPr>
            <w:tcW w:w="0" w:type="auto"/>
            <w:tcBorders>
              <w:top w:val="single" w:sz="4" w:space="0" w:color="000000"/>
              <w:left w:val="single" w:sz="4" w:space="0" w:color="000000"/>
              <w:bottom w:val="single" w:sz="4" w:space="0" w:color="000000"/>
              <w:right w:val="nil"/>
            </w:tcBorders>
            <w:shd w:val="clear" w:color="auto" w:fill="auto"/>
            <w:hideMark/>
          </w:tcPr>
          <w:p w14:paraId="1251E048" w14:textId="77777777" w:rsidR="00EE1CB8" w:rsidRPr="00F21896" w:rsidRDefault="00EE1CB8" w:rsidP="00EE3AB3">
            <w:pPr>
              <w:spacing w:line="240" w:lineRule="auto"/>
              <w:rPr>
                <w:rFonts w:eastAsia="Times New Roman"/>
                <w:b/>
                <w:bCs/>
                <w:color w:val="000000"/>
                <w:sz w:val="18"/>
                <w:szCs w:val="18"/>
              </w:rPr>
            </w:pPr>
            <w:proofErr w:type="spellStart"/>
            <w:r w:rsidRPr="00F21896">
              <w:rPr>
                <w:rFonts w:eastAsia="Times New Roman"/>
                <w:b/>
                <w:bCs/>
                <w:color w:val="000000"/>
                <w:sz w:val="18"/>
                <w:szCs w:val="18"/>
              </w:rPr>
              <w:t>Aeronet</w:t>
            </w:r>
            <w:proofErr w:type="spellEnd"/>
          </w:p>
        </w:tc>
        <w:tc>
          <w:tcPr>
            <w:tcW w:w="1416" w:type="dxa"/>
            <w:tcBorders>
              <w:top w:val="single" w:sz="4" w:space="0" w:color="000000"/>
              <w:left w:val="nil"/>
              <w:bottom w:val="single" w:sz="4" w:space="0" w:color="000000"/>
              <w:right w:val="nil"/>
            </w:tcBorders>
            <w:shd w:val="clear" w:color="auto" w:fill="auto"/>
            <w:hideMark/>
          </w:tcPr>
          <w:p w14:paraId="6A15DA55"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NASA</w:t>
            </w:r>
          </w:p>
        </w:tc>
        <w:tc>
          <w:tcPr>
            <w:tcW w:w="1480" w:type="dxa"/>
            <w:tcBorders>
              <w:top w:val="single" w:sz="4" w:space="0" w:color="000000"/>
              <w:left w:val="nil"/>
              <w:bottom w:val="single" w:sz="4" w:space="0" w:color="000000"/>
              <w:right w:val="nil"/>
            </w:tcBorders>
            <w:shd w:val="clear" w:color="auto" w:fill="auto"/>
            <w:hideMark/>
          </w:tcPr>
          <w:p w14:paraId="6365E736"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Ground-based aerosol optical index</w:t>
            </w:r>
          </w:p>
        </w:tc>
        <w:tc>
          <w:tcPr>
            <w:tcW w:w="2736" w:type="dxa"/>
            <w:tcBorders>
              <w:top w:val="single" w:sz="4" w:space="0" w:color="000000"/>
              <w:left w:val="nil"/>
              <w:bottom w:val="single" w:sz="4" w:space="0" w:color="000000"/>
              <w:right w:val="nil"/>
            </w:tcBorders>
            <w:shd w:val="clear" w:color="auto" w:fill="auto"/>
            <w:hideMark/>
          </w:tcPr>
          <w:p w14:paraId="5763F7E1"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Trinidad Head, Monterey, UCSB, USC, La Jolla</w:t>
            </w:r>
          </w:p>
        </w:tc>
        <w:tc>
          <w:tcPr>
            <w:tcW w:w="1446" w:type="dxa"/>
            <w:tcBorders>
              <w:top w:val="single" w:sz="4" w:space="0" w:color="000000"/>
              <w:left w:val="nil"/>
              <w:bottom w:val="single" w:sz="4" w:space="0" w:color="000000"/>
              <w:right w:val="nil"/>
            </w:tcBorders>
            <w:shd w:val="clear" w:color="auto" w:fill="auto"/>
            <w:hideMark/>
          </w:tcPr>
          <w:p w14:paraId="312956D8"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2005-present</w:t>
            </w:r>
          </w:p>
        </w:tc>
        <w:tc>
          <w:tcPr>
            <w:tcW w:w="1212" w:type="dxa"/>
            <w:tcBorders>
              <w:top w:val="single" w:sz="4" w:space="0" w:color="000000"/>
              <w:left w:val="nil"/>
              <w:bottom w:val="single" w:sz="4" w:space="0" w:color="000000"/>
              <w:right w:val="nil"/>
            </w:tcBorders>
            <w:shd w:val="clear" w:color="auto" w:fill="auto"/>
            <w:hideMark/>
          </w:tcPr>
          <w:p w14:paraId="19F569B9"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continuous</w:t>
            </w:r>
          </w:p>
        </w:tc>
        <w:tc>
          <w:tcPr>
            <w:tcW w:w="1212" w:type="dxa"/>
            <w:tcBorders>
              <w:top w:val="single" w:sz="4" w:space="0" w:color="000000"/>
              <w:left w:val="nil"/>
              <w:bottom w:val="single" w:sz="4" w:space="0" w:color="000000"/>
              <w:right w:val="nil"/>
            </w:tcBorders>
            <w:shd w:val="clear" w:color="auto" w:fill="auto"/>
            <w:hideMark/>
          </w:tcPr>
          <w:p w14:paraId="76E59C18"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Eulerian, California coastline</w:t>
            </w:r>
          </w:p>
        </w:tc>
        <w:tc>
          <w:tcPr>
            <w:tcW w:w="3595" w:type="dxa"/>
            <w:tcBorders>
              <w:top w:val="single" w:sz="4" w:space="0" w:color="000000"/>
              <w:left w:val="nil"/>
              <w:bottom w:val="single" w:sz="4" w:space="0" w:color="000000"/>
              <w:right w:val="single" w:sz="4" w:space="0" w:color="000000"/>
            </w:tcBorders>
            <w:shd w:val="clear" w:color="auto" w:fill="auto"/>
            <w:hideMark/>
          </w:tcPr>
          <w:p w14:paraId="61A24645"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aerosol optical depth (340-1640nm)</w:t>
            </w:r>
          </w:p>
        </w:tc>
      </w:tr>
      <w:tr w:rsidR="00EE1CB8" w:rsidRPr="00F21896" w14:paraId="753B61F5" w14:textId="77777777" w:rsidTr="00EE3AB3">
        <w:trPr>
          <w:trHeight w:val="816"/>
        </w:trPr>
        <w:tc>
          <w:tcPr>
            <w:tcW w:w="0" w:type="auto"/>
            <w:tcBorders>
              <w:top w:val="single" w:sz="4" w:space="0" w:color="000000"/>
              <w:left w:val="single" w:sz="4" w:space="0" w:color="000000"/>
              <w:bottom w:val="single" w:sz="4" w:space="0" w:color="000000"/>
              <w:right w:val="nil"/>
            </w:tcBorders>
            <w:shd w:val="clear" w:color="D9D9D9" w:fill="D9D9D9"/>
            <w:hideMark/>
          </w:tcPr>
          <w:p w14:paraId="14293814" w14:textId="77777777" w:rsidR="00EE1CB8" w:rsidRPr="00F21896" w:rsidRDefault="00EE1CB8" w:rsidP="00EE3AB3">
            <w:pPr>
              <w:spacing w:line="240" w:lineRule="auto"/>
              <w:rPr>
                <w:rFonts w:eastAsia="Times New Roman"/>
                <w:b/>
                <w:bCs/>
                <w:color w:val="000000"/>
                <w:sz w:val="18"/>
                <w:szCs w:val="18"/>
              </w:rPr>
            </w:pPr>
            <w:r w:rsidRPr="00F21896">
              <w:rPr>
                <w:rFonts w:eastAsia="Times New Roman"/>
                <w:b/>
                <w:bCs/>
                <w:color w:val="000000"/>
                <w:sz w:val="18"/>
                <w:szCs w:val="18"/>
              </w:rPr>
              <w:t>MERRA-2</w:t>
            </w:r>
          </w:p>
        </w:tc>
        <w:tc>
          <w:tcPr>
            <w:tcW w:w="1416" w:type="dxa"/>
            <w:tcBorders>
              <w:top w:val="single" w:sz="4" w:space="0" w:color="000000"/>
              <w:left w:val="nil"/>
              <w:bottom w:val="single" w:sz="4" w:space="0" w:color="000000"/>
              <w:right w:val="nil"/>
            </w:tcBorders>
            <w:shd w:val="clear" w:color="D9D9D9" w:fill="D9D9D9"/>
            <w:hideMark/>
          </w:tcPr>
          <w:p w14:paraId="0C5901C1"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NASA</w:t>
            </w:r>
          </w:p>
        </w:tc>
        <w:tc>
          <w:tcPr>
            <w:tcW w:w="1480" w:type="dxa"/>
            <w:tcBorders>
              <w:top w:val="single" w:sz="4" w:space="0" w:color="000000"/>
              <w:left w:val="nil"/>
              <w:bottom w:val="single" w:sz="4" w:space="0" w:color="000000"/>
              <w:right w:val="nil"/>
            </w:tcBorders>
            <w:shd w:val="clear" w:color="D9D9D9" w:fill="D9D9D9"/>
            <w:hideMark/>
          </w:tcPr>
          <w:p w14:paraId="4DA4FC37"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Aerosol reanalysis</w:t>
            </w:r>
          </w:p>
        </w:tc>
        <w:tc>
          <w:tcPr>
            <w:tcW w:w="2736" w:type="dxa"/>
            <w:tcBorders>
              <w:top w:val="single" w:sz="4" w:space="0" w:color="000000"/>
              <w:left w:val="nil"/>
              <w:bottom w:val="single" w:sz="4" w:space="0" w:color="000000"/>
              <w:right w:val="nil"/>
            </w:tcBorders>
            <w:shd w:val="clear" w:color="D9D9D9" w:fill="D9D9D9"/>
            <w:hideMark/>
          </w:tcPr>
          <w:p w14:paraId="4D6C9F2C"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Global</w:t>
            </w:r>
          </w:p>
        </w:tc>
        <w:tc>
          <w:tcPr>
            <w:tcW w:w="1446" w:type="dxa"/>
            <w:tcBorders>
              <w:top w:val="single" w:sz="4" w:space="0" w:color="000000"/>
              <w:left w:val="nil"/>
              <w:bottom w:val="single" w:sz="4" w:space="0" w:color="000000"/>
              <w:right w:val="nil"/>
            </w:tcBorders>
            <w:shd w:val="clear" w:color="D9D9D9" w:fill="D9D9D9"/>
            <w:hideMark/>
          </w:tcPr>
          <w:p w14:paraId="5B2348FA"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1980-present</w:t>
            </w:r>
          </w:p>
        </w:tc>
        <w:tc>
          <w:tcPr>
            <w:tcW w:w="1212" w:type="dxa"/>
            <w:tcBorders>
              <w:top w:val="single" w:sz="4" w:space="0" w:color="000000"/>
              <w:left w:val="nil"/>
              <w:bottom w:val="single" w:sz="4" w:space="0" w:color="000000"/>
              <w:right w:val="nil"/>
            </w:tcBorders>
            <w:shd w:val="clear" w:color="D9D9D9" w:fill="D9D9D9"/>
            <w:hideMark/>
          </w:tcPr>
          <w:p w14:paraId="73B39188"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Daily</w:t>
            </w:r>
          </w:p>
        </w:tc>
        <w:tc>
          <w:tcPr>
            <w:tcW w:w="1212" w:type="dxa"/>
            <w:tcBorders>
              <w:top w:val="single" w:sz="4" w:space="0" w:color="000000"/>
              <w:left w:val="nil"/>
              <w:bottom w:val="single" w:sz="4" w:space="0" w:color="000000"/>
              <w:right w:val="nil"/>
            </w:tcBorders>
            <w:shd w:val="clear" w:color="D9D9D9" w:fill="D9D9D9"/>
            <w:hideMark/>
          </w:tcPr>
          <w:p w14:paraId="4AE31221"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0.5×0.65◦ globally</w:t>
            </w:r>
          </w:p>
        </w:tc>
        <w:tc>
          <w:tcPr>
            <w:tcW w:w="3595" w:type="dxa"/>
            <w:tcBorders>
              <w:top w:val="single" w:sz="4" w:space="0" w:color="000000"/>
              <w:left w:val="nil"/>
              <w:bottom w:val="single" w:sz="4" w:space="0" w:color="000000"/>
              <w:right w:val="single" w:sz="4" w:space="0" w:color="000000"/>
            </w:tcBorders>
            <w:shd w:val="clear" w:color="D9D9D9" w:fill="D9D9D9"/>
            <w:hideMark/>
          </w:tcPr>
          <w:p w14:paraId="043B626B" w14:textId="77777777" w:rsidR="00EE1CB8" w:rsidRPr="00F21896" w:rsidRDefault="00EE1CB8" w:rsidP="00EE3AB3">
            <w:pPr>
              <w:spacing w:line="240" w:lineRule="auto"/>
              <w:rPr>
                <w:rFonts w:eastAsia="Times New Roman"/>
                <w:color w:val="000000"/>
                <w:sz w:val="18"/>
                <w:szCs w:val="18"/>
              </w:rPr>
            </w:pPr>
            <w:r w:rsidRPr="00F21896">
              <w:rPr>
                <w:rFonts w:eastAsia="Times New Roman"/>
                <w:color w:val="000000"/>
                <w:sz w:val="18"/>
                <w:szCs w:val="18"/>
              </w:rPr>
              <w:t>black carbon aerosols, dust aerosols</w:t>
            </w:r>
          </w:p>
        </w:tc>
      </w:tr>
      <w:tr w:rsidR="00EE1CB8" w:rsidRPr="00F21896" w14:paraId="48025D39" w14:textId="77777777" w:rsidTr="00EE3AB3">
        <w:trPr>
          <w:trHeight w:val="792"/>
        </w:trPr>
        <w:tc>
          <w:tcPr>
            <w:tcW w:w="0" w:type="auto"/>
            <w:tcBorders>
              <w:top w:val="single" w:sz="4" w:space="0" w:color="000000"/>
              <w:left w:val="single" w:sz="4" w:space="0" w:color="000000"/>
              <w:bottom w:val="single" w:sz="4" w:space="0" w:color="000000"/>
              <w:right w:val="nil"/>
            </w:tcBorders>
            <w:shd w:val="clear" w:color="D9D9D9" w:fill="D9D9D9"/>
          </w:tcPr>
          <w:p w14:paraId="0229F1F6" w14:textId="77777777" w:rsidR="00EE1CB8" w:rsidRPr="00F21896" w:rsidRDefault="00EE1CB8" w:rsidP="00EE3AB3">
            <w:pPr>
              <w:spacing w:line="240" w:lineRule="auto"/>
              <w:rPr>
                <w:rFonts w:eastAsia="Times New Roman"/>
                <w:b/>
                <w:bCs/>
                <w:color w:val="000000"/>
                <w:sz w:val="18"/>
                <w:szCs w:val="18"/>
              </w:rPr>
            </w:pPr>
          </w:p>
        </w:tc>
        <w:tc>
          <w:tcPr>
            <w:tcW w:w="1416" w:type="dxa"/>
            <w:tcBorders>
              <w:top w:val="single" w:sz="4" w:space="0" w:color="000000"/>
              <w:left w:val="nil"/>
              <w:bottom w:val="single" w:sz="4" w:space="0" w:color="000000"/>
              <w:right w:val="nil"/>
            </w:tcBorders>
            <w:shd w:val="clear" w:color="D9D9D9" w:fill="D9D9D9"/>
          </w:tcPr>
          <w:p w14:paraId="1E342AE2" w14:textId="77777777" w:rsidR="00EE1CB8" w:rsidRPr="00F21896" w:rsidRDefault="00EE1CB8" w:rsidP="00EE3AB3">
            <w:pPr>
              <w:spacing w:line="240" w:lineRule="auto"/>
              <w:rPr>
                <w:rFonts w:eastAsia="Times New Roman"/>
                <w:color w:val="000000"/>
                <w:sz w:val="18"/>
                <w:szCs w:val="18"/>
              </w:rPr>
            </w:pPr>
          </w:p>
        </w:tc>
        <w:tc>
          <w:tcPr>
            <w:tcW w:w="1480" w:type="dxa"/>
            <w:tcBorders>
              <w:top w:val="single" w:sz="4" w:space="0" w:color="000000"/>
              <w:left w:val="nil"/>
              <w:bottom w:val="single" w:sz="4" w:space="0" w:color="000000"/>
              <w:right w:val="nil"/>
            </w:tcBorders>
            <w:shd w:val="clear" w:color="D9D9D9" w:fill="D9D9D9"/>
          </w:tcPr>
          <w:p w14:paraId="525DE2A4" w14:textId="77777777" w:rsidR="00EE1CB8" w:rsidRPr="00F21896" w:rsidRDefault="00EE1CB8" w:rsidP="00EE3AB3">
            <w:pPr>
              <w:spacing w:line="240" w:lineRule="auto"/>
              <w:rPr>
                <w:rFonts w:eastAsia="Times New Roman"/>
                <w:color w:val="000000"/>
                <w:sz w:val="18"/>
                <w:szCs w:val="18"/>
              </w:rPr>
            </w:pPr>
          </w:p>
        </w:tc>
        <w:tc>
          <w:tcPr>
            <w:tcW w:w="2736" w:type="dxa"/>
            <w:tcBorders>
              <w:top w:val="single" w:sz="4" w:space="0" w:color="000000"/>
              <w:left w:val="nil"/>
              <w:bottom w:val="single" w:sz="4" w:space="0" w:color="000000"/>
              <w:right w:val="nil"/>
            </w:tcBorders>
            <w:shd w:val="clear" w:color="D9D9D9" w:fill="D9D9D9"/>
          </w:tcPr>
          <w:p w14:paraId="76CC8371" w14:textId="77777777" w:rsidR="00EE1CB8" w:rsidRPr="00F21896" w:rsidRDefault="00EE1CB8" w:rsidP="00EE3AB3">
            <w:pPr>
              <w:spacing w:line="240" w:lineRule="auto"/>
              <w:rPr>
                <w:rFonts w:eastAsia="Times New Roman"/>
                <w:color w:val="000000"/>
                <w:sz w:val="18"/>
                <w:szCs w:val="18"/>
              </w:rPr>
            </w:pPr>
          </w:p>
        </w:tc>
        <w:tc>
          <w:tcPr>
            <w:tcW w:w="1446" w:type="dxa"/>
            <w:tcBorders>
              <w:top w:val="single" w:sz="4" w:space="0" w:color="000000"/>
              <w:left w:val="nil"/>
              <w:bottom w:val="single" w:sz="4" w:space="0" w:color="000000"/>
              <w:right w:val="nil"/>
            </w:tcBorders>
            <w:shd w:val="clear" w:color="D9D9D9" w:fill="D9D9D9"/>
          </w:tcPr>
          <w:p w14:paraId="1EDB8C66" w14:textId="77777777" w:rsidR="00EE1CB8" w:rsidRPr="00F21896" w:rsidRDefault="00EE1CB8" w:rsidP="00EE3AB3">
            <w:pPr>
              <w:spacing w:line="240" w:lineRule="auto"/>
              <w:rPr>
                <w:rFonts w:eastAsia="Times New Roman"/>
                <w:color w:val="000000"/>
                <w:sz w:val="18"/>
                <w:szCs w:val="18"/>
              </w:rPr>
            </w:pPr>
          </w:p>
        </w:tc>
        <w:tc>
          <w:tcPr>
            <w:tcW w:w="1212" w:type="dxa"/>
            <w:tcBorders>
              <w:top w:val="single" w:sz="4" w:space="0" w:color="000000"/>
              <w:left w:val="nil"/>
              <w:bottom w:val="single" w:sz="4" w:space="0" w:color="000000"/>
              <w:right w:val="nil"/>
            </w:tcBorders>
            <w:shd w:val="clear" w:color="D9D9D9" w:fill="D9D9D9"/>
          </w:tcPr>
          <w:p w14:paraId="67A5F2C1" w14:textId="77777777" w:rsidR="00EE1CB8" w:rsidRPr="00F21896" w:rsidRDefault="00EE1CB8" w:rsidP="00EE3AB3">
            <w:pPr>
              <w:spacing w:line="240" w:lineRule="auto"/>
              <w:rPr>
                <w:rFonts w:eastAsia="Times New Roman"/>
                <w:color w:val="000000"/>
                <w:sz w:val="18"/>
                <w:szCs w:val="18"/>
              </w:rPr>
            </w:pPr>
          </w:p>
        </w:tc>
        <w:tc>
          <w:tcPr>
            <w:tcW w:w="1212" w:type="dxa"/>
            <w:tcBorders>
              <w:top w:val="single" w:sz="4" w:space="0" w:color="000000"/>
              <w:left w:val="nil"/>
              <w:bottom w:val="single" w:sz="4" w:space="0" w:color="000000"/>
              <w:right w:val="nil"/>
            </w:tcBorders>
            <w:shd w:val="clear" w:color="D9D9D9" w:fill="D9D9D9"/>
          </w:tcPr>
          <w:p w14:paraId="645EBDD0" w14:textId="77777777" w:rsidR="00EE1CB8" w:rsidRPr="00F21896" w:rsidRDefault="00EE1CB8" w:rsidP="00EE3AB3">
            <w:pPr>
              <w:spacing w:line="240" w:lineRule="auto"/>
              <w:rPr>
                <w:rFonts w:eastAsia="Times New Roman"/>
                <w:color w:val="000000"/>
                <w:sz w:val="18"/>
                <w:szCs w:val="18"/>
              </w:rPr>
            </w:pPr>
          </w:p>
        </w:tc>
        <w:tc>
          <w:tcPr>
            <w:tcW w:w="3595" w:type="dxa"/>
            <w:tcBorders>
              <w:top w:val="single" w:sz="4" w:space="0" w:color="000000"/>
              <w:left w:val="nil"/>
              <w:bottom w:val="single" w:sz="4" w:space="0" w:color="000000"/>
              <w:right w:val="single" w:sz="4" w:space="0" w:color="000000"/>
            </w:tcBorders>
            <w:shd w:val="clear" w:color="D9D9D9" w:fill="D9D9D9"/>
          </w:tcPr>
          <w:p w14:paraId="21A4BD64" w14:textId="77777777" w:rsidR="00EE1CB8" w:rsidRPr="00F21896" w:rsidRDefault="00EE1CB8" w:rsidP="00EE3AB3">
            <w:pPr>
              <w:keepNext/>
              <w:spacing w:line="240" w:lineRule="auto"/>
              <w:rPr>
                <w:rFonts w:eastAsia="Times New Roman"/>
                <w:color w:val="000000"/>
                <w:sz w:val="18"/>
                <w:szCs w:val="18"/>
              </w:rPr>
            </w:pPr>
          </w:p>
        </w:tc>
      </w:tr>
    </w:tbl>
    <w:p w14:paraId="1DBF40E1" w14:textId="77777777" w:rsidR="00EE1CB8" w:rsidRDefault="00EE1CB8" w:rsidP="00EE1CB8">
      <w:pPr>
        <w:pStyle w:val="Caption"/>
        <w:rPr>
          <w:rFonts w:asciiTheme="minorHAnsi" w:hAnsiTheme="minorHAnsi"/>
          <w:i w:val="0"/>
          <w:iCs w:val="0"/>
        </w:rPr>
      </w:pPr>
      <w:bookmarkStart w:id="2" w:name="_Ref149136098"/>
      <w:bookmarkStart w:id="3" w:name="_Ref149136087"/>
      <w:r w:rsidRPr="00F21896">
        <w:rPr>
          <w:rFonts w:asciiTheme="minorHAnsi" w:hAnsiTheme="minorHAnsi"/>
        </w:rPr>
        <w:t xml:space="preserve">Table </w:t>
      </w:r>
      <w:r w:rsidRPr="00F21896">
        <w:rPr>
          <w:rFonts w:asciiTheme="minorHAnsi" w:hAnsiTheme="minorHAnsi"/>
        </w:rPr>
        <w:fldChar w:fldCharType="begin"/>
      </w:r>
      <w:r w:rsidRPr="00F21896">
        <w:rPr>
          <w:rFonts w:asciiTheme="minorHAnsi" w:hAnsiTheme="minorHAnsi"/>
        </w:rPr>
        <w:instrText xml:space="preserve"> SEQ Table \* ARABIC </w:instrText>
      </w:r>
      <w:r w:rsidRPr="00F21896">
        <w:rPr>
          <w:rFonts w:asciiTheme="minorHAnsi" w:hAnsiTheme="minorHAnsi"/>
        </w:rPr>
        <w:fldChar w:fldCharType="separate"/>
      </w:r>
      <w:r w:rsidRPr="00F21896">
        <w:rPr>
          <w:rFonts w:asciiTheme="minorHAnsi" w:hAnsiTheme="minorHAnsi"/>
          <w:noProof/>
        </w:rPr>
        <w:t>1</w:t>
      </w:r>
      <w:r w:rsidRPr="00F21896">
        <w:rPr>
          <w:rFonts w:asciiTheme="minorHAnsi" w:hAnsiTheme="minorHAnsi"/>
          <w:noProof/>
        </w:rPr>
        <w:fldChar w:fldCharType="end"/>
      </w:r>
      <w:bookmarkEnd w:id="2"/>
      <w:r w:rsidRPr="00F21896">
        <w:rPr>
          <w:rFonts w:asciiTheme="minorHAnsi" w:hAnsiTheme="minorHAnsi"/>
        </w:rPr>
        <w:t xml:space="preserve">. </w:t>
      </w:r>
      <w:r w:rsidRPr="00F21896">
        <w:rPr>
          <w:rFonts w:asciiTheme="minorHAnsi" w:hAnsiTheme="minorHAnsi"/>
          <w:i w:val="0"/>
          <w:iCs w:val="0"/>
        </w:rPr>
        <w:t>Summary of Observational Data Streams for Analysis</w:t>
      </w:r>
      <w:bookmarkEnd w:id="3"/>
      <w:r w:rsidRPr="00F21896">
        <w:rPr>
          <w:rFonts w:asciiTheme="minorHAnsi" w:hAnsiTheme="minorHAnsi"/>
          <w:i w:val="0"/>
          <w:iCs w:val="0"/>
        </w:rPr>
        <w:t>.</w:t>
      </w:r>
    </w:p>
    <w:p w14:paraId="4D28C42A" w14:textId="77777777" w:rsidR="00EE1CB8" w:rsidRPr="00EE1CB8" w:rsidRDefault="00EE1CB8" w:rsidP="00EE1CB8"/>
    <w:p w14:paraId="2DE2580A" w14:textId="5CD136ED" w:rsidR="00EE1CB8" w:rsidRPr="00EE1CB8" w:rsidRDefault="00EE1CB8" w:rsidP="00EE1CB8">
      <w:pPr>
        <w:sectPr w:rsidR="00EE1CB8" w:rsidRPr="00EE1CB8" w:rsidSect="00EE1CB8">
          <w:headerReference w:type="default" r:id="rId21"/>
          <w:type w:val="continuous"/>
          <w:pgSz w:w="12240" w:h="15840"/>
          <w:pgMar w:top="1440" w:right="1440" w:bottom="1440" w:left="1440" w:header="720" w:footer="720" w:gutter="0"/>
          <w:lnNumType w:countBy="1" w:restart="continuous"/>
          <w:pgNumType w:start="1"/>
          <w:cols w:space="720"/>
          <w:docGrid w:linePitch="326"/>
        </w:sectPr>
      </w:pPr>
    </w:p>
    <w:p w14:paraId="1528ED0A" w14:textId="77777777" w:rsidR="00FE52E9" w:rsidRPr="00FE52E9" w:rsidRDefault="00FE52E9" w:rsidP="00FE52E9"/>
    <w:sectPr w:rsidR="00FE52E9" w:rsidRPr="00FE52E9" w:rsidSect="00EE1CB8">
      <w:headerReference w:type="default" r:id="rId2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DEB395" w14:textId="77777777" w:rsidR="00CB57DD" w:rsidRDefault="00CB57DD" w:rsidP="00E52C43">
      <w:pPr>
        <w:spacing w:after="0" w:line="240" w:lineRule="auto"/>
      </w:pPr>
      <w:r>
        <w:separator/>
      </w:r>
    </w:p>
  </w:endnote>
  <w:endnote w:type="continuationSeparator" w:id="0">
    <w:p w14:paraId="22E4BA99" w14:textId="77777777" w:rsidR="00CB57DD" w:rsidRDefault="00CB57DD" w:rsidP="00E52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AD44E" w14:textId="77777777" w:rsidR="00CB57DD" w:rsidRDefault="00CB57DD" w:rsidP="00E52C43">
      <w:pPr>
        <w:spacing w:after="0" w:line="240" w:lineRule="auto"/>
      </w:pPr>
      <w:r>
        <w:separator/>
      </w:r>
    </w:p>
  </w:footnote>
  <w:footnote w:type="continuationSeparator" w:id="0">
    <w:p w14:paraId="3322F328" w14:textId="77777777" w:rsidR="00CB57DD" w:rsidRDefault="00CB57DD" w:rsidP="00E52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0984978"/>
      <w:docPartObj>
        <w:docPartGallery w:val="Page Numbers (Top of Page)"/>
        <w:docPartUnique/>
      </w:docPartObj>
    </w:sdtPr>
    <w:sdtEndPr>
      <w:rPr>
        <w:color w:val="7F7F7F" w:themeColor="background1" w:themeShade="7F"/>
        <w:spacing w:val="60"/>
      </w:rPr>
    </w:sdtEndPr>
    <w:sdtContent>
      <w:p w14:paraId="62D13DF3" w14:textId="77777777" w:rsidR="00EE1CB8" w:rsidRDefault="00EE1CB8">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0427763" w14:textId="77777777" w:rsidR="00EE1CB8" w:rsidRDefault="00EE1C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3086354"/>
      <w:docPartObj>
        <w:docPartGallery w:val="Page Numbers (Top of Page)"/>
        <w:docPartUnique/>
      </w:docPartObj>
    </w:sdtPr>
    <w:sdtEndPr>
      <w:rPr>
        <w:color w:val="7F7F7F" w:themeColor="background1" w:themeShade="7F"/>
        <w:spacing w:val="60"/>
      </w:rPr>
    </w:sdtEndPr>
    <w:sdtContent>
      <w:p w14:paraId="71C4A98D" w14:textId="21BC5F2D" w:rsidR="00E52C43" w:rsidRDefault="00E52C43">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77DA93C" w14:textId="77777777" w:rsidR="00E52C43" w:rsidRDefault="00E52C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8070544"/>
      <w:docPartObj>
        <w:docPartGallery w:val="Page Numbers (Top of Page)"/>
        <w:docPartUnique/>
      </w:docPartObj>
    </w:sdtPr>
    <w:sdtEndPr>
      <w:rPr>
        <w:color w:val="7F7F7F" w:themeColor="background1" w:themeShade="7F"/>
        <w:spacing w:val="60"/>
      </w:rPr>
    </w:sdtEndPr>
    <w:sdtContent>
      <w:p w14:paraId="08D05B12" w14:textId="77777777" w:rsidR="00243E84" w:rsidRDefault="00243E84">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C4275B1" w14:textId="77777777" w:rsidR="00243E84" w:rsidRDefault="00243E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E47"/>
    <w:rsid w:val="000C7D02"/>
    <w:rsid w:val="00146544"/>
    <w:rsid w:val="00195AB0"/>
    <w:rsid w:val="00243E84"/>
    <w:rsid w:val="00255307"/>
    <w:rsid w:val="004A22CA"/>
    <w:rsid w:val="005715BD"/>
    <w:rsid w:val="005C4F23"/>
    <w:rsid w:val="00665E47"/>
    <w:rsid w:val="006A2AE1"/>
    <w:rsid w:val="007346A8"/>
    <w:rsid w:val="007B3AAD"/>
    <w:rsid w:val="00805D58"/>
    <w:rsid w:val="00974C5C"/>
    <w:rsid w:val="00987752"/>
    <w:rsid w:val="00A91EEC"/>
    <w:rsid w:val="00CB57DD"/>
    <w:rsid w:val="00D74081"/>
    <w:rsid w:val="00E52C43"/>
    <w:rsid w:val="00EE1CB8"/>
    <w:rsid w:val="00FE5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44A1E"/>
  <w15:chartTrackingRefBased/>
  <w15:docId w15:val="{8A809993-0F4D-4454-9128-2CC0D2DB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5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5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5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5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5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5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5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E47"/>
    <w:rPr>
      <w:rFonts w:eastAsiaTheme="majorEastAsia" w:cstheme="majorBidi"/>
      <w:color w:val="272727" w:themeColor="text1" w:themeTint="D8"/>
    </w:rPr>
  </w:style>
  <w:style w:type="paragraph" w:styleId="Title">
    <w:name w:val="Title"/>
    <w:basedOn w:val="Normal"/>
    <w:next w:val="Normal"/>
    <w:link w:val="TitleChar"/>
    <w:uiPriority w:val="10"/>
    <w:qFormat/>
    <w:rsid w:val="00665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E47"/>
    <w:pPr>
      <w:spacing w:before="160"/>
      <w:jc w:val="center"/>
    </w:pPr>
    <w:rPr>
      <w:i/>
      <w:iCs/>
      <w:color w:val="404040" w:themeColor="text1" w:themeTint="BF"/>
    </w:rPr>
  </w:style>
  <w:style w:type="character" w:customStyle="1" w:styleId="QuoteChar">
    <w:name w:val="Quote Char"/>
    <w:basedOn w:val="DefaultParagraphFont"/>
    <w:link w:val="Quote"/>
    <w:uiPriority w:val="29"/>
    <w:rsid w:val="00665E47"/>
    <w:rPr>
      <w:i/>
      <w:iCs/>
      <w:color w:val="404040" w:themeColor="text1" w:themeTint="BF"/>
    </w:rPr>
  </w:style>
  <w:style w:type="paragraph" w:styleId="ListParagraph">
    <w:name w:val="List Paragraph"/>
    <w:basedOn w:val="Normal"/>
    <w:uiPriority w:val="34"/>
    <w:qFormat/>
    <w:rsid w:val="00665E47"/>
    <w:pPr>
      <w:ind w:left="720"/>
      <w:contextualSpacing/>
    </w:pPr>
  </w:style>
  <w:style w:type="character" w:styleId="IntenseEmphasis">
    <w:name w:val="Intense Emphasis"/>
    <w:basedOn w:val="DefaultParagraphFont"/>
    <w:uiPriority w:val="21"/>
    <w:qFormat/>
    <w:rsid w:val="00665E47"/>
    <w:rPr>
      <w:i/>
      <w:iCs/>
      <w:color w:val="0F4761" w:themeColor="accent1" w:themeShade="BF"/>
    </w:rPr>
  </w:style>
  <w:style w:type="paragraph" w:styleId="IntenseQuote">
    <w:name w:val="Intense Quote"/>
    <w:basedOn w:val="Normal"/>
    <w:next w:val="Normal"/>
    <w:link w:val="IntenseQuoteChar"/>
    <w:uiPriority w:val="30"/>
    <w:qFormat/>
    <w:rsid w:val="00665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E47"/>
    <w:rPr>
      <w:i/>
      <w:iCs/>
      <w:color w:val="0F4761" w:themeColor="accent1" w:themeShade="BF"/>
    </w:rPr>
  </w:style>
  <w:style w:type="character" w:styleId="IntenseReference">
    <w:name w:val="Intense Reference"/>
    <w:basedOn w:val="DefaultParagraphFont"/>
    <w:uiPriority w:val="32"/>
    <w:qFormat/>
    <w:rsid w:val="00665E47"/>
    <w:rPr>
      <w:b/>
      <w:bCs/>
      <w:smallCaps/>
      <w:color w:val="0F4761" w:themeColor="accent1" w:themeShade="BF"/>
      <w:spacing w:val="5"/>
    </w:rPr>
  </w:style>
  <w:style w:type="paragraph" w:styleId="NoSpacing">
    <w:name w:val="No Spacing"/>
    <w:uiPriority w:val="1"/>
    <w:qFormat/>
    <w:rsid w:val="00FE52E9"/>
    <w:pPr>
      <w:spacing w:after="0" w:line="240" w:lineRule="auto"/>
    </w:pPr>
  </w:style>
  <w:style w:type="character" w:styleId="Hyperlink">
    <w:name w:val="Hyperlink"/>
    <w:basedOn w:val="DefaultParagraphFont"/>
    <w:uiPriority w:val="99"/>
    <w:unhideWhenUsed/>
    <w:rsid w:val="00FE52E9"/>
    <w:rPr>
      <w:color w:val="467886" w:themeColor="hyperlink"/>
      <w:u w:val="single"/>
    </w:rPr>
  </w:style>
  <w:style w:type="paragraph" w:styleId="Footer">
    <w:name w:val="footer"/>
    <w:basedOn w:val="Normal"/>
    <w:link w:val="FooterChar"/>
    <w:uiPriority w:val="99"/>
    <w:unhideWhenUsed/>
    <w:rsid w:val="00FE52E9"/>
    <w:pPr>
      <w:tabs>
        <w:tab w:val="center" w:pos="4680"/>
        <w:tab w:val="right" w:pos="9360"/>
      </w:tabs>
      <w:spacing w:after="0" w:line="240" w:lineRule="auto"/>
    </w:pPr>
    <w:rPr>
      <w:rFonts w:ascii="Arial" w:eastAsia="Arial" w:hAnsi="Arial" w:cs="Arial"/>
      <w:kern w:val="0"/>
      <w:szCs w:val="22"/>
      <w:lang w:val="en"/>
      <w14:ligatures w14:val="none"/>
    </w:rPr>
  </w:style>
  <w:style w:type="character" w:customStyle="1" w:styleId="FooterChar">
    <w:name w:val="Footer Char"/>
    <w:basedOn w:val="DefaultParagraphFont"/>
    <w:link w:val="Footer"/>
    <w:uiPriority w:val="99"/>
    <w:rsid w:val="00FE52E9"/>
    <w:rPr>
      <w:rFonts w:ascii="Arial" w:eastAsia="Arial" w:hAnsi="Arial" w:cs="Arial"/>
      <w:kern w:val="0"/>
      <w:szCs w:val="22"/>
      <w:lang w:val="en"/>
      <w14:ligatures w14:val="none"/>
    </w:rPr>
  </w:style>
  <w:style w:type="paragraph" w:styleId="Caption">
    <w:name w:val="caption"/>
    <w:basedOn w:val="Normal"/>
    <w:next w:val="Normal"/>
    <w:autoRedefine/>
    <w:uiPriority w:val="35"/>
    <w:unhideWhenUsed/>
    <w:qFormat/>
    <w:rsid w:val="00FE52E9"/>
    <w:pPr>
      <w:spacing w:after="200" w:line="240" w:lineRule="auto"/>
    </w:pPr>
    <w:rPr>
      <w:rFonts w:ascii="Arial" w:eastAsia="Arial" w:hAnsi="Arial" w:cs="Arial"/>
      <w:i/>
      <w:iCs/>
      <w:color w:val="000000" w:themeColor="text1"/>
      <w:kern w:val="0"/>
      <w:szCs w:val="18"/>
      <w:lang w:val="en"/>
      <w14:ligatures w14:val="none"/>
    </w:rPr>
  </w:style>
  <w:style w:type="character" w:styleId="LineNumber">
    <w:name w:val="line number"/>
    <w:basedOn w:val="DefaultParagraphFont"/>
    <w:uiPriority w:val="99"/>
    <w:semiHidden/>
    <w:unhideWhenUsed/>
    <w:rsid w:val="006A2AE1"/>
  </w:style>
  <w:style w:type="character" w:styleId="UnresolvedMention">
    <w:name w:val="Unresolved Mention"/>
    <w:basedOn w:val="DefaultParagraphFont"/>
    <w:uiPriority w:val="99"/>
    <w:semiHidden/>
    <w:unhideWhenUsed/>
    <w:rsid w:val="00A91EEC"/>
    <w:rPr>
      <w:color w:val="605E5C"/>
      <w:shd w:val="clear" w:color="auto" w:fill="E1DFDD"/>
    </w:rPr>
  </w:style>
  <w:style w:type="paragraph" w:styleId="Header">
    <w:name w:val="header"/>
    <w:basedOn w:val="Normal"/>
    <w:link w:val="HeaderChar"/>
    <w:uiPriority w:val="99"/>
    <w:unhideWhenUsed/>
    <w:rsid w:val="00E52C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38367">
      <w:bodyDiv w:val="1"/>
      <w:marLeft w:val="0"/>
      <w:marRight w:val="0"/>
      <w:marTop w:val="0"/>
      <w:marBottom w:val="0"/>
      <w:divBdr>
        <w:top w:val="none" w:sz="0" w:space="0" w:color="auto"/>
        <w:left w:val="none" w:sz="0" w:space="0" w:color="auto"/>
        <w:bottom w:val="none" w:sz="0" w:space="0" w:color="auto"/>
        <w:right w:val="none" w:sz="0" w:space="0" w:color="auto"/>
      </w:divBdr>
    </w:div>
    <w:div w:id="2035761526">
      <w:bodyDiv w:val="1"/>
      <w:marLeft w:val="0"/>
      <w:marRight w:val="0"/>
      <w:marTop w:val="0"/>
      <w:marBottom w:val="0"/>
      <w:divBdr>
        <w:top w:val="none" w:sz="0" w:space="0" w:color="auto"/>
        <w:left w:val="none" w:sz="0" w:space="0" w:color="auto"/>
        <w:bottom w:val="none" w:sz="0" w:space="0" w:color="auto"/>
        <w:right w:val="none" w:sz="0" w:space="0" w:color="auto"/>
      </w:divBdr>
      <w:divsChild>
        <w:div w:id="1600093319">
          <w:marLeft w:val="0"/>
          <w:marRight w:val="0"/>
          <w:marTop w:val="0"/>
          <w:marBottom w:val="0"/>
          <w:divBdr>
            <w:top w:val="none" w:sz="0" w:space="0" w:color="auto"/>
            <w:left w:val="none" w:sz="0" w:space="0" w:color="auto"/>
            <w:bottom w:val="none" w:sz="0" w:space="0" w:color="auto"/>
            <w:right w:val="none" w:sz="0" w:space="0" w:color="auto"/>
          </w:divBdr>
          <w:divsChild>
            <w:div w:id="130057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view.earthdata.nasa.gov/" TargetMode="External"/><Relationship Id="rId13" Type="http://schemas.openxmlformats.org/officeDocument/2006/relationships/hyperlink" Target="https://www.ndbc.noaa.gov/station_page.php?station=46042&amp;unit=E"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mjacox.com/upwelling-indices" TargetMode="Externa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aeronet.gsfc.nasa.gov/new_web/index.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sl.noaa.gov/enso/mei/" TargetMode="External"/><Relationship Id="rId23" Type="http://schemas.openxmlformats.org/officeDocument/2006/relationships/fontTable" Target="fontTable.xml"/><Relationship Id="rId10" Type="http://schemas.openxmlformats.org/officeDocument/2006/relationships/hyperlink" Target="http://akashiwo.oceandatacenter.ucsc.edu:8000/dashboard"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spg-satdata.ucsd.edu/MBay/MBay.htm" TargetMode="External"/><Relationship Id="rId14" Type="http://schemas.openxmlformats.org/officeDocument/2006/relationships/hyperlink" Target="https://waterdata.usgs.gov/monitoring-location/11161000"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49177-9D80-4D25-98C1-A86C5AFCE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13</Pages>
  <Words>16848</Words>
  <Characters>91827</Characters>
  <Application>Microsoft Office Word</Application>
  <DocSecurity>0</DocSecurity>
  <Lines>1412</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Dante Capone</dc:creator>
  <cp:keywords/>
  <dc:description/>
  <cp:lastModifiedBy>Dante Capone</cp:lastModifiedBy>
  <cp:revision>6</cp:revision>
  <dcterms:created xsi:type="dcterms:W3CDTF">2024-06-06T18:31:00Z</dcterms:created>
  <dcterms:modified xsi:type="dcterms:W3CDTF">2024-06-08T19:18:00Z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id="EdQ9Esk3"/&gt;&lt;style id="http://www.zotero.org/styles/harvard-cite-them-right" hasBibliography="1" bibliographyStyleHasBeenSet="0"/&gt;&lt;prefs&gt;&lt;pref name="fieldType" value="Field"/&gt;&lt;/prefs&gt;&lt;/data&gt;</vt:lpwstr>
  </property>
</Properties>
</file>