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711F0" w14:textId="7A4ACC6B" w:rsidR="00A5221C" w:rsidRPr="00F21896" w:rsidRDefault="00A5221C" w:rsidP="00A5221C">
      <w:pPr>
        <w:pStyle w:val="Heading1"/>
        <w:rPr>
          <w:rFonts w:asciiTheme="minorHAnsi" w:hAnsiTheme="minorHAnsi"/>
        </w:rPr>
      </w:pPr>
      <w:bookmarkStart w:id="0" w:name="_Toc150372306"/>
      <w:r w:rsidRPr="00F21896">
        <w:rPr>
          <w:rFonts w:asciiTheme="minorHAnsi" w:hAnsiTheme="minorHAnsi"/>
        </w:rPr>
        <w:t>Exploring Patterns in Zooplankton Diversity Across an Environmental Gradient Using a Modified Metabarcoding-Morphological Approach</w:t>
      </w:r>
      <w:bookmarkEnd w:id="0"/>
    </w:p>
    <w:p w14:paraId="22C7FD0E" w14:textId="77777777" w:rsidR="00A5221C" w:rsidRPr="00F21896" w:rsidRDefault="00A5221C" w:rsidP="00A5221C">
      <w:pPr>
        <w:rPr>
          <w:rFonts w:asciiTheme="minorHAnsi" w:hAnsiTheme="minorHAnsi"/>
        </w:rPr>
      </w:pPr>
      <w:r w:rsidRPr="00F21896">
        <w:rPr>
          <w:rFonts w:asciiTheme="minorHAnsi" w:hAnsiTheme="minorHAnsi"/>
        </w:rPr>
        <w:t>Co-authors: Hannah Budroe, Ramon Gallego, Stephanie Matthews, Michelle Nixon, Jeff Bowman, Moira Décima</w:t>
      </w:r>
    </w:p>
    <w:p w14:paraId="6D43C5E5" w14:textId="48D06030" w:rsidR="00A5221C" w:rsidRPr="00F21896" w:rsidRDefault="00A5221C" w:rsidP="00A5221C">
      <w:pPr>
        <w:pStyle w:val="Heading2"/>
        <w:rPr>
          <w:rFonts w:asciiTheme="minorHAnsi" w:hAnsiTheme="minorHAnsi"/>
        </w:rPr>
      </w:pPr>
      <w:r>
        <w:rPr>
          <w:rFonts w:asciiTheme="minorHAnsi" w:hAnsiTheme="minorHAnsi"/>
        </w:rPr>
        <w:t>Introduction</w:t>
      </w:r>
    </w:p>
    <w:p w14:paraId="5C0BCACA"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Marine zooplankton are a functionally and taxonomically diverse group, with pivotal roles in trophic transfer of primary production, biogeochemical cycling, and as indicators of environmental variability. Zooplankton biomass and diversity metrics have been deemed essential ocean variables (EOV’s) for monitoring ecosystem health by the Global Ocean Observing System. Due to non-linear responses to climate forcing, zooplankton may hold the potential to reveal information about climate change impacts on marine ecosystems that physical environmental variables do not </w:t>
      </w:r>
      <w:r w:rsidRPr="00F21896">
        <w:rPr>
          <w:rFonts w:asciiTheme="minorHAnsi" w:hAnsiTheme="minorHAnsi"/>
        </w:rPr>
        <w:fldChar w:fldCharType="begin"/>
      </w:r>
      <w:r w:rsidRPr="00F21896">
        <w:rPr>
          <w:rFonts w:asciiTheme="minorHAnsi" w:hAnsiTheme="minorHAnsi"/>
        </w:rPr>
        <w:instrText xml:space="preserve"> ADDIN ZOTERO_ITEM CSL_CITATION {"citationID":"xtc553dr","properties":{"formattedCitation":"(Taylor, Allen and Clark, 2002)","plainCitation":"(Taylor, Allen and Clark, 2002)","noteIndex":0},"citationItems":[{"id":656,"uris":["http://zotero.org/groups/5151425/items/U3DIHF3T"],"itemData":{"id":656,"type":"article-journal","abstract":"The complexity of ecosystems can cause subtle1 and chaotic responses to changes in external forcing2. Although ecosystems may not normally behave chaotically3, sensitivity to external influences associated with nonlinearity can lead to amplification of climatic signals. Strong correlations between an El Niño index and rainfall and maize yield in Zimbabwe have been demonstrated4; the correlation with maize yield was stronger than that with rainfall. A second example is the 100,000-year ice-age cycle, which may arise from a weak cycle in radiation through its influence on the concentration of atmospheric CO2 (ref. 5). Such integration of a weak climatic signal has yet to be demonstrated in a realistic theoretical system. Here we use a particular climatic phenomenon—the observed association between plankton populations around the UK and the position of the Gulf Stream6,7—as a probe to demonstrate how a detailed marine ecosystem model extracts a weak signal that is spread across different meteorological variables. Biological systems may therefore respond to climatic signals other than those that dominate the driving variables.","container-title":"Nature","DOI":"10.1038/416629a","ISSN":"1476-4687","issue":"6881","language":"en","license":"2002 Springer Nature Limited","note":"number: 6881\npublisher: Nature Publishing Group","page":"629-632","source":"www.nature.com","title":"Extraction of a weak climatic signal by an ecosystem","volume":"416","author":[{"family":"Taylor","given":"Arnold H."},{"family":"Allen","given":"J. Icarus"},{"family":"Clark","given":"Paul A."}],"issued":{"date-parts":[["2002",4]]}}}],"schema":"https://github.com/citation-style-language/schema/raw/master/csl-citation.json"}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(Taylor, Allen and Clark, 2002)</w:t>
      </w:r>
      <w:r w:rsidRPr="00F21896">
        <w:rPr>
          <w:rFonts w:asciiTheme="minorHAnsi" w:hAnsiTheme="minorHAnsi"/>
        </w:rPr>
        <w:fldChar w:fldCharType="end"/>
      </w:r>
    </w:p>
    <w:p w14:paraId="4B6F971A"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A wealth of research in the CCE has established the importance of the ecological functions zooplankton provide through top-down regulation of phytoplankton growth and contribution to carbon export. Seasonal and interannual changes in productivity due to upwelling and large-scale climate events such as El Niño have been shown to alter zooplankton community composition and dynamics, coherent across both the Southern and Central CCE </w:t>
      </w:r>
      <w:r w:rsidRPr="00F21896">
        <w:rPr>
          <w:rFonts w:asciiTheme="minorHAnsi" w:hAnsiTheme="minorHAnsi"/>
        </w:rPr>
        <w:fldChar w:fldCharType="begin"/>
      </w:r>
      <w:r w:rsidRPr="00F21896">
        <w:rPr>
          <w:rFonts w:asciiTheme="minorHAnsi" w:hAnsiTheme="minorHAnsi"/>
        </w:rPr>
        <w:instrText xml:space="preserve"> ADDIN ZOTERO_ITEM CSL_CITATION {"citationID":"HvPGOxG3","properties":{"formattedCitation":"(Lavaniegos and Ohman, 2007; Lilly and Ohman, 2018)","plainCitation":"(Lavaniegos and Ohman, 2007; Lilly and Ohman, 2018)","noteIndex":0},"citationItems":[{"id":685,"uris":["http://zotero.org/groups/5151425/items/25NZVMG2"],"itemData":{"id":685,"type":"article-journal","abstract":"We analyzed long-term (56-year) variations in springtime biomass of the zooplankton of the California Current System from two primary regions sampled by CalCOFI: Southern California (SC) and Central California (CC) waters. All organisms were enumerated from the plankton samples and converted to organic carbon biomass using length–carbon relationships, then aggregated into 19 major taxa. Planktonic copepods dominate the carbon biomass in both SC (59%) and CC (46%), followed by euphausiids (18% and 25% of mean biomass in SC and CC, respectively). Pelagic tunicates, especially salps and doliolids, constituted a higher fraction of the biomass in CC (13%) than in SC (5%). There was no long-term trend detectable in total zooplankton carbon biomass, in marked contrast to a decline in zooplankton displacement volume in both regions. The difference between these biomass metrics is accounted for by a long-term decline in pelagic tunicates (particularly salps), which have a relatively high ratio of biovolume:carbon. The decline in pelagic tunicates was accompanied by a long-term increase in water column density stratification. No other taxa showed a decline over the duration of the study, apart from salps and pyrosomes in SC and doliolids in CC. Some zooplankton taxa showed compensatory increases over the same time period (ostracods, large decapods, and calycophoran siphonophores in both SC and CC; appendicularians and polychaetes in SC). Two tests for ecosystem shifts, a sequential algorithm and the cumulative sum of anomalies (CuSum) approach, failed to detect changes in 1976–1977 in total carbon biomass, displacement volume, or most individual major taxa, suggesting that aggregated biomass is an insensitive indicator of climate forcing. In contrast, both techniques revealed a cluster of step-like changes associated with the La Niña of 1999. The major El Niño’s in the past half century have consistently depressed total zooplankton biomass and biomass of many major taxa in both SC and CC, although such effects are transitory. Much, but not all, of the interannual variability in zooplankton is shared between the Southern and Central California sectors of the California Current System.","container-title":"Progress in Oceanography","DOI":"10.1016/j.pocean.2007.07.002","ISSN":"0079-6611","issue":"1","journalAbbreviation":"Progress in Oceanography","page":"42-69","source":"ScienceDirect","title":"Coherence of long-term variations of zooplankton in two sectors of the California Current System","volume":"75","author":[{"family":"Lavaniegos","given":"Bertha E."},{"family":"Ohman","given":"Mark D."}],"issued":{"date-parts":[["2007",10,1]]}}},{"id":547,"uris":["http://zotero.org/groups/5151425/items/D9QJA4TL"],"itemData":{"id":547,"type":"article-journal","abstract":"We analyzed seven El Niño events (springs 1958–59, 1983, 1992–93, 1998, 2003, 2010, and 2016) and the 2014–15 Pacific Warm Anomaly (spring 2015) for their impacts on zooplankton biomass and community composition in the southern sector of the California Current System (CCS). Although total mesozooplankton carbon biomass was only modestly affected during El Niño springs, community composition changed substantially. Carbon biomass of five major zooplankton taxa correlated negatively with San Diego sea level anomaly (SDSLA), a regional metric of El Niño physical impacts in the CCS. Additional taxa were negatively related to SDSLA via a time-lagged response reflected in an autoregressive-1 (AR-1) model. All five SDSLA-correlated taxa decreased in carbon biomass during most El Niño years compared to the surrounding years; the exception was the mild event of 2003. Principal Component Analysis revealed coherent species-level responses to El Niño within the euphausiids, copepods, and hyperiid amphipods. Percent similarity index (PSI) comparisons showed pronounced changes in the compositions of euphausiid and, to a lesser extent, calanoid copepod communities during El Niño. By grouping El Niños into Eastern Pacific (EP) versus Central Pacific (CP) events based on their expressions along the equator, we found that CCS zooplankton assemblages showed a tendency toward greater changes in species composition during EP than CP El Niños, although we had low statistical power for these comparisons. Several species showed consistent biomass changes across La Niña events as well, generally opposite in sign to El Niño responses, but overall community composition showed minimal change during La Niña. Carbon biomass and community composition returned to pre-Niño levels within 1–2 years following almost every event, suggesting high resilience of southern CCS zooplankton to El Niño perturbations to date.","container-title":"Deep Sea Research Part I: Oceanographic Research Papers","DOI":"10.1016/j.dsr.2018.07.015","ISSN":"0967-0637","journalAbbreviation":"Deep Sea Research Part I: Oceanographic Research Papers","page":"36-51","source":"ScienceDirect","title":"CCE IV: El Niño-related zooplankton variability in the southern California Current System","title-short":"CCE IV","volume":"140","author":[{"family":"Lilly","given":"Laura E."},{"family":"Ohman","given":"Mark D."}],"issued":{"date-parts":[["2018",10,1]]}}}],"schema":"https://github.com/citation-style-language/schema/raw/master/csl-citation.json"}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(Lavaniegos and Ohman, 2007; Lilly and Ohman, 2018)</w:t>
      </w:r>
      <w:r w:rsidRPr="00F21896">
        <w:rPr>
          <w:rFonts w:asciiTheme="minorHAnsi" w:hAnsiTheme="minorHAnsi"/>
        </w:rPr>
        <w:fldChar w:fldCharType="end"/>
      </w:r>
      <w:r w:rsidRPr="00F21896">
        <w:rPr>
          <w:rFonts w:asciiTheme="minorHAnsi" w:hAnsiTheme="minorHAnsi"/>
        </w:rPr>
        <w:t xml:space="preserve">. These disturbances propagate throughout food webs, altering the flow of energy and carbon and can persist for several years </w:t>
      </w:r>
      <w:r w:rsidRPr="00F21896">
        <w:rPr>
          <w:rFonts w:asciiTheme="minorHAnsi" w:hAnsiTheme="minorHAnsi"/>
        </w:rPr>
        <w:fldChar w:fldCharType="begin"/>
      </w:r>
      <w:r w:rsidRPr="00F21896">
        <w:rPr>
          <w:rFonts w:asciiTheme="minorHAnsi" w:hAnsiTheme="minorHAnsi"/>
        </w:rPr>
        <w:instrText xml:space="preserve"> ADDIN ZOTERO_ITEM CSL_CITATION {"citationID":"1bfmzj8Y","properties":{"formattedCitation":"(Lavaniegos and Ohman, 2007; D\\uc0\\u233{}cima, Landry and Popp, 2013)","plainCitation":"(Lavaniegos and Ohman, 2007; Décima, Landry and Popp, 2013)","noteIndex":0},"citationItems":[{"id":685,"uris":["http://zotero.org/groups/5151425/items/25NZVMG2"],"itemData":{"id":685,"type":"article-journal","abstract":"We analyzed long-term (56-year) variations in springtime biomass of the zooplankton of the California Current System from two primary regions sampled by CalCOFI: Southern California (SC) and Central California (CC) waters. All organisms were enumerated from the plankton samples and converted to organic carbon biomass using length–carbon relationships, then aggregated into 19 major taxa. Planktonic copepods dominate the carbon biomass in both SC (59%) and CC (46%), followed by euphausiids (18% and 25% of mean biomass in SC and CC, respectively). Pelagic tunicates, especially salps and doliolids, constituted a higher fraction of the biomass in CC (13%) than in SC (5%). There was no long-term trend detectable in total zooplankton carbon biomass, in marked contrast to a decline in zooplankton displacement volume in both regions. The difference between these biomass metrics is accounted for by a long-term decline in pelagic tunicates (particularly salps), which have a relatively high ratio of biovolume:carbon. The decline in pelagic tunicates was accompanied by a long-term increase in water column density stratification. No other taxa showed a decline over the duration of the study, apart from salps and pyrosomes in SC and doliolids in CC. Some zooplankton taxa showed compensatory increases over the same time period (ostracods, large decapods, and calycophoran siphonophores in both SC and CC; appendicularians and polychaetes in SC). Two tests for ecosystem shifts, a sequential algorithm and the cumulative sum of anomalies (CuSum) approach, failed to detect changes in 1976–1977 in total carbon biomass, displacement volume, or most individual major taxa, suggesting that aggregated biomass is an insensitive indicator of climate forcing. In contrast, both techniques revealed a cluster of step-like changes associated with the La Niña of 1999. The major El Niño’s in the past half century have consistently depressed total zooplankton biomass and biomass of many major taxa in both SC and CC, although such effects are transitory. Much, but not all, of the interannual variability in zooplankton is shared between the Southern and Central California sectors of the California Current System.","container-title":"Progress in Oceanography","DOI":"10.1016/j.pocean.2007.07.002","ISSN":"0079-6611","issue":"1","journalAbbreviation":"Progress in Oceanography","page":"42-69","source":"ScienceDirect","title":"Coherence of long-term variations of zooplankton in two sectors of the California Current System","volume":"75","author":[{"family":"Lavaniegos","given":"Bertha E."},{"family":"Ohman","given":"Mark D."}],"issued":{"date-parts":[["2007",10,1]]}}},{"id":569,"uris":["http://zotero.org/groups/5151425/items/5SJ7T7T3"],"itemData":{"id":569,"type":"article-journal","abstract":"Nitrogen isotopic compositions of zooplankton in the California Current Ecosystem (CCE) are known to vary over inter-annual scales of climate variability, but the extent to which those changes are driven by variations in baseline phytoplankton δ15N values vs. zooplankton trophic position (TP) is poorly resolved. We use field samples collected during a large natural environmental perturbation, the 1998–1999 alternation between El Niño and La Niña states, to test the ability of large dominant CCE zooplankton Euphausia pacifica and Calanus pacificus to alter their TPs in response to environmental variability. To distinguish trophic changes from variations of δ15N values at the base of the food web, the zooplankton were assayed by Compound Specific Isotope Analysis of Amino Acids (CSIA-AA). Linear mixed-effect models were developed to utilize data from all amino acids (AAs), providing greater statistical power than the typical CSIA-AA approach of using only phenylalanine and glutamic acid. We confirm a significant 15N enrichment of </w:instrText>
      </w:r>
      <w:r w:rsidRPr="00F21896">
        <w:rPr>
          <w:rFonts w:asciiTheme="minorHAnsi" w:hAnsiTheme="minorHAnsi" w:cs="Cambria Math"/>
        </w:rPr>
        <w:instrText>∼</w:instrText>
      </w:r>
      <w:r w:rsidRPr="00F21896">
        <w:rPr>
          <w:rFonts w:asciiTheme="minorHAnsi" w:hAnsiTheme="minorHAnsi"/>
        </w:rPr>
        <w:instrText xml:space="preserve"> 2‰ at the base of the food web for all AAs and all zooplankton groups during the 1998 El Niño. This baseline enrichment in 15N has been speculated to occur during El Niño events but never conclusively shown. We also demonstrate a significantly elevated TP, implying increased carnivory during 1998, for E. pacifica while C. pacificus did not alter their TP between years. Lastly, TPs calculated from the standard CSIA-AA equation with laboratory-derived constants gave unrealistically low estimates, suggesting an assessment of these variables in situ is needed for an accurate application in natural systems.","container-title":"Limnology and Oceanography","DOI":"10.4319/lo.2013.58.2.0624","ISSN":"1939-5590","issue":"2","language":"en","note":"_eprint: https://onlinelibrary.wiley.com/doi/pdf/10.4319/lo.2013.58.2.0624","page":"624-634","source":"Wiley Online Library","title":"Environmental perturbation effects on baseline δ15N values and zooplankton trophic flexibility in the southern California Current Ecosystem","volume":"58","author":[{"family":"Décima","given":"Moira"},{"family":"Landry","given":"Michael R."},{"family":"Popp","given":"Brian N."}],"issued":{"date-parts":[["2013"]]}}}],"schema":"https://github.com/citation-style-language/schema/raw/master/csl-citation.json"}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(Lavaniegos and Ohman, 2007; Décima, Landry and Popp, 2013)</w:t>
      </w:r>
      <w:r w:rsidRPr="00F21896">
        <w:rPr>
          <w:rFonts w:asciiTheme="minorHAnsi" w:hAnsiTheme="minorHAnsi"/>
        </w:rPr>
        <w:fldChar w:fldCharType="end"/>
      </w:r>
      <w:r w:rsidRPr="00F21896">
        <w:rPr>
          <w:rFonts w:asciiTheme="minorHAnsi" w:hAnsiTheme="minorHAnsi"/>
        </w:rPr>
        <w:t xml:space="preserve">. Zooplankton may exhibit species or taxon-specific responses to climate events in the CCE, for instance calanoid copepod species do not respond consistently to El Niño events </w:t>
      </w:r>
      <w:r w:rsidRPr="00F21896">
        <w:rPr>
          <w:rFonts w:asciiTheme="minorHAnsi" w:hAnsiTheme="minorHAnsi"/>
        </w:rPr>
        <w:fldChar w:fldCharType="begin"/>
      </w:r>
      <w:r w:rsidRPr="00F21896">
        <w:rPr>
          <w:rFonts w:asciiTheme="minorHAnsi" w:hAnsiTheme="minorHAnsi"/>
        </w:rPr>
        <w:instrText xml:space="preserve"> ADDIN ZOTERO_ITEM CSL_CITATION {"citationID":"S73JzGdv","properties":{"formattedCitation":"(Rebstock, 2002; Lilly and Ohman, 2018)","plainCitation":"(Rebstock, 2002; Lilly and Ohman, 2018)","noteIndex":0},"citationItems":[{"id":691,"uris":["http://zotero.org/groups/5151425/items/ZK9C7L2R"],"itemData":{"id":691,"type":"article-journal","abstract":"Decadal-scale climatic regimes and the shifts between them have important impacts on marine ecosystems. Climatic regime shifts have been observed or hypothesized in the North Pacific basin in 1976–77 and 1989. This paper examines long-term (1951–99) trends in calanoid copepod populations off southern California, and the evidence for responses to regime shifts. Most of the species of calanoid copepod that were analysed underwent one or more step changes during the 49 years covered by the study. All but one of these changes occurred in five periods: the late 1950s, late 1960s, mid-1970s, early 1980s and around 1990. The late 1960s changes are considered to be artifacts of an increase in sampling depth. Strong El Niño conditions affected California waters during the late 1950s and early 1980s. The step changes of the mid-1970s and late 1980s to early 1990s may have been responses to regime shifts or other climatic events. 28% of the species and subspecies responded to the 1976–77 event, all increasing in abundance. Another 28% of the copepod categories underwent step changes around 1990, most decreasing. Evidence for regime shifts in the hydrographic variables that were examined is mixed. The 10-m temperature increased in the mid-1970s. Abrupt changes in variables around 1990 were short-lived. However, the population responses around 1990 and to the El Niños of the late 1950s and early 1980s indicate that some species of calanoid copepods may respond on longer time scales to environmental conditions that persist only a few years.","container-title":"Global Change Biology","DOI":"10.1046/j.1365-2486.2002.00456.x","ISSN":"1365-2486","issue":"1","language":"en","note":"_eprint: https://onlinelibrary.wiley.com/doi/pdf/10.1046/j.1365-2486.2002.00456.x","page":"71-89","source":"Wiley Online Library","title":"Climatic regime shifts and decadal-scale variability in calanoid copepod populations off southern California","volume":"8","author":[{"family":"Rebstock","given":"Ginger A."}],"issued":{"date-parts":[["2002"]]}}},{"id":547,"uris":["http://zotero.org/groups/5151425/items/D9QJA4TL"],"itemData":{"id":547,"type":"article-journal","abstract":"We analyzed seven El Niño events (springs 1958–59, 1983, 1992–93, 1998, 2003, 2010, and 2016) and the 2014–15 Pacific Warm Anomaly (spring 2015) for their impacts on zooplankton biomass and community composition in the southern sector of the California Current System (CCS). Although total mesozooplankton carbon biomass was only modestly affected during El Niño springs, community composition changed substantially. Carbon biomass of five major zooplankton taxa correlated negatively with San Diego sea level anomaly (SDSLA), a regional metric of El Niño physical impacts in the CCS. Additional taxa were negatively related to SDSLA via a time-lagged response reflected in an autoregressive-1 (AR-1) model. All five SDSLA-correlated taxa decreased in carbon biomass during most El Niño years compared to the surrounding years; the exception was the mild event of 2003. Principal Component Analysis revealed coherent species-level responses to El Niño within the euphausiids, copepods, and hyperiid amphipods. Percent similarity index (PSI) comparisons showed pronounced changes in the compositions of euphausiid and, to a lesser extent, calanoid copepod communities during El Niño. By grouping El Niños into Eastern Pacific (EP) versus Central Pacific (CP) events based on their expressions along the equator, we found that CCS zooplankton assemblages showed a tendency toward greater changes in species composition during EP than CP El Niños, although we had low statistical power for these comparisons. Several species showed consistent biomass changes across La Niña events as well, generally opposite in sign to El Niño responses, but overall community composition showed minimal change during La Niña. Carbon biomass and community composition returned to pre-Niño levels within 1–2 years following almost every event, suggesting high resilience of southern CCS zooplankton to El Niño perturbations to date.","container-title":"Deep Sea Research Part I: Oceanographic Research Papers","DOI":"10.1016/j.dsr.2018.07.015","ISSN":"0967-0637","journalAbbreviation":"Deep Sea Research Part I: Oceanographic Research Papers","page":"36-51","source":"ScienceDirect","title":"CCE IV: El Niño-related zooplankton variability in the southern California Current System","title-short":"CCE IV","volume":"140","author":[{"family":"Lilly","given":"Laura E."},{"family":"Ohman","given":"Mark D."}],"issued":{"date-parts":[["2018",10,1]]}}}],"schema":"https://github.com/citation-style-language/schema/raw/master/csl-citation.json"}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(Rebstock, 2002; Lilly and Ohman, 2018)</w:t>
      </w:r>
      <w:r w:rsidRPr="00F21896">
        <w:rPr>
          <w:rFonts w:asciiTheme="minorHAnsi" w:hAnsiTheme="minorHAnsi"/>
        </w:rPr>
        <w:fldChar w:fldCharType="end"/>
      </w:r>
      <w:r w:rsidRPr="00F21896">
        <w:rPr>
          <w:rFonts w:asciiTheme="minorHAnsi" w:hAnsiTheme="minorHAnsi"/>
        </w:rPr>
        <w:t xml:space="preserve">. Zooplankton exhibit a diversity of life history strategies which dictate the timescales of forcing to which they respond </w:t>
      </w:r>
      <w:r w:rsidRPr="00F21896">
        <w:rPr>
          <w:rFonts w:asciiTheme="minorHAnsi" w:hAnsiTheme="minorHAnsi"/>
        </w:rPr>
        <w:fldChar w:fldCharType="begin"/>
      </w:r>
      <w:r w:rsidRPr="00F21896">
        <w:rPr>
          <w:rFonts w:asciiTheme="minorHAnsi" w:hAnsiTheme="minorHAnsi"/>
        </w:rPr>
        <w:instrText xml:space="preserve"> ADDIN ZOTERO_ITEM CSL_CITATION {"citationID":"Pgjw28gH","properties":{"formattedCitation":"(Di Lorenzo and Ohman, 2013)","plainCitation":"(Di Lorenzo and Ohman, 2013)","noteIndex":0},"citationItems":[{"id":407,"uris":["http://zotero.org/groups/2595191/items/F5UXPCIR"],"itemData":{"id":407,"type":"article-journal","abstract":"Long-term time series of marine ecological indicators often are characterized by large-amplitude state transitions that can persist for decades. Understanding the significance of these variations depends critically on the underlying hypotheses characterizing expected natural variability. Using a linear autoregressive model in combination with long-term zooplankton observations off the California coast, we show that cumulative integrations of white-noise atmospheric forcing can generate marine population responses that are characterized by strong transitions and prolonged apparent state changes. This model provides a baseline hypothesis for explaining ecosystem variability and for interpreting the significance of abrupt responses and climate change signatures in marine ecosystems.","container-title":"Proceedings of the National Academy of Sciences of the United States of America","DOI":"10.1073/pnas.1218022110","ISSN":"0027-8424","issue":"7","language":"en","page":"2496-2499","source":"escholarship.org","title":"A double-integration hypothesis to explain ocean ecosystem response to climate forcing.","volume":"110","author":[{"family":"Di Lorenzo","given":"Emanuele"},{"family":"Ohman","given":"Mark D."}],"issued":{"date-parts":[["2013",2,1]]}}}],"schema":"https://github.com/citation-style-language/schema/raw/master/csl-citation.json"}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(Di Lorenzo and Ohman, 2013)</w:t>
      </w:r>
      <w:r w:rsidRPr="00F21896">
        <w:rPr>
          <w:rFonts w:asciiTheme="minorHAnsi" w:hAnsiTheme="minorHAnsi"/>
        </w:rPr>
        <w:fldChar w:fldCharType="end"/>
      </w:r>
      <w:r w:rsidRPr="00F21896">
        <w:rPr>
          <w:rFonts w:asciiTheme="minorHAnsi" w:hAnsiTheme="minorHAnsi"/>
        </w:rPr>
        <w:t xml:space="preserve">. Although few zooplankton time series are collected at a sufficient frequency to be able to resolve seasonal variability on annual timescales, longer time series and comparative measurements between adjacent years have shown seasonal shifts in community composition </w:t>
      </w:r>
      <w:r w:rsidRPr="00F21896">
        <w:rPr>
          <w:rFonts w:asciiTheme="minorHAnsi" w:hAnsiTheme="minorHAnsi"/>
        </w:rPr>
        <w:fldChar w:fldCharType="begin"/>
      </w:r>
      <w:r w:rsidRPr="00F21896">
        <w:rPr>
          <w:rFonts w:asciiTheme="minorHAnsi" w:hAnsiTheme="minorHAnsi"/>
        </w:rPr>
        <w:instrText xml:space="preserve"> ADDIN ZOTERO_ITEM CSL_CITATION {"citationID":"j0ubXAwM","properties":{"formattedCitation":"(Brinton and Townsend, 2003, 2003)","plainCitation":"(Brinton and Townsend, 2003, 2003)","noteIndex":0},"citationItems":[{"id":758,"uris":["http://zotero.org/groups/5151425/items/QJT5K6CN"],"itemData":{"id":758,"type":"article-journal","abstract":"Euphausiid abundance data from broadly based California Cooperative Oceanic Fisheries Investigation surveys in California and Baja California sectors of the California Current provided a time series distinguishing periodic, rhythmic and irregular species patterns. Comparisons with environmental indexes indicate significant correlations with warm-water species, most notably in coastal Nyctiphanes simplex. Oceanic warm-water species were similarly, but less extremely, allied with an index. Coastal warm-water N. simplex was uncommon off southern California before the atmospheric regime shift of the 1970s. It assumed a post-1978 pattern of rhythmic biannual abundance increases and decreases during 1981–2000. The near-tropical oceanic Euphausia eximia and Pacific Central subtropicals patterned similarly, but was more periodic than rhythmic. Euphausia pacifica, the most dominant and broadly ranging Euphausia species, peaked at irregular but distinct bi-decadal abundances during 6 strong La Niña episodes. The peaks uniformly collapsed by 90%, becoming El Niño-associated minima. The cold-water coastal northern species Thysanoessa spinifera frequently ranged far south off Baja California before 1960 but became limited to Central California in the 1980s. The importance of T. spinifera off the Californias is small compared with northern regions, but it extends to southern upwelling centers contributing to dominance, here, by cold-water euphausiids. Decadal periodicity of species abundances decreased in the 1990s, when trends became more common. Differences among sectors were minimal between the two Californias, but were often distinct between southern California and Central Baja California. Species abundances, comparing pre- and post-climate shift species averages, differed insignificantly for all species when logarithmic values were used. With arithmetic values, most 1977–1998 average values were the greater, but with large standard deviations.","collection-title":"CalCOFI: A Half Century of Physical, Chemical and Biological Research in the California Current System","container-title":"Deep Sea Research Part II: Topical Studies in Oceanography","DOI":"10.1016/S0967-0645(03)00126-7","ISSN":"0967-0645","issue":"14","journalAbbreviation":"Deep Sea Research Part II: Topical Studies in Oceanography","page":"2449-2472","source":"ScienceDirect","title":"Decadal variability in abundances of the dominant euphausiid species in southern sectors of the California Current","volume":"50","author":[{"family":"Brinton","given":"Edward"},{"family":"Townsend","given":"Annie"}],"issued":{"date-parts":[["2003",8,1]]}}},{"id":758,"uris":["http://zotero.org/groups/5151425/items/QJT5K6CN"],"itemData":{"id":758,"type":"article-journal","abstract":"Euphausiid abundance data from broadly based California Cooperative Oceanic Fisheries Investigation surveys in California and Baja California sectors of the California Current provided a time series distinguishing periodic, rhythmic and irregular species patterns. Comparisons with environmental indexes indicate significant correlations with warm-water species, most notably in coastal Nyctiphanes simplex. Oceanic warm-water species were similarly, but less extremely, allied with an index. Coastal warm-water N. simplex was uncommon off southern California before the atmospheric regime shift of the 1970s. It assumed a post-1978 pattern of rhythmic biannual abundance increases and decreases during 1981–2000. The near-tropical oceanic Euphausia eximia and Pacific Central subtropicals patterned similarly, but was more periodic than rhythmic. Euphausia pacifica, the most dominant and broadly ranging Euphausia species, peaked at irregular but distinct bi-decadal abundances during 6 strong La Niña episodes. The peaks uniformly collapsed by 90%, becoming El Niño-associated minima. The cold-water coastal northern species Thysanoessa spinifera frequently ranged far south off Baja California before 1960 but became limited to Central California in the 1980s. The importance of T. spinifera off the Californias is small compared with northern regions, but it extends to southern upwelling centers contributing to dominance, here, by cold-water euphausiids. Decadal periodicity of species abundances decreased in the 1990s, when trends became more common. Differences among sectors were minimal between the two Californias, but were often distinct between southern California and Central Baja California. Species abundances, comparing pre- and post-climate shift species averages, differed insignificantly for all species when logarithmic values were used. With arithmetic values, most 1977–1998 average values were the greater, but with large standard deviations.","collection-title":"CalCOFI: A Half Century of Physical, Chemical and Biological Research in the California Current System","container-title":"Deep Sea Research Part II: Topical Studies in Oceanography","DOI":"10.1016/S0967-0645(03)00126-7","ISSN":"0967-0645","issue":"14","journalAbbreviation":"Deep Sea Research Part II: Topical Studies in Oceanography","page":"2449-2472","source":"ScienceDirect","title":"Decadal variability in abundances of the dominant euphausiid species in southern sectors of the California Current","volume":"50","author":[{"family":"Brinton","given":"Edward"},{"family":"Townsend","given":"Annie"}],"issued":{"date-parts":[["2003",8,1]]}}}],"schema":"https://github.com/citation-style-language/schema/raw/master/csl-citation.json"}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(Brinton and Townsend, 2003, 2003)</w:t>
      </w:r>
      <w:r w:rsidRPr="00F21896">
        <w:rPr>
          <w:rFonts w:asciiTheme="minorHAnsi" w:hAnsiTheme="minorHAnsi"/>
        </w:rPr>
        <w:fldChar w:fldCharType="end"/>
      </w:r>
    </w:p>
    <w:p w14:paraId="1304939E"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In addition to temporal variability, the CCE exhibits a strong cross-shore gradient in environmental properties such as temperature, nutrients and chlorophyll-a fluorescence associated with upwelling </w:t>
      </w:r>
      <w:r w:rsidRPr="00F21896">
        <w:rPr>
          <w:rFonts w:asciiTheme="minorHAnsi" w:hAnsiTheme="minorHAnsi"/>
        </w:rPr>
        <w:fldChar w:fldCharType="begin"/>
      </w:r>
      <w:r w:rsidRPr="00F21896">
        <w:rPr>
          <w:rFonts w:asciiTheme="minorHAnsi" w:hAnsiTheme="minorHAnsi"/>
        </w:rPr>
        <w:instrText xml:space="preserve"> ADDIN ZOTERO_ITEM CSL_CITATION {"citationID":"oMPXO7KD","properties":{"formattedCitation":"(Hayward and Venrick, 1998)","plainCitation":"(Hayward and Venrick, 1998)","noteIndex":0},"citationItems":[{"id":698,"uris":["http://zotero.org/groups/5151425/items/FWHLPBDI"],"itemData":{"id":698,"type":"article-journal","abstract":"The results of a four-year program of continuous nearsurface mapping and a 12-year time series of nearsurface chlorophyll measurements, both made by the CalCOFI program, are interpreted in the context of the CalCOFI hydrographic time series. There are consistent regional diﬀerences in the mechanisms aﬀecting nutrient input to the upper layers, and these result in diﬀerent spatial and temporal patterns of chlorophyll concentration. We deﬁne three regimes in which nearsurface ecosystem structure appears to be regulated diﬀerently. A sharp physical and biological front at the inner edge of the low-salinity California Current jet separates oﬀshore and inshore regions. The inshore area is further divided into northern and southern regions based upon the intensity of isopycnal shoaling, which alters the relationship between physical structure and chlorophyll concentration. These observations indicate that even on the scale of the CalCOFI area a regional approach to developing models and interpreting mesoscale structure will improve our understanding of important physical—biological interactions. Elsevier Science Ltd. All rights reserved.","container-title":"Deep Sea Research Part II: Topical Studies in Oceanography","DOI":"10.1016/S0967-0645(98)80010-6","ISSN":"09670645","issue":"8-9","journalAbbreviation":"Deep Sea Research Part II: Topical Studies in Oceanography","language":"en","page":"1617-1638","source":"DOI.org (Crossref)","title":"Nearsurface pattern in the California Current: coupling between physical and biological structure","title-short":"Nearsurface pattern in the California Current","volume":"45","author":[{"family":"Hayward","given":"Thomas L."},{"family":"Venrick","given":"Elizabeth L."}],"issued":{"date-parts":[["1998",8]]}}}],"schema":"https://github.com/citation-style-language/schema/raw/master/csl-citation.json"}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(Hayward and Venrick, 1998)</w:t>
      </w:r>
      <w:r w:rsidRPr="00F21896">
        <w:rPr>
          <w:rFonts w:asciiTheme="minorHAnsi" w:hAnsiTheme="minorHAnsi"/>
        </w:rPr>
        <w:fldChar w:fldCharType="end"/>
      </w:r>
      <w:r w:rsidRPr="00F21896">
        <w:rPr>
          <w:rFonts w:asciiTheme="minorHAnsi" w:hAnsiTheme="minorHAnsi"/>
        </w:rPr>
        <w:t xml:space="preserve">. Rykaczewski and Checkley (2008) found a logarithmic relationship between upwelling velocity and the slope of the normalized biomass size spectrum of net-collected zooplankton, with higher upwelling velocities </w:t>
      </w:r>
      <w:r w:rsidRPr="00F21896">
        <w:rPr>
          <w:rFonts w:asciiTheme="minorHAnsi" w:hAnsiTheme="minorHAnsi"/>
        </w:rPr>
        <w:lastRenderedPageBreak/>
        <w:t>(associated with nearshore environments) corresponding with flatter size-spectrum slopes. Powell and Ohman (2015) surveyed 154 fronts using glider acoustics and net tows and found similar cross-shore trends in zooplankton size, with the offshore community dominated by copepods and the nearshore community by euphausiids. Most recently, James et al (2022) applied self-organizing maps to an extensive spatial and temporal dataset of 16S and 18S rRNA microbial community composition to identify onshore and offshore clusterings of different taxonomic groupings in the CCE. They found a general decrease in cross-shore alpha diversity for most taxonomic groups with the exception of diatoms which followed the opposite trend. Previous studies based on bulk phytoplankton metrics (chlorophyll-</w:t>
      </w:r>
      <w:r w:rsidRPr="00F21896">
        <w:rPr>
          <w:rFonts w:asciiTheme="minorHAnsi" w:hAnsiTheme="minorHAnsi"/>
          <w:i/>
          <w:iCs/>
        </w:rPr>
        <w:t>a</w:t>
      </w:r>
      <w:r w:rsidRPr="00F21896">
        <w:rPr>
          <w:rFonts w:asciiTheme="minorHAnsi" w:hAnsiTheme="minorHAnsi"/>
        </w:rPr>
        <w:t xml:space="preserve"> and phycoerythrin) have found that nitracline depth (not temperature) is the primary driver of phytoplankton communities </w:t>
      </w:r>
      <w:r w:rsidRPr="00F21896">
        <w:rPr>
          <w:rFonts w:asciiTheme="minorHAnsi" w:hAnsiTheme="minorHAnsi"/>
        </w:rPr>
        <w:fldChar w:fldCharType="begin"/>
      </w:r>
      <w:r w:rsidRPr="00F21896">
        <w:rPr>
          <w:rFonts w:asciiTheme="minorHAnsi" w:hAnsiTheme="minorHAnsi"/>
        </w:rPr>
        <w:instrText xml:space="preserve"> ADDIN ZOTERO_ITEM CSL_CITATION {"citationID":"a1jhk4ma01f","properties":{"formattedCitation":"(Collier and Palenik, 2003)","plainCitation":"(Collier and Palenik, 2003)","noteIndex":0},"citationItems":[{"id":953,"uris":["http://zotero.org/groups/5151425/items/5NIWZDYM"],"itemData":{"id":953,"type":"article-journal","abstract":"Flow cytometry was used to examine the distribution of phycoerythrin-rich picophytoplankton, referred to here as Synechococcus, off the Southern California coast during six California Cooperative Oceanic Fisheries Investigations (CalCOFI) cruises. Depth profiles revealed that Synechococcus was most abundant in the surface mixed layer, gradually disappearing with depth below the thermocline. Within the surface mixed layer, Synechococcus abundance was generally greater and more variable at stations shoreward of the California Current than at stations offshore of it. In waters associated with the California Current not impacted by upwelling, Synechococcus abundance increased with increasing bulk chlorophyll. In contrast, Synechococcus abundance declined with increasing bulk chlorophyll at stations that were impacted by upwelling. Synechococcus at stations impacted by upwelling also had more phycoerythrin per cell than at non-upwelling stations. Offshore of the California Current, Synechococcus cells in waters intruding from the Central North Pacific displayed higher side-scatter relative to forward scatter than did Synechococcus cells elsewhere in the region. Flow cytometrically distinct Synechococcus cell types were also detected below the thermocline at most of the stations where depth profiles were analyzed. These patterns in Synechococcus abundance and cellular characteristics might reflect physiological and/or genetic differences among Synechococcus associated with the various water masses that comprise the CalCOFI region. The data presented here provide a framework from which to launch more detailed and mechanistic studies examining the role of Synechococcus in the CalCOFI ecosystem.","collection-title":"CalCOFI: A Half Century of Physical, Chemical and Biological Research in the California Current System","container-title":"Deep Sea Research Part II: Topical Studies in Oceanography","DOI":"10.1016/S0967-0645(03)00127-9","ISSN":"0967-0645","issue":"14","journalAbbreviation":"Deep Sea Research Part II: Topical Studies in Oceanography","page":"2405-2422","source":"ScienceDirect","title":"Phycoerythrin-containing picoplankton in the Southern California Bight","volume":"50","author":[{"family":"Collier","given":"Jackie L"},{"family":"Palenik","given":"Brian"}],"issued":{"date-parts":[["2003",8,1]]}}}],"schema":"https://github.com/citation-style-language/schema/raw/master/csl-citation.json"}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(Collier and Palenik, 2003)</w:t>
      </w:r>
      <w:r w:rsidRPr="00F21896">
        <w:rPr>
          <w:rFonts w:asciiTheme="minorHAnsi" w:hAnsiTheme="minorHAnsi"/>
        </w:rPr>
        <w:fldChar w:fldCharType="end"/>
      </w:r>
      <w:r w:rsidRPr="00F21896">
        <w:rPr>
          <w:rFonts w:asciiTheme="minorHAnsi" w:hAnsiTheme="minorHAnsi"/>
        </w:rPr>
        <w:t xml:space="preserve">, and DNA-based metrics of the microbial community find that composition is also primarily driven by the depth of the nitracline </w:t>
      </w:r>
      <w:r w:rsidRPr="00F21896">
        <w:rPr>
          <w:rFonts w:asciiTheme="minorHAnsi" w:hAnsiTheme="minorHAnsi"/>
        </w:rPr>
        <w:fldChar w:fldCharType="begin"/>
      </w:r>
      <w:r w:rsidRPr="00F21896">
        <w:rPr>
          <w:rFonts w:asciiTheme="minorHAnsi" w:hAnsiTheme="minorHAnsi"/>
        </w:rPr>
        <w:instrText xml:space="preserve"> ADDIN ZOTERO_ITEM CSL_CITATION {"citationID":"YHohLP5o","properties":{"formattedCitation":"(James {\\i{}et al.}, 2022)","plainCitation":"(James et al., 2022)","noteIndex":0},"citationItems":[{"id":708,"uris":["http://zotero.org/groups/5151425/items/AALN6376"],"itemData":{"id":708,"type":"article-journal","abstract":"The ecological and oceanographic processes that drive the response of pelagic ocean microbiomes to environmental changes remain poorly understood, particularly in coastal upwelling ecosystems. Here we show that seasonal and interannual variability in coastal upwelling predicts pelagic ocean microbiome diversity and community structure in the Southern California Current region. Ribosomal RNA gene sequencing, targeting prokaryotic and eukaryotic microbes, from samples collected seasonally during 2014-2020 indicate that nitracline depth is the most robust predictor of spatial microbial community structure and biodiversity in this region. Striking ecological changes occurred due to the transition from a warm anomaly during 2014-2016, characterized by intense stratification, to cooler conditions in 2017-2018, representative of more typical upwelling conditions, with photosynthetic eukaryotes, especially diatoms, changing most strongly. The regional slope of nitracline depth exerts strong control on the relative proportion of highly diverse offshore communities and low biodiversity, but highly productive nearshore communities.","container-title":"Nature Communications","DOI":"10.1038/s41467-022-30139-4","ISSN":"2041-1723","issue":"1","journalAbbreviation":"Nat Commun","language":"en","license":"2022 The Author(s)","note":"number: 1\npublisher: Nature Publishing Group","page":"2448","source":"www.nature.com","title":"Influence of nutrient supply on plankton microbiome biodiversity and distribution in a coastal upwelling region","volume":"13","author":[{"family":"James","given":"Chase C."},{"family":"Barton","given":"Andrew D."},{"family":"Allen","given":"Lisa Zeigler"},{"family":"Lampe","given":"Robert H."},{"family":"Rabines","given":"Ariel"},{"family":"Schulberg","given":"Anne"},{"family":"Zheng","given":"Hong"},{"family":"Goericke","given":"Ralf"},{"family":"Goodwin","given":"Kelly D."},{"family":"Allen","given":"Andrew E."}],"issued":{"date-parts":[["2022",5,4]]}}}],"schema":"https://github.com/citation-style-language/schema/raw/master/csl-citation.json"}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(James </w:t>
      </w:r>
      <w:r w:rsidRPr="00F21896">
        <w:rPr>
          <w:rFonts w:asciiTheme="minorHAnsi" w:hAnsiTheme="minorHAnsi"/>
          <w:i/>
          <w:iCs/>
          <w:szCs w:val="24"/>
        </w:rPr>
        <w:t>et al.</w:t>
      </w:r>
      <w:r w:rsidRPr="00F21896">
        <w:rPr>
          <w:rFonts w:asciiTheme="minorHAnsi" w:hAnsiTheme="minorHAnsi"/>
          <w:szCs w:val="24"/>
        </w:rPr>
        <w:t>, 2022)</w:t>
      </w:r>
      <w:r w:rsidRPr="00F21896">
        <w:rPr>
          <w:rFonts w:asciiTheme="minorHAnsi" w:hAnsiTheme="minorHAnsi"/>
        </w:rPr>
        <w:fldChar w:fldCharType="end"/>
      </w:r>
      <w:r w:rsidRPr="00F21896">
        <w:rPr>
          <w:rFonts w:asciiTheme="minorHAnsi" w:hAnsiTheme="minorHAnsi"/>
        </w:rPr>
        <w:t xml:space="preserve">. </w:t>
      </w:r>
    </w:p>
    <w:p w14:paraId="319FDFB4" w14:textId="77777777" w:rsidR="00A5221C" w:rsidRPr="00F21896" w:rsidRDefault="00A5221C" w:rsidP="00A5221C">
      <w:pPr>
        <w:ind w:firstLine="720"/>
        <w:rPr>
          <w:rFonts w:asciiTheme="minorHAnsi" w:hAnsiTheme="minorHAnsi"/>
        </w:rPr>
      </w:pPr>
      <w:r w:rsidRPr="00F21896">
        <w:rPr>
          <w:rFonts w:asciiTheme="minorHAnsi" w:hAnsiTheme="minorHAnsi"/>
        </w:rPr>
        <w:t>Recent studies have begun to implement these molecular approaches to study zooplankton community composition in the CCE. Pitz et al (2020) investigated how the zooplankton community changed in association with alongshore biogeographic breaks and discontinuities in environmental properties. Their results corroborated historical trends in copepod and euphausiid diversity and revealed taxonomic groups such as parasites that are rarely detected by traditional approaches. While collection of molecular samples (primarily eDNA) is beginning to be integrated into regular sampling in the CCE (such as through the CalCOFI NCOG program), there remains a need to compare these approaches to historical data and generate workflows for integration and interpretation.</w:t>
      </w:r>
    </w:p>
    <w:p w14:paraId="5D55C4EB"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DNA metabarcoding is a relatively recent technique in the field of zooplankton ecology and involves the large-scale taxonomic identification of a mixed community through the amplification of a particular ‘barcode’ region of DNA, which is typically the mitochondrial cytochrome c oxidase subunit I gene (COI) </w:t>
      </w:r>
      <w:r w:rsidRPr="00F21896">
        <w:rPr>
          <w:rFonts w:asciiTheme="minorHAnsi" w:hAnsiTheme="minorHAnsi"/>
        </w:rPr>
        <w:fldChar w:fldCharType="begin"/>
      </w:r>
      <w:r w:rsidRPr="00F21896">
        <w:rPr>
          <w:rFonts w:asciiTheme="minorHAnsi" w:hAnsiTheme="minorHAnsi"/>
        </w:rPr>
        <w:instrText xml:space="preserve"> ADDIN ZOTERO_ITEM CSL_CITATION {"citationID":"BsnONEAa","properties":{"formattedCitation":"(Bucklin {\\i{}et al.}, 2016)","plainCitation":"(Bucklin et al., 2016)","noteIndex":0},"citationItems":[{"id":552,"uris":["http://zotero.org/groups/5151425/items/WA4TR7J9"],"itemData":{"id":552,"type":"article-journal","container-title":"Journal of Plankton Research","DOI":"10.1093/plankt/fbw023","ISSN":"0142-7873, 1464-3774","issue":"3","journalAbbreviation":"J. Plankton Res.","language":"en","page":"393-400","source":"DOI.org (Crossref)","title":"Metabarcoding of marine zooplankton: prospects, progress and pitfalls","title-short":"Metabarcoding of marine zooplankton","volume":"38","author":[{"family":"Bucklin","given":"Ann"},{"family":"Lindeque","given":"Penelope K."},{"family":"Rodriguez-Ezpeleta","given":"Naiara"},{"family":"Albaina","given":"Aitor"},{"family":"Lehtiniemi","given":"Maiju"}],"issued":{"date-parts":[["2016",5]]}}}],"schema":"https://github.com/citation-style-language/schema/raw/master/csl-citation.json"}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(Bucklin </w:t>
      </w:r>
      <w:r w:rsidRPr="00F21896">
        <w:rPr>
          <w:rFonts w:asciiTheme="minorHAnsi" w:hAnsiTheme="minorHAnsi"/>
          <w:i/>
          <w:iCs/>
          <w:szCs w:val="24"/>
        </w:rPr>
        <w:t>et al.</w:t>
      </w:r>
      <w:r w:rsidRPr="00F21896">
        <w:rPr>
          <w:rFonts w:asciiTheme="minorHAnsi" w:hAnsiTheme="minorHAnsi"/>
          <w:szCs w:val="24"/>
        </w:rPr>
        <w:t>, 2016)</w:t>
      </w:r>
      <w:r w:rsidRPr="00F21896">
        <w:rPr>
          <w:rFonts w:asciiTheme="minorHAnsi" w:hAnsiTheme="minorHAnsi"/>
        </w:rPr>
        <w:fldChar w:fldCharType="end"/>
      </w:r>
      <w:r w:rsidRPr="00F21896">
        <w:rPr>
          <w:rFonts w:asciiTheme="minorHAnsi" w:hAnsiTheme="minorHAnsi"/>
        </w:rPr>
        <w:t xml:space="preserve">. Compared to traditional morphological identification approaches such as microscopy and imaging, DNA metabarcoding may be cheaper, faster and requires significantly less taxonomic expertise, in particular with decreasing sequencing and bioinformatic costs. Despite its advantages, multiple challenges remain in mitigating biases in sub-sampling, primer choice, PCR amplification, and sequencing (Matthews et al. 2021). While primer bias can influence community composition in early PCR cycles, in later PCR cycles non-primer bias (determined by taxon-specific amplification efficiencies) has been shown to have significant effects on composition, even in mixtures of only two species </w:t>
      </w:r>
      <w:r w:rsidRPr="00F21896">
        <w:rPr>
          <w:rFonts w:asciiTheme="minorHAnsi" w:hAnsiTheme="minorHAnsi"/>
        </w:rPr>
        <w:fldChar w:fldCharType="begin"/>
      </w:r>
      <w:r w:rsidRPr="00F21896">
        <w:rPr>
          <w:rFonts w:asciiTheme="minorHAnsi" w:hAnsiTheme="minorHAnsi"/>
        </w:rPr>
        <w:instrText xml:space="preserve"> ADDIN ZOTERO_ITEM CSL_CITATION {"citationID":"qvyPcqgL","properties":{"formattedCitation":"(Suzuki and Giovannoni, 1996)","plainCitation":"(Suzuki and Giovannoni, 1996)","noteIndex":0},"citationItems":[{"id":581,"uris":["http://zotero.org/groups/5151425/items/HI92AFSF"],"itemData":{"id":581,"type":"article-journal","abstract":"The PCR is used widely for the study of rRNA genes amplified from mixed microbial populations. These studies resemble quantitative applications of PCR in that the templates are mixtures of homologs and the relative abundance of amplicons is thought to provide some measure of the gene ratios in the starting mixture. Although such studies have established the presence of novel rRNA genes in many natural ecosystems, inferences about gene abundance have been limited by uncertainties about the relative efficiency of gene amplification in the PCR. To address this question, three rRNA gene standards were prepared by PCR, mixed in known proportions, and amplified a second time by using primer pairs in which one primer was labeled with a fluorescent nucleotide derivative. The PCR products were digested with restriction endonucleases, and the frequencies of genes in the products were determined by electrophoresis on an Applied Biosystems 373A automated DNA sequencer in Genescan mode. Mixtures of two templates amplified with the 519F-1406R primer pair yielded products in the predicted proportions. A second primer pair (27F-338R) resulted in strong bias towards 1:1 mixtures of genes in final products, regardless of the initial proportions of the templates. This bias was strongly dependent on the number of cycles of replication. The results fit a kinetic model in which the reannealing of genes progressively inhibits the formation of template-primer hybrids.","container-title":"Applied and Environmental Microbiology","DOI":"10.1128/aem.62.2.625-630.1996","ISSN":"0099-2240, 1098-5336","issue":"2","journalAbbreviation":"Appl Environ Microbiol","language":"en","page":"625-630","source":"DOI.org (Crossref)","title":"Bias caused by template annealing in the amplification of mixtures of 16S rRNA genes by PCR","volume":"62","author":[{"family":"Suzuki","given":"M T"},{"family":"Giovannoni","given":"S J"}],"issued":{"date-parts":[["1996",2]]}}}],"schema":"https://github.com/citation-style-language/schema/raw/master/csl-citation.json"}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(Suzuki and Giovannoni, 1996)</w:t>
      </w:r>
      <w:r w:rsidRPr="00F21896">
        <w:rPr>
          <w:rFonts w:asciiTheme="minorHAnsi" w:hAnsiTheme="minorHAnsi"/>
        </w:rPr>
        <w:fldChar w:fldCharType="end"/>
      </w:r>
      <w:r w:rsidRPr="00F21896">
        <w:rPr>
          <w:rFonts w:asciiTheme="minorHAnsi" w:hAnsiTheme="minorHAnsi"/>
        </w:rPr>
        <w:t xml:space="preserve">. </w:t>
      </w:r>
    </w:p>
    <w:p w14:paraId="3E7064FB"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Several strategies have been proposed to mitigate PCR bias including: the construction of mock communities, conducting a variable PCR cycle experiment for samples of an unknown composition, modeling the results of sequencing with an independent observation of community composition and abundance (e.g. imaging or microscopy), or attaching molecular identifiers to source molecules and tracking them through amplification </w:t>
      </w:r>
      <w:r w:rsidRPr="00F21896">
        <w:rPr>
          <w:rFonts w:asciiTheme="minorHAnsi" w:hAnsiTheme="minorHAnsi"/>
        </w:rPr>
        <w:fldChar w:fldCharType="begin"/>
      </w:r>
      <w:r w:rsidRPr="00F21896">
        <w:rPr>
          <w:rFonts w:asciiTheme="minorHAnsi" w:hAnsiTheme="minorHAnsi"/>
        </w:rPr>
        <w:instrText xml:space="preserve"> ADDIN ZOTERO_ITEM CSL_CITATION {"citationID":"3ujFiQiB","properties":{"formattedCitation":"(Shelton {\\i{}et al.}, 2023)","plainCitation":"(Shelton et al., 2023)","noteIndex":0},"citationItems":[{"id":663,"uris":["http://zotero.org/groups/5151425/items/9YQQL5GC"],"itemData":{"id":663,"type":"article-journal","abstract":"Amplicon-sequence data from environmental DNA (eDNA) and microbiome studies provide important information for ecology, conservation, management, and health. At present, amplicon-sequencing studies—known also as metabarcoding studies, in which the primary data consist of targeted, amplified fragments of DNA sequenced from many taxa in a mixture—struggle to link genetic observations to the underlying biology in a quantitative way, but many applications require quantitative information about the taxa or systems under scrutiny. As metabarcoding studies proliferate in ecology, it becomes more important to develop ways to make them quantitative to ensure that their conclusions are adequately supported. Here we link previously disparate sets of techniques for making such data quantitative, showing that the underlying polymerase chain reaction mechanism explains the observed patterns of amplicon data in a general way. By modeling the process through which amplicon-sequence data arise, rather than transforming the data post hoc, we show how to estimate the starting DNA proportions from a mixture of many taxa. We illustrate how to calibrate the model using mock communities and apply the approach to simulated data and a series of empirical examples. Our approach opens the door to improve the use of metabarcoding data in a wide range of applications in ecology, public health, and related fields.","container-title":"Ecology","DOI":"10.1002/ecy.3906","ISSN":"1939-9170","issue":"2","language":"en","license":"© 2022 The Ecological Society of America. This article has been contributed to by U.S. Government employees and their work is in the public domain in the USA.","note":"_eprint: https://onlinelibrary.wiley.com/doi/pdf/10.1002/ecy.3906","page":"e3906","source":"Wiley Online Library","title":"Toward quantitative metabarcoding","volume":"104","author":[{"family":"Shelton","given":"Andrew Olaf"},{"family":"Gold","given":"Zachary J."},{"family":"Jensen","given":"Alexander J."},{"family":"D′Agnese","given":"Erin"},{"family":"Andruszkiewicz Allan","given":"Elizabeth"},{"family":"Van Cise","given":"Amy"},{"family":"Gallego","given":"Ramón"},{"family":"Ramón-Laca","given":"Ana"},{"family":"Garber-Yonts","given":"Maya"},{"family":"Parsons","given":"Kim"},{"family":"Kelly","given":"Ryan P."}],"issued":{"date-parts":[["2023"]]}}}],"schema":"https://github.com/citation-style-language/schema/raw/master/csl-citation.json"}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(Shelton </w:t>
      </w:r>
      <w:r w:rsidRPr="00F21896">
        <w:rPr>
          <w:rFonts w:asciiTheme="minorHAnsi" w:hAnsiTheme="minorHAnsi"/>
          <w:i/>
          <w:iCs/>
          <w:szCs w:val="24"/>
        </w:rPr>
        <w:t>et al.</w:t>
      </w:r>
      <w:r w:rsidRPr="00F21896">
        <w:rPr>
          <w:rFonts w:asciiTheme="minorHAnsi" w:hAnsiTheme="minorHAnsi"/>
          <w:szCs w:val="24"/>
        </w:rPr>
        <w:t>, 2023)</w:t>
      </w:r>
      <w:r w:rsidRPr="00F21896">
        <w:rPr>
          <w:rFonts w:asciiTheme="minorHAnsi" w:hAnsiTheme="minorHAnsi"/>
        </w:rPr>
        <w:fldChar w:fldCharType="end"/>
      </w:r>
      <w:r w:rsidRPr="00F21896">
        <w:rPr>
          <w:rFonts w:asciiTheme="minorHAnsi" w:hAnsiTheme="minorHAnsi"/>
        </w:rPr>
        <w:t xml:space="preserve">. </w:t>
      </w:r>
      <w:r w:rsidRPr="00F21896">
        <w:rPr>
          <w:rFonts w:asciiTheme="minorHAnsi" w:hAnsiTheme="minorHAnsi"/>
        </w:rPr>
        <w:lastRenderedPageBreak/>
        <w:t xml:space="preserve">Mock community calibration requires vouchers of extracted DNA from supposed taxa present in the sample, which can pose a challenge when dealing with samples of unknown composition in which many taxa are present or in regions where historical data are sparse </w:t>
      </w:r>
      <w:r w:rsidRPr="00F21896">
        <w:rPr>
          <w:rFonts w:asciiTheme="minorHAnsi" w:hAnsiTheme="minorHAnsi"/>
        </w:rPr>
        <w:fldChar w:fldCharType="begin"/>
      </w:r>
      <w:r w:rsidRPr="00F21896">
        <w:rPr>
          <w:rFonts w:asciiTheme="minorHAnsi" w:hAnsiTheme="minorHAnsi"/>
        </w:rPr>
        <w:instrText xml:space="preserve"> ADDIN ZOTERO_ITEM CSL_CITATION {"citationID":"ann6rbp1m4","properties":{"formattedCitation":"(Shelton {\\i{}et al.}, 2023)","plainCitation":"(Shelton et al., 2023)","noteIndex":0},"citationItems":[{"id":663,"uris":["http://zotero.org/groups/5151425/items/9YQQL5GC"],"itemData":{"id":663,"type":"article-journal","abstract":"Amplicon-sequence data from environmental DNA (eDNA) and microbiome studies provide important information for ecology, conservation, management, and health. At present, amplicon-sequencing studies—known also as metabarcoding studies, in which the primary data consist of targeted, amplified fragments of DNA sequenced from many taxa in a mixture—struggle to link genetic observations to the underlying biology in a quantitative way, but many applications require quantitative information about the taxa or systems under scrutiny. As metabarcoding studies proliferate in ecology, it becomes more important to develop ways to make them quantitative to ensure that their conclusions are adequately supported. Here we link previously disparate sets of techniques for making such data quantitative, showing that the underlying polymerase chain reaction mechanism explains the observed patterns of amplicon data in a general way. By modeling the process through which amplicon-sequence data arise, rather than transforming the data post hoc, we show how to estimate the starting DNA proportions from a mixture of many taxa. We illustrate how to calibrate the model using mock communities and apply the approach to simulated data and a series of empirical examples. Our approach opens the door to improve the use of metabarcoding data in a wide range of applications in ecology, public health, and related fields.","container-title":"Ecology","DOI":"10.1002/ecy.3906","ISSN":"1939-9170","issue":"2","language":"en","license":"© 2022 The Ecological Society of America. This article has been contributed to by U.S. Government employees and their work is in the public domain in the USA.","note":"_eprint: https://onlinelibrary.wiley.com/doi/pdf/10.1002/ecy.3906","page":"e3906","source":"Wiley Online Library","title":"Toward quantitative metabarcoding","volume":"104","author":[{"family":"Shelton","given":"Andrew Olaf"},{"family":"Gold","given":"Zachary J."},{"family":"Jensen","given":"Alexander J."},{"family":"D′Agnese","given":"Erin"},{"family":"Andruszkiewicz Allan","given":"Elizabeth"},{"family":"Van Cise","given":"Amy"},{"family":"Gallego","given":"Ramón"},{"family":"Ramón-Laca","given":"Ana"},{"family":"Garber-Yonts","given":"Maya"},{"family":"Parsons","given":"Kim"},{"family":"Kelly","given":"Ryan P."}],"issued":{"date-parts":[["2023"]]}}}],"schema":"https://github.com/citation-style-language/schema/raw/master/csl-citation.json"}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(Shelton </w:t>
      </w:r>
      <w:r w:rsidRPr="00F21896">
        <w:rPr>
          <w:rFonts w:asciiTheme="minorHAnsi" w:hAnsiTheme="minorHAnsi"/>
          <w:i/>
          <w:iCs/>
          <w:szCs w:val="24"/>
        </w:rPr>
        <w:t>et al.</w:t>
      </w:r>
      <w:r w:rsidRPr="00F21896">
        <w:rPr>
          <w:rFonts w:asciiTheme="minorHAnsi" w:hAnsiTheme="minorHAnsi"/>
          <w:szCs w:val="24"/>
        </w:rPr>
        <w:t>, 2023)</w:t>
      </w:r>
      <w:r w:rsidRPr="00F21896">
        <w:rPr>
          <w:rFonts w:asciiTheme="minorHAnsi" w:hAnsiTheme="minorHAnsi"/>
        </w:rPr>
        <w:fldChar w:fldCharType="end"/>
      </w:r>
      <w:r w:rsidRPr="00F21896">
        <w:rPr>
          <w:rFonts w:asciiTheme="minorHAnsi" w:hAnsiTheme="minorHAnsi"/>
        </w:rPr>
        <w:t xml:space="preserve">. Additional bias emerges when working with mixed-tissue samples of whole-organisms: the relative abundances of DNA can bias towards the larger species which have more biomass, and consequent gene copies </w:t>
      </w:r>
      <w:r w:rsidRPr="00F21896">
        <w:rPr>
          <w:rFonts w:asciiTheme="minorHAnsi" w:hAnsiTheme="minorHAnsi"/>
        </w:rPr>
        <w:fldChar w:fldCharType="begin"/>
      </w:r>
      <w:r w:rsidRPr="00F21896">
        <w:rPr>
          <w:rFonts w:asciiTheme="minorHAnsi" w:hAnsiTheme="minorHAnsi"/>
        </w:rPr>
        <w:instrText xml:space="preserve"> ADDIN ZOTERO_ITEM CSL_CITATION {"citationID":"XDCbg3qQ","properties":{"formattedCitation":"(Carvalho, 2022; Jungbluth {\\i{}et al.}, 2022)","plainCitation":"(Carvalho, 2022; Jungbluth et al., 2022)","noteIndex":0},"citationItems":[{"id":694,"uris":["http://zotero.org/groups/5151425/items/EZFIHUEV"],"itemData":{"id":694,"type":"article-journal","abstract":"DNA metabarcoding has been widely used to access and monitor species. However, several challenges remain open for its mainstream application in ecological studies, particularly when dealing with a quantitative approach. In a From the Cover article in this issue of Molecular Ecology, Mariac et al. (2021) report species-level ichthyoplankton dynamics for 97 fish species from two Amazon river basins using a clever quantitative metabarcoding approach employing a probe capture method. They clearly show that most species spawned during the floods, although 20% also spawned mainly during the receding period and some other year-round, but interestingly, species from the same genus reproduced in distinct periods (i.e., inverse phenology). Opportunistically, Mariac et al. (2021) reported that during an intense hydrological anomaly, several species had a sharp reduction in spawning activity, demonstrating a quick response to environmental cues. This is an interesting result since the speed at which fish species can react to environmental changes, during the spawning period, is largely unknown. Thus, this study brings remarkable insights into basic life history information that is imperative for proposing strategies that could lead to a realistic framework for sustainable fisheries management practices and conservation, fundamental for an understudied and threatened realm, such as the Amazon River basin.","container-title":"Molecular Ecology","DOI":"10.1111/mec.16387","ISSN":"1365-294X","issue":"6","language":"en","note":"_eprint: https://onlinelibrary.wiley.com/doi/pdf/10.1111/mec.16387","page":"1612-1614","source":"Wiley Online Library","title":"Ichthyoplankton DNA metabarcoding: Challenges and perspectives","title-short":"Ichthyoplankton DNA metabarcoding","volume":"31","author":[{"family":"Carvalho","given":"Daniel Cardoso"}],"issued":{"date-parts":[["2022"]]}}},{"id":671,"uris":["http://zotero.org/groups/5151425/items/RTLQVUQD"],"itemData":{"id":671,"type":"article-journal","abstract":"Despite the importance of early life-history stages to ecosystem processes, challenges in the identification of the larval stages of species continue to slow progress in understanding the dynamics of marine ecosystems. A quantitative polymerase chain reaction-based method was developed and tested for estimating the species-specific biomass of juvenile copepods through targeted measurements of mitochondrial cytochrome c oxidase subunit I (mtCOI) gene copies in size-fractionated, mixed-species plankton samples. The assays are species-specific, amplifying a single product in the presence of focal-species DNA at levels as low as 2 pg total DNA, and in mixed-species samples where the focal species represented &lt;1% of total DNA. Tests comparing mtCOI copy number to measurements of biomass across developmental stages found a robust linear relationship across a five order of magnitude range in animal biomass and DNA copy number (r2 = 0.998). These results demonstrate that quantification of DNA copy number can be used to obtain estimates of species-specific biomass for metazoan plankton, which could transform population and community dynamics studies that include early life history stages.","container-title":"Limnology and Oceanography: Methods","DOI":"10.1002/lom3.10487","ISSN":"1541-5856","issue":"6","language":"en","license":"© 2022 Association for the Sciences of Limnology and Oceanography.","note":"_eprint: https://onlinelibrary.wiley.com/doi/pdf/10.1002/lom3.10487","page":"305-319","source":"Wiley Online Library","title":"Species-specific biomass estimation from gene copy number in metazoan plankton","volume":"20","author":[{"family":"Jungbluth","given":"Michelle J."},{"family":"Hanson","given":"Katharine M."},{"family":"Lenz","given":"Petra H."},{"family":"Robinson","given":"H. Eve"},{"family":"Goetze","given":"Erica"}],"issued":{"date-parts":[["2022"]]}}}],"schema":"https://github.com/citation-style-language/schema/raw/master/csl-citation.json"}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(Carvalho, 2022; Jungbluth </w:t>
      </w:r>
      <w:r w:rsidRPr="00F21896">
        <w:rPr>
          <w:rFonts w:asciiTheme="minorHAnsi" w:hAnsiTheme="minorHAnsi"/>
          <w:i/>
          <w:iCs/>
          <w:szCs w:val="24"/>
        </w:rPr>
        <w:t>et al.</w:t>
      </w:r>
      <w:r w:rsidRPr="00F21896">
        <w:rPr>
          <w:rFonts w:asciiTheme="minorHAnsi" w:hAnsiTheme="minorHAnsi"/>
          <w:szCs w:val="24"/>
        </w:rPr>
        <w:t>, 2022)</w:t>
      </w:r>
      <w:r w:rsidRPr="00F21896">
        <w:rPr>
          <w:rFonts w:asciiTheme="minorHAnsi" w:hAnsiTheme="minorHAnsi"/>
        </w:rPr>
        <w:fldChar w:fldCharType="end"/>
      </w:r>
      <w:r w:rsidRPr="00F21896">
        <w:rPr>
          <w:rFonts w:asciiTheme="minorHAnsi" w:hAnsiTheme="minorHAnsi"/>
        </w:rPr>
        <w:t xml:space="preserve">. Jungbluth et al (2022) employed quantitative PCR (qPCR) and found a strong, empirical log-log linear relationship between the biomass of copepod nauplii and the number of copies of the COI gene across five orders of magnitude. However, some taxa such as ciliates have been shown to contain DNA copies numbers that vary drastically at the species level and do not correlate with genome size </w:t>
      </w:r>
      <w:r w:rsidRPr="00F21896">
        <w:rPr>
          <w:rFonts w:asciiTheme="minorHAnsi" w:hAnsiTheme="minorHAnsi"/>
        </w:rPr>
        <w:fldChar w:fldCharType="begin"/>
      </w:r>
      <w:r w:rsidRPr="00F21896">
        <w:rPr>
          <w:rFonts w:asciiTheme="minorHAnsi" w:hAnsiTheme="minorHAnsi"/>
        </w:rPr>
        <w:instrText xml:space="preserve"> ADDIN ZOTERO_ITEM CSL_CITATION {"citationID":"kz1CVfdp","properties":{"formattedCitation":"(Wang {\\i{}et al.}, 2017)","plainCitation":"(Wang et al., 2017)","noteIndex":0},"citationItems":[{"id":838,"uris":["http://zotero.org/groups/5151425/items/DTAARDDN"],"itemData":{"id":838,"type":"article-journal","abstract":"Small subunit ribosomal DNA (SSU rDNA) is widely used for phylogenetic inference, barcoding and other taxonomy-based analyses. Recent studies indicate that SSU rDNA of ciliates may have a high level of sequence variation within a single cell, which impacts the interpretation of rDNA-based surveys. However, sequence variation can come from a variety of sources including experimental errors, especially the mutations generated by DNA polymerase in PCR. In the present study, we explore the impact of four DNA polymerases on sequence variation and find that low-fidelity polymerases exaggerate the estimates of single-cell sequence variation. Therefore, using a polymerase with high fidelity is essential for surveys of sequence variation. Another source of variation results from errors during amplification of SSU rDNA within the polyploidy somatic macronuclei of ciliates. To investigate further the impact of SSU rDNA copy number variation, we use a high-fidelity polymerase to examine the intra-individual SSU rDNA polymorphism in ciliates with varying levels of macronuclear amplification: Halteria grandinella, Blepharisma americanum and Strombidium stylifer. We estimate the rDNA copy numbers of these three species by single-cell quantitative PCR. The results indicate that: (i) sequence variation of SSU rDNA within a single cell is authentic in ciliates, but the level of intra-individual SSU rDNA polymorphism varies greatly among species; (ii) rDNA copy numbers vary greatly among species, even those within the same class; (iii) the average rDNA copy number of Halteria grandinella is about 567 893 (s.d. = 165 481), which is the highest record of rDNA copy number in ciliates to date; and (iv) based on our data and the records from previous studies, it is not always true in ciliates that rDNA copy numbers are positively correlated with cell or genome size.","container-title":"Proceedings of the Royal Society B: Biological Sciences","DOI":"10.1098/rspb.2017.0425","issue":"1859","note":"publisher: Royal Society","page":"20170425","source":"royalsocietypublishing.org (Atypon)","title":"Disentangling sources of variation in SSU rDNA sequences from single cell analyses of ciliates: impact of copy number variation and experimental error","title-short":"Disentangling sources of variation in SSU rDNA sequences from single cell analyses of ciliates","volume":"284","author":[{"family":"Wang","given":"Chundi"},{"family":"Zhang","given":"Tengteng"},{"family":"Wang","given":"Yurui"},{"family":"Katz","given":"Laura A."},{"family":"Gao","given":"Feng"},{"family":"Song","given":"Weibo"}],"issued":{"date-parts":[["2017",7,26]]}}}],"schema":"https://github.com/citation-style-language/schema/raw/master/csl-citation.json"}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(Wang </w:t>
      </w:r>
      <w:r w:rsidRPr="00F21896">
        <w:rPr>
          <w:rFonts w:asciiTheme="minorHAnsi" w:hAnsiTheme="minorHAnsi"/>
          <w:i/>
          <w:iCs/>
          <w:szCs w:val="24"/>
        </w:rPr>
        <w:t>et al.</w:t>
      </w:r>
      <w:r w:rsidRPr="00F21896">
        <w:rPr>
          <w:rFonts w:asciiTheme="minorHAnsi" w:hAnsiTheme="minorHAnsi"/>
          <w:szCs w:val="24"/>
        </w:rPr>
        <w:t>, 2017)</w:t>
      </w:r>
      <w:r w:rsidRPr="00F21896">
        <w:rPr>
          <w:rFonts w:asciiTheme="minorHAnsi" w:hAnsiTheme="minorHAnsi"/>
        </w:rPr>
        <w:fldChar w:fldCharType="end"/>
      </w:r>
      <w:r w:rsidRPr="00F21896">
        <w:rPr>
          <w:rFonts w:asciiTheme="minorHAnsi" w:hAnsiTheme="minorHAnsi"/>
        </w:rPr>
        <w:t>. Despite these challenges, implementation of additional processing steps between sample collection and data analysis can assist in producing ecological data that constrains the semi-quantitative nature of these methods.</w:t>
      </w:r>
    </w:p>
    <w:p w14:paraId="78DEC374"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Technologies such as the Zooscan- an image-analysis system designed for morphological-based identification of preserved zooplankton samples are extremely valuable in producing quantitative abundance, size and biomass data, but remain limited in taxonomic resolution </w:t>
      </w:r>
      <w:r w:rsidRPr="00F21896">
        <w:rPr>
          <w:rFonts w:asciiTheme="minorHAnsi" w:hAnsiTheme="minorHAnsi"/>
        </w:rPr>
        <w:fldChar w:fldCharType="begin"/>
      </w:r>
      <w:r w:rsidRPr="00F21896">
        <w:rPr>
          <w:rFonts w:asciiTheme="minorHAnsi" w:hAnsiTheme="minorHAnsi"/>
        </w:rPr>
        <w:instrText xml:space="preserve"> ADDIN ZOTERO_ITEM CSL_CITATION {"citationID":"a2lt5kbvrrn","properties":{"formattedCitation":"(Gorsky {\\i{}et al.}, 2010)","plainCitation":"(Gorsky et al., 2010)","noteIndex":0},"citationItems":[{"id":843,"uris":["http://zotero.org/groups/5151425/items/YWEQNSYE"],"itemData":{"id":843,"type":"article-journal","container-title":"Journal of Plankton Research","DOI":"10.1093/plankt/fbp124","ISSN":"0142-7873, 1464-3774","issue":"3","journalAbbreviation":"Journal of Plankton Research","language":"en","page":"285-303","source":"DOI.org (Crossref)","title":"Digital zooplankton image analysis using the ZooScan integrated system","volume":"32","author":[{"family":"Gorsky","given":"G."},{"family":"Ohman","given":"M. D."},{"family":"Picheral","given":"M."},{"family":"Gasparini","given":"S."},{"family":"Stemmann","given":"L."},{"family":"Romagnan","given":"J.-B."},{"family":"Cawood","given":"A."},{"family":"Pesant","given":"S."},{"family":"Garcia-Comas","given":"C."},{"family":"Prejger","given":"F."}],"issued":{"date-parts":[["2010",3,1]]}}}],"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(Gorsky </w:t>
      </w:r>
      <w:r w:rsidRPr="00F21896">
        <w:rPr>
          <w:rFonts w:asciiTheme="minorHAnsi" w:hAnsiTheme="minorHAnsi"/>
          <w:i/>
          <w:iCs/>
          <w:szCs w:val="24"/>
        </w:rPr>
        <w:t>et al.</w:t>
      </w:r>
      <w:r w:rsidRPr="00F21896">
        <w:rPr>
          <w:rFonts w:asciiTheme="minorHAnsi" w:hAnsiTheme="minorHAnsi"/>
          <w:szCs w:val="24"/>
        </w:rPr>
        <w:t>, 2010)</w:t>
      </w:r>
      <w:r w:rsidRPr="00F21896">
        <w:rPr>
          <w:rFonts w:asciiTheme="minorHAnsi" w:hAnsiTheme="minorHAnsi"/>
        </w:rPr>
        <w:fldChar w:fldCharType="end"/>
      </w:r>
      <w:r w:rsidRPr="00F21896">
        <w:rPr>
          <w:rFonts w:asciiTheme="minorHAnsi" w:hAnsiTheme="minorHAnsi"/>
        </w:rPr>
        <w:t xml:space="preserve">. Thus, as an independent measure of community composition, they can only verify DNA-based results to the taxonomic level of the classified image dataset. Continued adoption of Zooscan and imaging technologies in collaboration with taxonomic experts will be required to improve the quality of plankton image databases such as Ecotaxa. </w:t>
      </w:r>
    </w:p>
    <w:p w14:paraId="14FD23EB" w14:textId="18FC1436" w:rsidR="00A5221C" w:rsidRPr="00F21896" w:rsidRDefault="00A5221C" w:rsidP="00A5221C">
      <w:pPr>
        <w:ind w:firstLine="720"/>
        <w:rPr>
          <w:rFonts w:asciiTheme="minorHAnsi" w:hAnsiTheme="minorHAnsi"/>
        </w:rPr>
      </w:pPr>
      <w:r w:rsidRPr="00F21896">
        <w:rPr>
          <w:rFonts w:asciiTheme="minorHAnsi" w:hAnsiTheme="minorHAnsi"/>
        </w:rPr>
        <w:t>Here I use a size structured, dual-marker DNA metabarcoding approach to analyze how zooplankton community composition and structure vary across a cross-shore environmental gradient in the CCE. I use 3 size classes of mesozooplankton (0.2-0.5mm, 0.5-1mm, and 1-2 mm) with barcodes from two different genes (COI and 18S) to examine changes in diversity and composition (total</w:t>
      </w:r>
      <w:r w:rsidR="00EC3AE2">
        <w:rPr>
          <w:rFonts w:asciiTheme="minorHAnsi" w:hAnsiTheme="minorHAnsi"/>
        </w:rPr>
        <w:t xml:space="preserve"> </w:t>
      </w:r>
      <w:r w:rsidRPr="00F21896">
        <w:rPr>
          <w:rFonts w:asciiTheme="minorHAnsi" w:hAnsiTheme="minorHAnsi"/>
        </w:rPr>
        <w:t>and by size) across a large gradient</w:t>
      </w:r>
      <w:r w:rsidR="00EC3AE2">
        <w:rPr>
          <w:rFonts w:asciiTheme="minorHAnsi" w:hAnsiTheme="minorHAnsi"/>
        </w:rPr>
        <w:t xml:space="preserve"> o</w:t>
      </w:r>
      <w:r w:rsidRPr="00F21896">
        <w:rPr>
          <w:rFonts w:asciiTheme="minorHAnsi" w:hAnsiTheme="minorHAnsi"/>
        </w:rPr>
        <w:t>. Furthermore, I implement a novel method to address methodological biases of DNA metabarcoding introduced through PCR, assess the limitations of this method, and compare the results with traditional (raw or normalized reads) and independent (Zooscan imaging) measures of abundance. This constitutes the first study that recovers absolute zooplankton DNA concentrations (for a subset of the present taxa), thus establishing a key step in the broader application of DNA metabarcoding to investigations of metazoan zooplankton dynamics in marine systems.</w:t>
      </w:r>
    </w:p>
    <w:p w14:paraId="11FD1E1D" w14:textId="77777777" w:rsidR="00A5221C" w:rsidRPr="00F21896" w:rsidRDefault="00A5221C" w:rsidP="00A5221C">
      <w:pPr>
        <w:pStyle w:val="ListParagraph"/>
        <w:numPr>
          <w:ilvl w:val="0"/>
          <w:numId w:val="1"/>
        </w:numPr>
        <w:rPr>
          <w:rFonts w:asciiTheme="minorHAnsi" w:hAnsiTheme="minorHAnsi"/>
        </w:rPr>
      </w:pPr>
      <w:r w:rsidRPr="00F21896">
        <w:rPr>
          <w:rFonts w:asciiTheme="minorHAnsi" w:hAnsiTheme="minorHAnsi"/>
        </w:rPr>
        <w:t>What environmental variables are correlated with zooplankton community composition and diversity?</w:t>
      </w:r>
    </w:p>
    <w:p w14:paraId="57BE3C36" w14:textId="1644E972" w:rsidR="00A5221C" w:rsidRPr="00EC3AE2" w:rsidRDefault="00A5221C" w:rsidP="00A5221C">
      <w:pPr>
        <w:numPr>
          <w:ilvl w:val="0"/>
          <w:numId w:val="1"/>
        </w:numPr>
        <w:rPr>
          <w:rFonts w:asciiTheme="minorHAnsi" w:hAnsiTheme="minorHAnsi"/>
        </w:rPr>
      </w:pPr>
      <w:r w:rsidRPr="00F21896">
        <w:rPr>
          <w:rFonts w:asciiTheme="minorHAnsi" w:hAnsiTheme="minorHAnsi"/>
        </w:rPr>
        <w:t>Which taxa show significant relationships with environmental variables and are these relationships consistent across size?</w:t>
      </w:r>
    </w:p>
    <w:p w14:paraId="3818C39A" w14:textId="77777777" w:rsidR="00A5221C" w:rsidRPr="00F21896" w:rsidRDefault="00A5221C" w:rsidP="00A5221C">
      <w:pPr>
        <w:numPr>
          <w:ilvl w:val="0"/>
          <w:numId w:val="1"/>
        </w:numPr>
        <w:rPr>
          <w:rFonts w:asciiTheme="minorHAnsi" w:hAnsiTheme="minorHAnsi"/>
        </w:rPr>
      </w:pPr>
      <w:r w:rsidRPr="00F21896">
        <w:rPr>
          <w:rFonts w:asciiTheme="minorHAnsi" w:hAnsiTheme="minorHAnsi"/>
        </w:rPr>
        <w:t>Which taxa contribute most to differences between and across physical and biological clusters?</w:t>
      </w:r>
    </w:p>
    <w:p w14:paraId="2914B893" w14:textId="77777777" w:rsidR="00A5221C" w:rsidRPr="00F21896" w:rsidRDefault="00A5221C" w:rsidP="00A5221C">
      <w:pPr>
        <w:ind w:left="720"/>
        <w:rPr>
          <w:rFonts w:asciiTheme="minorHAnsi" w:hAnsiTheme="minorHAnsi"/>
        </w:rPr>
      </w:pPr>
    </w:p>
    <w:p w14:paraId="1AF999C6" w14:textId="77777777" w:rsidR="00A5221C" w:rsidRPr="00F21896" w:rsidRDefault="00A5221C" w:rsidP="00A5221C">
      <w:pPr>
        <w:numPr>
          <w:ilvl w:val="0"/>
          <w:numId w:val="1"/>
        </w:numPr>
        <w:rPr>
          <w:rFonts w:asciiTheme="minorHAnsi" w:hAnsiTheme="minorHAnsi"/>
        </w:rPr>
      </w:pPr>
      <w:r w:rsidRPr="00F21896">
        <w:rPr>
          <w:rFonts w:asciiTheme="minorHAnsi" w:hAnsiTheme="minorHAnsi"/>
        </w:rPr>
        <w:lastRenderedPageBreak/>
        <w:t>Are trends in taxonomic abundance and diversity consistent across PCR-bias mitigated data, raw read abundances, and morphological based imaging methods (Zooscan)?</w:t>
      </w:r>
    </w:p>
    <w:p w14:paraId="748D0782" w14:textId="14902DC7" w:rsidR="00A5221C" w:rsidRPr="009A7650" w:rsidRDefault="009A7650" w:rsidP="009A7650">
      <w:pPr>
        <w:pStyle w:val="Heading2"/>
        <w:rPr>
          <w:rFonts w:asciiTheme="minorHAnsi" w:hAnsiTheme="minorHAnsi"/>
          <w:lang w:val="en-US"/>
        </w:rPr>
      </w:pPr>
      <w:r w:rsidRPr="009A7650">
        <w:rPr>
          <w:rFonts w:asciiTheme="minorHAnsi" w:hAnsiTheme="minorHAnsi"/>
          <w:lang w:val="en-US"/>
        </w:rPr>
        <w:t>Materials and Methods</w:t>
      </w:r>
    </w:p>
    <w:p w14:paraId="61660A79" w14:textId="77777777" w:rsidR="00A5221C" w:rsidRPr="00F21896" w:rsidRDefault="00A5221C" w:rsidP="00A5221C">
      <w:pPr>
        <w:rPr>
          <w:rFonts w:asciiTheme="minorHAnsi" w:hAnsiTheme="minorHAnsi"/>
          <w:i/>
        </w:rPr>
      </w:pPr>
      <w:r w:rsidRPr="00F21896">
        <w:rPr>
          <w:rFonts w:asciiTheme="minorHAnsi" w:hAnsiTheme="minorHAnsi"/>
          <w:i/>
        </w:rPr>
        <w:t>Oceanographic Zooplankton Sampling/Processing</w:t>
      </w:r>
    </w:p>
    <w:p w14:paraId="22ACB4BA" w14:textId="77777777" w:rsidR="00A5221C" w:rsidRPr="00F21896" w:rsidRDefault="00A5221C" w:rsidP="00A5221C">
      <w:pPr>
        <w:ind w:firstLine="720"/>
        <w:rPr>
          <w:rFonts w:asciiTheme="minorHAnsi" w:hAnsiTheme="minorHAnsi"/>
          <w:lang w:val="en-US"/>
        </w:rPr>
      </w:pPr>
      <w:r w:rsidRPr="00F21896">
        <w:rPr>
          <w:rFonts w:asciiTheme="minorHAnsi" w:hAnsiTheme="minorHAnsi"/>
        </w:rPr>
        <w:t xml:space="preserve">Zooplankton net tow samples were collected during three quasi-Lagrangian experiments termed ‘Cycles’ between July 21st and August 7th, 2021, </w:t>
      </w:r>
      <w:r w:rsidRPr="00F21896">
        <w:rPr>
          <w:rFonts w:asciiTheme="minorHAnsi" w:hAnsiTheme="minorHAnsi"/>
          <w:lang w:val="en-US"/>
        </w:rPr>
        <w:t>with a Bongo net (0.71-m diameter frame, 202-µm mesh nets and cod ends) towed obliquely between the surface and ~200m depth (300m wire out). The net was towed with a wire angle of 45° at a ship speed of 1-2 knots and was recovered at 30 m min</w:t>
      </w:r>
      <w:r w:rsidRPr="00F21896">
        <w:rPr>
          <w:rFonts w:asciiTheme="minorHAnsi" w:hAnsiTheme="minorHAnsi"/>
          <w:vertAlign w:val="superscript"/>
          <w:lang w:val="en-US"/>
        </w:rPr>
        <w:t>-1</w:t>
      </w:r>
      <w:r w:rsidRPr="00F21896">
        <w:rPr>
          <w:rFonts w:asciiTheme="minorHAnsi" w:hAnsiTheme="minorHAnsi"/>
          <w:lang w:val="en-US"/>
        </w:rPr>
        <w:t>. Sampling depths Ire logged with a temperature-depth recorder and volume filtered through the net was measured using a calibrated General Oceanics Flow meter. The starboard side of the Bongo net was split quantitatively, and 3/8ths of the total sample was size-fractionated using a set of sieves (mesh sizes 5mm, 2mm, 1mm, 0.5mm, 0.2mm), was rinsed using filtered seawater onto a 47 mm-diameter, 0.2mm Nitex mesh filter, was placed in a petri and was flash frozen for metabarcoding or other analyses on land.</w:t>
      </w:r>
    </w:p>
    <w:p w14:paraId="569E0535"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Cycle 1 and Cycle 2 both tracked cool, salty, dense upwelled water off Point Sur. Cycle 3 was initiated about 800 km offshore near the western boundary of the CCE and provided an ecological and biogeochemical endmember. Additionally, P2107 conducted 2 transects between August 7th and August 11th, 2021. First, an east-West transect spanning the CCE (referred to as CT1) and an alongshore transect (CT2) which included 8 stations extending north-south from San Simeon to the Point Arguello. CT1 spanned a vast range of environmental conditions whereas CT2 sampled alongshore. Excluding CT1, I selected a subset of the stations sampled within each sampling event to examine metabarcoding community composition. For C1-C3 we sequenced a pair of day-night tows and for CT2 we selected 3 of the 8 stations. </w:t>
      </w:r>
    </w:p>
    <w:p w14:paraId="073AA098" w14:textId="77777777" w:rsidR="00A5221C" w:rsidRPr="00F21896" w:rsidRDefault="00A5221C" w:rsidP="00A5221C">
      <w:pPr>
        <w:rPr>
          <w:rFonts w:asciiTheme="minorHAnsi" w:hAnsiTheme="minorHAnsi"/>
          <w:lang w:val="en-US"/>
        </w:rPr>
      </w:pPr>
    </w:p>
    <w:p w14:paraId="6F2F8EA1" w14:textId="77777777" w:rsidR="00A5221C" w:rsidRPr="00F21896" w:rsidRDefault="00A5221C" w:rsidP="00A5221C">
      <w:pPr>
        <w:rPr>
          <w:rFonts w:asciiTheme="minorHAnsi" w:hAnsiTheme="minorHAnsi"/>
          <w:i/>
          <w:iCs/>
          <w:lang w:val="en-US"/>
        </w:rPr>
      </w:pPr>
      <w:r w:rsidRPr="00F21896">
        <w:rPr>
          <w:rFonts w:asciiTheme="minorHAnsi" w:hAnsiTheme="minorHAnsi"/>
          <w:i/>
          <w:iCs/>
          <w:lang w:val="en-US"/>
        </w:rPr>
        <w:t xml:space="preserve">DNA Metabarcoding, Bioinformatics, PCR Calibration Experiment </w:t>
      </w:r>
    </w:p>
    <w:p w14:paraId="0E7FA529" w14:textId="77777777" w:rsidR="00A5221C" w:rsidRPr="00F21896" w:rsidRDefault="00A5221C" w:rsidP="00A5221C">
      <w:pPr>
        <w:ind w:firstLine="720"/>
        <w:rPr>
          <w:rFonts w:asciiTheme="minorHAnsi" w:hAnsiTheme="minorHAnsi"/>
          <w:lang w:val="en-US"/>
        </w:rPr>
      </w:pPr>
      <w:r w:rsidRPr="00F21896">
        <w:rPr>
          <w:rFonts w:asciiTheme="minorHAnsi" w:hAnsiTheme="minorHAnsi"/>
          <w:lang w:val="en-US"/>
        </w:rPr>
        <w:t xml:space="preserve">We used two of the most common DNA barcodes for marine zooplankton: the hypervariable V4 region of the 18S ribosomal RNA marker (Zhan et al. 2013) and the mitochondrial cytochrome c oxidase subunit I gene (COI) (Leray et al. 2013) to resolve zooplankton community composition. The 3 smallest size fractions of zooplankton samples collected above were subsampled to ⅛ of filter, the tissue was homogenized, and DNA was extracted using the OMEGA E.Z.N.A. Insect Kit or Mollusc Kit following manufacturer protocols, with the specific kit being selected based on visual inspection of zooplankton community composition. Elutions were conducted in duplicate, and DNA concentrations were assessed by Qubit. For each sample, the barcode regions were amplified in triplicate using a 2-step PCR. Amplified products were pooled equimolarly and were sequenced on an Illumina MiSeq with 300bp PE VX chemistry. Taxonomy was assigned to ASVs for both the COI and 18S marker, using </w:t>
      </w:r>
      <w:r w:rsidRPr="00F21896">
        <w:rPr>
          <w:rFonts w:asciiTheme="minorHAnsi" w:hAnsiTheme="minorHAnsi"/>
          <w:lang w:val="en-US"/>
        </w:rPr>
        <w:lastRenderedPageBreak/>
        <w:t>the MetaZooGene database augmented with sequences obtained from local CCE zooplankton voucher specimens, to maximize identification of the zooplankton taxa targeted with the metazoan primers. MetaZooGene global databases and taxonomy files were downloaded on 3 May 2022. Sequences with mismatches between NCBI taxonomic identities and mothur taxonomic identities were removed, and the remaining at each marker were trimmed to the targeting amplicon region using virtual PCR from the insect R package, then were supplemented with sequences obtained from sanger sequencing of positively identified voucher specimens. The combined MetaZooGene and voucher sequences for each marker were used to train amplicon-specific classifiers in QIIME2, with the default parameters of the sk-learn algorithm. ASVs were assigned taxonomy, keeping all classifications with &gt;80% confidence.</w:t>
      </w:r>
    </w:p>
    <w:p w14:paraId="51EFD44F" w14:textId="77777777" w:rsidR="00A5221C" w:rsidRPr="00F21896" w:rsidRDefault="00A5221C" w:rsidP="00A5221C">
      <w:pPr>
        <w:ind w:firstLine="720"/>
        <w:rPr>
          <w:rFonts w:asciiTheme="minorHAnsi" w:hAnsiTheme="minorHAnsi"/>
        </w:rPr>
      </w:pPr>
    </w:p>
    <w:p w14:paraId="78B0C04D" w14:textId="77777777" w:rsidR="00A5221C" w:rsidRPr="00F21896" w:rsidRDefault="00A5221C" w:rsidP="00A5221C">
      <w:pPr>
        <w:ind w:firstLine="720"/>
        <w:rPr>
          <w:rFonts w:asciiTheme="minorHAnsi" w:hAnsiTheme="minorHAnsi"/>
        </w:rPr>
      </w:pPr>
    </w:p>
    <w:p w14:paraId="2FCE2F80" w14:textId="77777777" w:rsidR="00A5221C" w:rsidRPr="00F21896" w:rsidRDefault="00A5221C" w:rsidP="00A5221C">
      <w:pPr>
        <w:ind w:firstLine="720"/>
        <w:rPr>
          <w:rFonts w:asciiTheme="minorHAnsi" w:hAnsiTheme="minorHAnsi"/>
        </w:rPr>
      </w:pPr>
    </w:p>
    <w:p w14:paraId="14012023" w14:textId="77777777" w:rsidR="00A5221C" w:rsidRPr="00F21896" w:rsidRDefault="00A5221C" w:rsidP="00A5221C">
      <w:pPr>
        <w:keepNext/>
        <w:rPr>
          <w:rFonts w:asciiTheme="minorHAnsi" w:hAnsiTheme="minorHAnsi"/>
        </w:rPr>
      </w:pPr>
      <w:r w:rsidRPr="00F21896">
        <w:rPr>
          <w:rFonts w:asciiTheme="minorHAnsi" w:hAnsiTheme="minorHAnsi"/>
          <w:noProof/>
        </w:rPr>
        <w:lastRenderedPageBreak/>
        <w:drawing>
          <wp:inline distT="0" distB="0" distL="0" distR="0" wp14:anchorId="6705C85C" wp14:editId="63E45F44">
            <wp:extent cx="5943600" cy="5147310"/>
            <wp:effectExtent l="0" t="0" r="0" b="0"/>
            <wp:docPr id="920132339" name="Picture 920132339" descr="A diagram of a dna str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2339" name="Picture 16" descr="A diagram of a dna stran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147310"/>
                    </a:xfrm>
                    <a:prstGeom prst="rect">
                      <a:avLst/>
                    </a:prstGeom>
                  </pic:spPr>
                </pic:pic>
              </a:graphicData>
            </a:graphic>
          </wp:inline>
        </w:drawing>
      </w:r>
    </w:p>
    <w:p w14:paraId="0A3AA201" w14:textId="77777777" w:rsidR="00A5221C" w:rsidRPr="00F21896" w:rsidRDefault="00A5221C" w:rsidP="00A5221C">
      <w:pPr>
        <w:pStyle w:val="Caption"/>
        <w:rPr>
          <w:rFonts w:asciiTheme="minorHAnsi" w:hAnsiTheme="minorHAnsi"/>
        </w:rPr>
      </w:pPr>
      <w:bookmarkStart w:id="1" w:name="_Ref149166221"/>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13</w:t>
      </w:r>
      <w:r w:rsidRPr="00F21896">
        <w:rPr>
          <w:rFonts w:asciiTheme="minorHAnsi" w:hAnsiTheme="minorHAnsi"/>
          <w:noProof/>
        </w:rPr>
        <w:fldChar w:fldCharType="end"/>
      </w:r>
      <w:bookmarkEnd w:id="1"/>
      <w:r w:rsidRPr="00F21896">
        <w:rPr>
          <w:rFonts w:asciiTheme="minorHAnsi" w:hAnsiTheme="minorHAnsi"/>
        </w:rPr>
        <w:t>. Schematic showing pipeline for DNA metabarcoding of marine zooplankton. The process follows: plankton net tow, quantitative splitting, Zooscan analysis, size fractionation, sub-sampling and DNA extraction, primer selection, PCR amplification and calibration experiment, sequencing, and taxonomic assignments.</w:t>
      </w:r>
    </w:p>
    <w:p w14:paraId="0665B830" w14:textId="334B20C0" w:rsidR="00A5221C" w:rsidRPr="00F21896" w:rsidRDefault="00A5221C" w:rsidP="00A5221C">
      <w:pPr>
        <w:ind w:firstLine="720"/>
        <w:rPr>
          <w:rFonts w:asciiTheme="minorHAnsi" w:hAnsiTheme="minorHAnsi"/>
        </w:rPr>
      </w:pPr>
      <w:r w:rsidRPr="00F21896">
        <w:rPr>
          <w:rFonts w:asciiTheme="minorHAnsi" w:hAnsiTheme="minorHAnsi"/>
        </w:rPr>
        <w:t xml:space="preserve">In addition to this more widely implemented metabarcoding pipeline, we included an additional variable PCR experiment that attempts to mitigate PCR-bias in </w:t>
      </w:r>
      <w:r w:rsidR="00EC3AE2">
        <w:rPr>
          <w:rFonts w:asciiTheme="minorHAnsi" w:hAnsiTheme="minorHAnsi"/>
        </w:rPr>
        <w:t>our</w:t>
      </w:r>
      <w:r w:rsidRPr="00F21896">
        <w:rPr>
          <w:rFonts w:asciiTheme="minorHAnsi" w:hAnsiTheme="minorHAnsi"/>
        </w:rPr>
        <w:t xml:space="preserve"> results. We followed the methodology proposed by Silverman et al. (2021) and combined a calibration experiment with Bayesian Multinomial Logistic-Normal Models using the </w:t>
      </w:r>
      <w:r w:rsidRPr="00F21896">
        <w:rPr>
          <w:rFonts w:asciiTheme="minorHAnsi" w:hAnsiTheme="minorHAnsi"/>
          <w:i/>
        </w:rPr>
        <w:t xml:space="preserve">R </w:t>
      </w:r>
      <w:r w:rsidRPr="00F21896">
        <w:rPr>
          <w:rFonts w:asciiTheme="minorHAnsi" w:hAnsiTheme="minorHAnsi"/>
        </w:rPr>
        <w:t xml:space="preserve">package </w:t>
      </w:r>
      <w:r w:rsidRPr="00F21896">
        <w:rPr>
          <w:rFonts w:asciiTheme="minorHAnsi" w:hAnsiTheme="minorHAnsi"/>
          <w:i/>
        </w:rPr>
        <w:t xml:space="preserve">fido </w:t>
      </w:r>
      <w:r w:rsidRPr="00F21896">
        <w:rPr>
          <w:rFonts w:asciiTheme="minorHAnsi" w:hAnsiTheme="minorHAnsi"/>
        </w:rPr>
        <w:t>(</w:t>
      </w:r>
      <w:r w:rsidRPr="00F21896">
        <w:rPr>
          <w:rFonts w:asciiTheme="minorHAnsi" w:hAnsiTheme="minorHAnsi"/>
        </w:rPr>
        <w:fldChar w:fldCharType="begin"/>
      </w:r>
      <w:r w:rsidRPr="00F21896">
        <w:rPr>
          <w:rFonts w:asciiTheme="minorHAnsi" w:hAnsiTheme="minorHAnsi"/>
        </w:rPr>
        <w:instrText xml:space="preserve"> REF _Ref149138820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Figure </w:t>
      </w:r>
      <w:r w:rsidRPr="00F21896">
        <w:rPr>
          <w:rFonts w:asciiTheme="minorHAnsi" w:hAnsiTheme="minorHAnsi"/>
          <w:noProof/>
        </w:rPr>
        <w:t>14</w:t>
      </w:r>
      <w:r w:rsidRPr="00F21896">
        <w:rPr>
          <w:rFonts w:asciiTheme="minorHAnsi" w:hAnsiTheme="minorHAnsi"/>
        </w:rPr>
        <w:fldChar w:fldCharType="end"/>
      </w:r>
      <w:r w:rsidRPr="00F21896">
        <w:rPr>
          <w:rFonts w:asciiTheme="minorHAnsi" w:hAnsiTheme="minorHAnsi"/>
        </w:rPr>
        <w:t xml:space="preserve">). The log-ratio linear models implemented by </w:t>
      </w:r>
      <w:r w:rsidRPr="00F21896">
        <w:rPr>
          <w:rFonts w:asciiTheme="minorHAnsi" w:hAnsiTheme="minorHAnsi"/>
          <w:i/>
        </w:rPr>
        <w:t xml:space="preserve">fido </w:t>
      </w:r>
      <w:r w:rsidRPr="00F21896">
        <w:rPr>
          <w:rFonts w:asciiTheme="minorHAnsi" w:hAnsiTheme="minorHAnsi"/>
        </w:rPr>
        <w:t xml:space="preserve">can account for mixtures of more than two taxa with different amplification efficiencies and have been shown to fit PCR-bias of microbiome data. These models incorporate the “competition to be counted” in which counting more of one type of thing means there are fewer resources available to count other types of things </w:t>
      </w:r>
      <w:r w:rsidRPr="00F21896">
        <w:rPr>
          <w:rFonts w:asciiTheme="minorHAnsi" w:hAnsiTheme="minorHAnsi"/>
        </w:rPr>
        <w:fldChar w:fldCharType="begin"/>
      </w:r>
      <w:r w:rsidRPr="00F21896">
        <w:rPr>
          <w:rFonts w:asciiTheme="minorHAnsi" w:hAnsiTheme="minorHAnsi"/>
        </w:rPr>
        <w:instrText xml:space="preserve"> ADDIN ZOTERO_ITEM CSL_CITATION {"citationID":"HWovj3NY","properties":{"formattedCitation":"(Silverman {\\i{}et al.}, 2022)","plainCitation":"(Silverman et al., 2022)","noteIndex":0},"citationItems":[{"id":909,"uris":["http://zotero.org/groups/5151425/items/NRP24H7S"],"itemData":{"id":909,"type":"article-journal","abstract":"Bayesian multinomial logistic-normal (MLN) models are popular for the analysis of sequence count data (e.g., microbiome or gene expression data) due to their ability to model multivariate count data with complex covariance structure. However, existing implementations of MLN models are limited to small datasets due to the non-conjugacy of the multinomial and logistic-normal distributions. Motivated by the need to develop efficient inference for Bayesian MLN models, we develop two key ideas. First, we develop the class of Marginally Latent Matrix-T Process (Marginally LTP) models. We demonstrate that many popular MLN models, including those with latent linear, non-linear, and dynamic linear structure are special cases of this class. Second, we develop an efficient inference scheme for Marginally LTP models with specific accelerations for the MLN subclass. Through application to MLN models, we demonstrate that our inference scheme are both highly accurate and often 4-5 orders of magnitude faster than MCMC.","container-title":"Journal of Machine Learning Research","ISSN":"1533-7928","issue":"7","page":"1-42","source":"jmlr.csail.mit.edu","title":"Bayesian Multinomial Logistic Normal Models through Marginally Latent Matrix-T Processes","volume":"23","author":[{"family":"Silverman","given":"Justin D."},{"family":"Roche","given":"Kimberly"},{"family":"Holmes","given":"Zachary C."},{"family":"David","given":"Lawrence A."},{"family":"Mukherjee","given":"Sayan"}],"issued":{"date-parts":[["2022"]]}}}],"schema":"https://github.com/citation-style-language/schema/raw/master/csl-citation.json"}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(Silverman </w:t>
      </w:r>
      <w:r w:rsidRPr="00F21896">
        <w:rPr>
          <w:rFonts w:asciiTheme="minorHAnsi" w:hAnsiTheme="minorHAnsi"/>
          <w:i/>
          <w:iCs/>
          <w:szCs w:val="24"/>
        </w:rPr>
        <w:t>et al.</w:t>
      </w:r>
      <w:r w:rsidRPr="00F21896">
        <w:rPr>
          <w:rFonts w:asciiTheme="minorHAnsi" w:hAnsiTheme="minorHAnsi"/>
          <w:szCs w:val="24"/>
        </w:rPr>
        <w:t>, 2022)</w:t>
      </w:r>
      <w:r w:rsidRPr="00F21896">
        <w:rPr>
          <w:rFonts w:asciiTheme="minorHAnsi" w:hAnsiTheme="minorHAnsi"/>
        </w:rPr>
        <w:fldChar w:fldCharType="end"/>
      </w:r>
      <w:r w:rsidRPr="00F21896">
        <w:rPr>
          <w:rFonts w:asciiTheme="minorHAnsi" w:hAnsiTheme="minorHAnsi"/>
        </w:rPr>
        <w:t xml:space="preserve">. Compared to other quantitative metabarcoding approaches such as mock communities, the variable PCR method doesn’t depend on </w:t>
      </w:r>
      <w:r w:rsidRPr="00F21896">
        <w:rPr>
          <w:rFonts w:asciiTheme="minorHAnsi" w:hAnsiTheme="minorHAnsi"/>
          <w:i/>
        </w:rPr>
        <w:t xml:space="preserve">a priori </w:t>
      </w:r>
      <w:r w:rsidRPr="00F21896">
        <w:rPr>
          <w:rFonts w:asciiTheme="minorHAnsi" w:hAnsiTheme="minorHAnsi"/>
        </w:rPr>
        <w:t xml:space="preserve">knowledge of a </w:t>
      </w:r>
      <w:r w:rsidRPr="00F21896">
        <w:rPr>
          <w:rFonts w:asciiTheme="minorHAnsi" w:hAnsiTheme="minorHAnsi"/>
        </w:rPr>
        <w:lastRenderedPageBreak/>
        <w:t xml:space="preserve">sample’s community composition. Instead, we included a calibration experiment in which study samples are pooled into a “calibration sample”. This calibration sample ideally contains sequences from every organism in the study. </w:t>
      </w:r>
    </w:p>
    <w:p w14:paraId="0757C948"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Next, the calibration sample was split into aliquots which were amplified with PCR at varying cycles. Each of these varying cycle samples was amplified, barcoded and sequenced in accordance with protocols followed for all other environmental samples. Finally, log-linear models were used to fit the data and determine the PCR-bias corrected DNA concentrations present in the sample at cycle 0. </w:t>
      </w:r>
    </w:p>
    <w:p w14:paraId="4DD17957"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Although this method addresses the significant bias introduced through PCR, it is limited in several ways. First, the approach of pooling all sub-samples of all samples may miss rare taxa and can only apply to taxa present in all the calibration samples. Another challenge that must be overcome in working towards quantitative metabarcoding of marine metazoans is accounting for gene copy number. Previous work has found that different taxonomic groups possess different numbers of copies for gene markers </w:t>
      </w:r>
      <w:r w:rsidRPr="00F21896">
        <w:rPr>
          <w:rFonts w:asciiTheme="minorHAnsi" w:hAnsiTheme="minorHAnsi"/>
        </w:rPr>
        <w:fldChar w:fldCharType="begin"/>
      </w:r>
      <w:r w:rsidRPr="00F21896">
        <w:rPr>
          <w:rFonts w:asciiTheme="minorHAnsi" w:hAnsiTheme="minorHAnsi"/>
        </w:rPr>
        <w:instrText xml:space="preserve"> ADDIN ZOTERO_ITEM CSL_CITATION {"citationID":"IVLKdhfe","properties":{"formattedCitation":"(Prokopowich, Gregory and Crease, 2003; Wang {\\i{}et al.}, 2017)","plainCitation":"(Prokopowich, Gregory and Crease, 2003; Wang et al., 2017)","noteIndex":0},"citationItems":[{"id":837,"uris":["http://zotero.org/groups/5151425/items/WPTNHJ3R"],"itemData":{"id":837,"type":"article-journal","abstract":"Both rDNA gene multiplicity and genome size vary widely among eukaryotes. For some time, there has been debate regarding any possible relationship between these two parameters. The present study uses data on genome size and rDNA copy number for 162 species of plants and animals to test the association between genome size and rDNA copy number, and provides the first convincing evidence of a strong positive relationship between the two within and among these two groups of organisms. No simple explanations exist for this relationship, but it is nevertheless of clear relevance from both practical and theoretical perspectives.Key words: rRNA genes, C value, genome size.","container-title":"Genome","DOI":"10.1139/g02-103","ISSN":"0831-2796","issue":"1","note":"publisher: NRC Research Press","page":"48-50","source":"cdnsciencepub.com (Atypon)","title":"The correlation between rDNA copy number and genome size in eukaryotes","volume":"46","author":[{"family":"Prokopowich","given":"Cheryl D"},{"family":"Gregory","given":"T Ryan"},{"family":"Crease","given":"Teresa J"}],"issued":{"date-parts":[["2003",2]]}}},{"id":838,"uris":["http://zotero.org/groups/5151425/items/DTAARDDN"],"itemData":{"id":838,"type":"article-journal","abstract":"Small subunit ribosomal DNA (SSU rDNA) is widely used for phylogenetic inference, barcoding and other taxonomy-based analyses. Recent studies indicate that SSU rDNA of ciliates may have a high level of sequence variation within a single cell, which impacts the interpretation of rDNA-based surveys. However, sequence variation can come from a variety of sources including experimental errors, especially the mutations generated by DNA polymerase in PCR. In the present study, we explore the impact of four DNA polymerases on sequence variation and find that low-fidelity polymerases exaggerate the estimates of single-cell sequence variation. Therefore, using a polymerase with high fidelity is essential for surveys of sequence variation. Another source of variation results from errors during amplification of SSU rDNA within the polyploidy somatic macronuclei of ciliates. To investigate further the impact of SSU rDNA copy number variation, we use a high-fidelity polymerase to examine the intra-individual SSU rDNA polymorphism in ciliates with varying levels of macronuclear amplification: Halteria grandinella, Blepharisma americanum and Strombidium stylifer. We estimate the rDNA copy numbers of these three species by single-cell quantitative PCR. The results indicate that: (i) sequence variation of SSU rDNA within a single cell is authentic in ciliates, but the level of intra-individual SSU rDNA polymorphism varies greatly among species; (ii) rDNA copy numbers vary greatly among species, even those within the same class; (iii) the average rDNA copy number of Halteria grandinella is about 567 893 (s.d. = 165 481), which is the highest record of rDNA copy number in ciliates to date; and (iv) based on our data and the records from previous studies, it is not always true in ciliates that rDNA copy numbers are positively correlated with cell or genome size.","container-title":"Proceedings of the Royal Society B: Biological Sciences","DOI":"10.1098/rspb.2017.0425","issue":"1859","note":"publisher: Royal Society","page":"20170425","source":"royalsocietypublishing.org (Atypon)","title":"Disentangling sources of variation in SSU rDNA sequences from single cell analyses of ciliates: impact of copy number variation and experimental error","title-short":"Disentangling sources of variation in SSU rDNA sequences from single cell analyses of ciliates","volume":"284","author":[{"family":"Wang","given":"Chundi"},{"family":"Zhang","given":"Tengteng"},{"family":"Wang","given":"Yurui"},{"family":"Katz","given":"Laura A."},{"family":"Gao","given":"Feng"},{"family":"Song","given":"Weibo"}],"issued":{"date-parts":[["2017",7,26]]}}}],"schema":"https://github.com/citation-style-language/schema/raw/master/csl-citation.json"}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(Prokopowich, Gregory and Crease, 2003; Wang </w:t>
      </w:r>
      <w:r w:rsidRPr="00F21896">
        <w:rPr>
          <w:rFonts w:asciiTheme="minorHAnsi" w:hAnsiTheme="minorHAnsi"/>
          <w:i/>
          <w:iCs/>
          <w:szCs w:val="24"/>
        </w:rPr>
        <w:t>et al.</w:t>
      </w:r>
      <w:r w:rsidRPr="00F21896">
        <w:rPr>
          <w:rFonts w:asciiTheme="minorHAnsi" w:hAnsiTheme="minorHAnsi"/>
          <w:szCs w:val="24"/>
        </w:rPr>
        <w:t>, 2017)</w:t>
      </w:r>
      <w:r w:rsidRPr="00F21896">
        <w:rPr>
          <w:rFonts w:asciiTheme="minorHAnsi" w:hAnsiTheme="minorHAnsi"/>
        </w:rPr>
        <w:fldChar w:fldCharType="end"/>
      </w:r>
      <w:r w:rsidRPr="00F21896">
        <w:rPr>
          <w:rFonts w:asciiTheme="minorHAnsi" w:hAnsiTheme="minorHAnsi"/>
        </w:rPr>
        <w:t xml:space="preserve">. Future work remains to determine taxon-specific gene copy numbers if metabarcoding methods hope to produce quantitative measures of abundance and biomass. </w:t>
      </w:r>
    </w:p>
    <w:p w14:paraId="7828E28F" w14:textId="499223FC" w:rsidR="00A5221C" w:rsidRPr="00F21896" w:rsidRDefault="00A5221C" w:rsidP="00A5221C">
      <w:pPr>
        <w:rPr>
          <w:rFonts w:asciiTheme="minorHAnsi" w:hAnsiTheme="minorHAnsi"/>
        </w:rPr>
      </w:pPr>
      <w:r w:rsidRPr="00F21896">
        <w:rPr>
          <w:rFonts w:asciiTheme="minorHAnsi" w:hAnsiTheme="minorHAnsi"/>
        </w:rPr>
        <w:tab/>
        <w:t xml:space="preserve">For </w:t>
      </w:r>
      <w:r w:rsidR="00EC3AE2">
        <w:rPr>
          <w:rFonts w:asciiTheme="minorHAnsi" w:hAnsiTheme="minorHAnsi"/>
        </w:rPr>
        <w:t>this</w:t>
      </w:r>
      <w:r w:rsidRPr="00F21896">
        <w:rPr>
          <w:rFonts w:asciiTheme="minorHAnsi" w:hAnsiTheme="minorHAnsi"/>
        </w:rPr>
        <w:t xml:space="preserve"> study, we created pooled samples and amplified them at 3 different PCR cycle numbers (20, 24, and 28) to calculate an ASV-specific amplification efficiency and initial, PCR-bias mitigated relative abundance. We aliquoted 10 µL of DNA into 4 different pooled samples, 3 pools contained different subsets of the total samples (determined by placement in the 96-Ill plate) and one pool contained an aliquot from every sample in the study. Unfortunately, due to PCR failure for the 20-cycle amplification for the COI pools, the model fits for COI ASV’s Were limited to 24 and 28 cycle pools in fitting the </w:t>
      </w:r>
      <w:r w:rsidRPr="00F21896">
        <w:rPr>
          <w:rFonts w:asciiTheme="minorHAnsi" w:hAnsiTheme="minorHAnsi"/>
          <w:i/>
        </w:rPr>
        <w:t xml:space="preserve">fido </w:t>
      </w:r>
      <w:r w:rsidRPr="00F21896">
        <w:rPr>
          <w:rFonts w:asciiTheme="minorHAnsi" w:hAnsiTheme="minorHAnsi"/>
        </w:rPr>
        <w:t>model.</w:t>
      </w:r>
    </w:p>
    <w:p w14:paraId="53886DA0" w14:textId="77777777" w:rsidR="00A5221C" w:rsidRPr="00F21896" w:rsidRDefault="00A5221C" w:rsidP="00A5221C">
      <w:pPr>
        <w:keepNext/>
        <w:ind w:firstLine="720"/>
        <w:rPr>
          <w:rFonts w:asciiTheme="minorHAnsi" w:hAnsiTheme="minorHAnsi"/>
        </w:rPr>
      </w:pPr>
      <w:r w:rsidRPr="00F21896">
        <w:rPr>
          <w:rFonts w:asciiTheme="minorHAnsi" w:hAnsiTheme="minorHAnsi"/>
        </w:rPr>
        <w:lastRenderedPageBreak/>
        <w:br/>
      </w:r>
      <w:r w:rsidRPr="00F21896">
        <w:rPr>
          <w:rFonts w:asciiTheme="minorHAnsi" w:hAnsiTheme="minorHAnsi"/>
        </w:rPr>
        <w:tab/>
      </w:r>
      <w:r w:rsidRPr="00F21896">
        <w:rPr>
          <w:rFonts w:asciiTheme="minorHAnsi" w:hAnsiTheme="minorHAnsi"/>
          <w:noProof/>
        </w:rPr>
        <w:drawing>
          <wp:inline distT="114300" distB="114300" distL="114300" distR="114300" wp14:anchorId="4B27AF7C" wp14:editId="4C840495">
            <wp:extent cx="2552700" cy="3790950"/>
            <wp:effectExtent l="0" t="0" r="0" b="0"/>
            <wp:docPr id="21" name="Picture 21" descr="A diagram of a tes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 name="image23.png" descr="A diagram of a test&#10;&#10;Description automatically generated with medium confidence"/>
                    <pic:cNvPicPr preferRelativeResize="0"/>
                  </pic:nvPicPr>
                  <pic:blipFill>
                    <a:blip r:embed="rId7"/>
                    <a:srcRect/>
                    <a:stretch>
                      <a:fillRect/>
                    </a:stretch>
                  </pic:blipFill>
                  <pic:spPr>
                    <a:xfrm>
                      <a:off x="0" y="0"/>
                      <a:ext cx="2552700" cy="3790950"/>
                    </a:xfrm>
                    <a:prstGeom prst="rect">
                      <a:avLst/>
                    </a:prstGeom>
                    <a:ln/>
                  </pic:spPr>
                </pic:pic>
              </a:graphicData>
            </a:graphic>
          </wp:inline>
        </w:drawing>
      </w:r>
    </w:p>
    <w:p w14:paraId="33E27FB2" w14:textId="77777777" w:rsidR="00A5221C" w:rsidRPr="00F21896" w:rsidRDefault="00A5221C" w:rsidP="00A5221C">
      <w:pPr>
        <w:pStyle w:val="Caption"/>
        <w:rPr>
          <w:rFonts w:asciiTheme="minorHAnsi" w:hAnsiTheme="minorHAnsi"/>
        </w:rPr>
      </w:pPr>
      <w:bookmarkStart w:id="2" w:name="_Ref149138820"/>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14</w:t>
      </w:r>
      <w:r w:rsidRPr="00F21896">
        <w:rPr>
          <w:rFonts w:asciiTheme="minorHAnsi" w:hAnsiTheme="minorHAnsi"/>
          <w:noProof/>
        </w:rPr>
        <w:fldChar w:fldCharType="end"/>
      </w:r>
      <w:bookmarkEnd w:id="2"/>
      <w:r w:rsidRPr="00F21896">
        <w:rPr>
          <w:rFonts w:asciiTheme="minorHAnsi" w:hAnsiTheme="minorHAnsi"/>
        </w:rPr>
        <w:t>. Variable PCR Experiment Workflow (Silverman et al. 2021)</w:t>
      </w:r>
    </w:p>
    <w:p w14:paraId="1349B113" w14:textId="77777777" w:rsidR="00A5221C" w:rsidRPr="00F21896" w:rsidRDefault="00A5221C" w:rsidP="00A5221C">
      <w:pPr>
        <w:rPr>
          <w:rFonts w:asciiTheme="minorHAnsi" w:hAnsiTheme="minorHAnsi"/>
          <w:i/>
        </w:rPr>
      </w:pPr>
      <w:r w:rsidRPr="00F21896">
        <w:rPr>
          <w:rFonts w:asciiTheme="minorHAnsi" w:hAnsiTheme="minorHAnsi"/>
          <w:i/>
        </w:rPr>
        <w:t>Dataset Pre-processing</w:t>
      </w:r>
    </w:p>
    <w:p w14:paraId="0D1ADE7A"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Even after generating ASVs, metabarcoding data poses many opportunities for choice of resolution and specificity when analyzing communities. First, we amplified both the COI and 18S marker regions. COI provides better species identification for the metazoan mesozooplankton taxa of interest but misses key groups such as pelagic tunicates. In contrast, 18S has a wider coverage and is able to capture more taxa but sacrifices specificity due to its lower mutation rate, which limits its ability to discriminate beyond the level of genus or family. Previous work has combined COI and 18S data to account for differences in coverage, however we did not include this approach for these analyses (Steffani et al, 2018). </w:t>
      </w:r>
    </w:p>
    <w:p w14:paraId="5AD5A71D" w14:textId="77777777" w:rsidR="00A5221C" w:rsidRPr="00F21896" w:rsidRDefault="00A5221C" w:rsidP="00A5221C">
      <w:pPr>
        <w:ind w:firstLine="720"/>
        <w:rPr>
          <w:rFonts w:asciiTheme="minorHAnsi" w:hAnsiTheme="minorHAnsi"/>
        </w:rPr>
      </w:pPr>
      <w:r w:rsidRPr="00F21896">
        <w:rPr>
          <w:rFonts w:asciiTheme="minorHAnsi" w:hAnsiTheme="minorHAnsi"/>
        </w:rPr>
        <w:t>Prior to quality filtering, we recovered 4941 ASVs for COI containing 2180 unique sequences (</w:t>
      </w:r>
      <w:r w:rsidRPr="00F21896">
        <w:rPr>
          <w:rFonts w:asciiTheme="minorHAnsi" w:hAnsiTheme="minorHAnsi"/>
        </w:rPr>
        <w:fldChar w:fldCharType="begin"/>
      </w:r>
      <w:r w:rsidRPr="00F21896">
        <w:rPr>
          <w:rFonts w:asciiTheme="minorHAnsi" w:hAnsiTheme="minorHAnsi"/>
        </w:rPr>
        <w:instrText xml:space="preserve"> REF _Ref150259993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Table </w:t>
      </w:r>
      <w:r w:rsidRPr="00F21896">
        <w:rPr>
          <w:rFonts w:asciiTheme="minorHAnsi" w:hAnsiTheme="minorHAnsi"/>
          <w:noProof/>
        </w:rPr>
        <w:t>2</w:t>
      </w:r>
      <w:r w:rsidRPr="00F21896">
        <w:rPr>
          <w:rFonts w:asciiTheme="minorHAnsi" w:hAnsiTheme="minorHAnsi"/>
        </w:rPr>
        <w:fldChar w:fldCharType="end"/>
      </w:r>
      <w:r w:rsidRPr="00F21896">
        <w:rPr>
          <w:rFonts w:asciiTheme="minorHAnsi" w:hAnsiTheme="minorHAnsi"/>
        </w:rPr>
        <w:t xml:space="preserve">). For 18S we recovered 6918 sequences with 1188 distinct ASVs. We compared taxonomic designations made through BLAST with the Metazoogene database </w:t>
      </w:r>
      <w:r w:rsidRPr="00F21896">
        <w:rPr>
          <w:rFonts w:asciiTheme="minorHAnsi" w:hAnsiTheme="minorHAnsi"/>
        </w:rPr>
        <w:fldChar w:fldCharType="begin"/>
      </w:r>
      <w:r w:rsidRPr="00F21896">
        <w:rPr>
          <w:rFonts w:asciiTheme="minorHAnsi" w:hAnsiTheme="minorHAnsi"/>
        </w:rPr>
        <w:instrText xml:space="preserve"> ADDIN ZOTERO_ITEM CSL_CITATION {"citationID":"Z5Ab0t41","properties":{"formattedCitation":"(Bucklin {\\i{}et al.}, 2021)","plainCitation":"(Bucklin et al., 2021)","noteIndex":0},"citationItems":[{"id":840,"uris":["http://zotero.org/groups/5151425/items/KPLB4ZBB"],"itemData":{"id":840,"type":"article-journal","abstract":"Characterization of species diversity of zooplankton is key to understanding, assessing, and predicting the function and future of pelagic ecosystems throughout the global ocean. The marine zooplankton assemblage, including only metazoans, is highly diverse and taxonomically complex, with an estimated ~28,000 species of 41 major taxonomic groups. This review provides a comprehensive summary of DNA sequences for the barcode region of mitochondrial cytochrome oxidase I (COI) for identified specimens. The foundation of this summary is the MetaZooGene Barcode Atlas and Database (MZGdb), a new open-access data and metadata portal that is linked to NCBI GenBank and BOLD data repositories. The MZGdb provides enhanced quality control and tools for assembling COI reference sequence databases that are specific to selected taxonomic groups and/or ocean regions, with associated metadata (e.g., collection georeferencing, verification of species identification, molecular protocols), and tools for statistical analysis, mapping, and visualization. To date, over 150,000 COI sequences for ~ 5600 described species of marine metazoan plankton (including holo- and meroplankton) are available via the MZGdb portal. This review uses the MZGdb as a resource for summaries of COI barcode data and metadata for important taxonomic groups of marine zooplankton and selected regions, including the North Atlantic, Arctic, North Pacific, and Southern Oceans. The MZGdb is designed to provide a foundation for analysis of species diversity of marine zooplankton based on DNA barcoding and metabarcoding for assessment of marine ecosystems and rapid detection of the impacts of climate change.","container-title":"Marine Biology","DOI":"10.1007/s00227-021-03887-y","ISSN":"1432-1793","issue":"6","journalAbbreviation":"Mar Biol","language":"en","page":"78","source":"Springer Link","title":"Toward a global reference database of COI barcodes for marine zooplankton","volume":"168","author":[{"family":"Bucklin","given":"Ann"},{"family":"Peijnenburg","given":"Katja T. C. A."},{"family":"Kosobokova","given":"Ksenia N."},{"family":"O’Brien","given":"Todd D."},{"family":"Blanco-Bercial","given":"Leocadio"},{"family":"Cornils","given":"Astrid"},{"family":"Falkenhaug","given":"Tone"},{"family":"Hopcroft","given":"Russell R."},{"family":"Hosia","given":"Aino"},{"family":"Laakmann","given":"Silke"},{"family":"Li","given":"Chaolun"},{"family":"Martell","given":"Luis"},{"family":"Questel","given":"Jennifer M."},{"family":"Wall-Palmer","given":"Deborah"},{"family":"Wang","given":"Minxiao"},{"family":"Wiebe","given":"Peter H."},{"family":"Weydmann-Zwolicka","given":"Agata"}],"issued":{"date-parts":[["2021",5,3]]}}}],"schema":"https://github.com/citation-style-language/schema/raw/master/csl-citation.json"}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(Bucklin </w:t>
      </w:r>
      <w:r w:rsidRPr="00F21896">
        <w:rPr>
          <w:rFonts w:asciiTheme="minorHAnsi" w:hAnsiTheme="minorHAnsi"/>
          <w:i/>
          <w:iCs/>
          <w:szCs w:val="24"/>
        </w:rPr>
        <w:t>et al.</w:t>
      </w:r>
      <w:r w:rsidRPr="00F21896">
        <w:rPr>
          <w:rFonts w:asciiTheme="minorHAnsi" w:hAnsiTheme="minorHAnsi"/>
          <w:szCs w:val="24"/>
        </w:rPr>
        <w:t>, 2021)</w:t>
      </w:r>
      <w:r w:rsidRPr="00F21896">
        <w:rPr>
          <w:rFonts w:asciiTheme="minorHAnsi" w:hAnsiTheme="minorHAnsi"/>
        </w:rPr>
        <w:fldChar w:fldCharType="end"/>
      </w:r>
      <w:r w:rsidRPr="00F21896">
        <w:rPr>
          <w:rFonts w:asciiTheme="minorHAnsi" w:hAnsiTheme="minorHAnsi"/>
        </w:rPr>
        <w:t>. Based on the coverage, resolution and relevant filtering to metazoan zooplankton taxa of interest we proceeded my analysis with Metazoogene assignations. Weseparately conducted manual filtering of taxonomic assignments from BLAST to remove holoplanktonic and non-zooplankton taxa, however we concluded that Metazoogene assignments were standardized and more specific.</w:t>
      </w:r>
      <w:r w:rsidRPr="00F21896">
        <w:rPr>
          <w:rFonts w:asciiTheme="minorHAnsi" w:hAnsiTheme="minorHAnsi"/>
        </w:rPr>
        <w:br/>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065"/>
        <w:gridCol w:w="1095"/>
        <w:gridCol w:w="1080"/>
        <w:gridCol w:w="855"/>
        <w:gridCol w:w="1035"/>
        <w:gridCol w:w="1035"/>
        <w:gridCol w:w="1035"/>
        <w:gridCol w:w="1035"/>
      </w:tblGrid>
      <w:tr w:rsidR="00A5221C" w:rsidRPr="00F21896" w14:paraId="2B34FAF2" w14:textId="77777777" w:rsidTr="00742570">
        <w:tc>
          <w:tcPr>
            <w:tcW w:w="1125" w:type="dxa"/>
            <w:shd w:val="clear" w:color="auto" w:fill="auto"/>
            <w:tcMar>
              <w:top w:w="100" w:type="dxa"/>
              <w:left w:w="100" w:type="dxa"/>
              <w:bottom w:w="100" w:type="dxa"/>
              <w:right w:w="100" w:type="dxa"/>
            </w:tcMar>
          </w:tcPr>
          <w:p w14:paraId="5178F799" w14:textId="77777777" w:rsidR="00A5221C" w:rsidRPr="00F21896" w:rsidRDefault="00A5221C" w:rsidP="00742570">
            <w:pPr>
              <w:widowControl w:val="0"/>
              <w:spacing w:line="240" w:lineRule="auto"/>
              <w:rPr>
                <w:rFonts w:asciiTheme="minorHAnsi" w:hAnsiTheme="minorHAnsi"/>
              </w:rPr>
            </w:pPr>
          </w:p>
        </w:tc>
        <w:tc>
          <w:tcPr>
            <w:tcW w:w="1065" w:type="dxa"/>
            <w:shd w:val="clear" w:color="auto" w:fill="auto"/>
            <w:tcMar>
              <w:top w:w="100" w:type="dxa"/>
              <w:left w:w="100" w:type="dxa"/>
              <w:bottom w:w="100" w:type="dxa"/>
              <w:right w:w="100" w:type="dxa"/>
            </w:tcMar>
          </w:tcPr>
          <w:p w14:paraId="28BF904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Total # unique ASVs</w:t>
            </w:r>
          </w:p>
        </w:tc>
        <w:tc>
          <w:tcPr>
            <w:tcW w:w="1095" w:type="dxa"/>
            <w:shd w:val="clear" w:color="auto" w:fill="auto"/>
            <w:tcMar>
              <w:top w:w="100" w:type="dxa"/>
              <w:left w:w="100" w:type="dxa"/>
              <w:bottom w:w="100" w:type="dxa"/>
              <w:right w:w="100" w:type="dxa"/>
            </w:tcMar>
          </w:tcPr>
          <w:p w14:paraId="580F02FB"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Kingdom</w:t>
            </w:r>
          </w:p>
        </w:tc>
        <w:tc>
          <w:tcPr>
            <w:tcW w:w="1080" w:type="dxa"/>
            <w:shd w:val="clear" w:color="auto" w:fill="auto"/>
            <w:tcMar>
              <w:top w:w="100" w:type="dxa"/>
              <w:left w:w="100" w:type="dxa"/>
              <w:bottom w:w="100" w:type="dxa"/>
              <w:right w:w="100" w:type="dxa"/>
            </w:tcMar>
          </w:tcPr>
          <w:p w14:paraId="52F23571"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Phylum</w:t>
            </w:r>
          </w:p>
        </w:tc>
        <w:tc>
          <w:tcPr>
            <w:tcW w:w="855" w:type="dxa"/>
            <w:shd w:val="clear" w:color="auto" w:fill="auto"/>
            <w:tcMar>
              <w:top w:w="100" w:type="dxa"/>
              <w:left w:w="100" w:type="dxa"/>
              <w:bottom w:w="100" w:type="dxa"/>
              <w:right w:w="100" w:type="dxa"/>
            </w:tcMar>
          </w:tcPr>
          <w:p w14:paraId="30F91D3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Class</w:t>
            </w:r>
          </w:p>
        </w:tc>
        <w:tc>
          <w:tcPr>
            <w:tcW w:w="1035" w:type="dxa"/>
            <w:shd w:val="clear" w:color="auto" w:fill="auto"/>
            <w:tcMar>
              <w:top w:w="100" w:type="dxa"/>
              <w:left w:w="100" w:type="dxa"/>
              <w:bottom w:w="100" w:type="dxa"/>
              <w:right w:w="100" w:type="dxa"/>
            </w:tcMar>
          </w:tcPr>
          <w:p w14:paraId="5FE2E022"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 xml:space="preserve">Order </w:t>
            </w:r>
          </w:p>
        </w:tc>
        <w:tc>
          <w:tcPr>
            <w:tcW w:w="1035" w:type="dxa"/>
            <w:shd w:val="clear" w:color="auto" w:fill="auto"/>
            <w:tcMar>
              <w:top w:w="100" w:type="dxa"/>
              <w:left w:w="100" w:type="dxa"/>
              <w:bottom w:w="100" w:type="dxa"/>
              <w:right w:w="100" w:type="dxa"/>
            </w:tcMar>
          </w:tcPr>
          <w:p w14:paraId="1DBD5CAF"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 xml:space="preserve">Family </w:t>
            </w:r>
          </w:p>
        </w:tc>
        <w:tc>
          <w:tcPr>
            <w:tcW w:w="1035" w:type="dxa"/>
            <w:shd w:val="clear" w:color="auto" w:fill="auto"/>
            <w:tcMar>
              <w:top w:w="100" w:type="dxa"/>
              <w:left w:w="100" w:type="dxa"/>
              <w:bottom w:w="100" w:type="dxa"/>
              <w:right w:w="100" w:type="dxa"/>
            </w:tcMar>
          </w:tcPr>
          <w:p w14:paraId="0499615F"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Genus</w:t>
            </w:r>
          </w:p>
        </w:tc>
        <w:tc>
          <w:tcPr>
            <w:tcW w:w="1035" w:type="dxa"/>
            <w:shd w:val="clear" w:color="auto" w:fill="auto"/>
            <w:tcMar>
              <w:top w:w="100" w:type="dxa"/>
              <w:left w:w="100" w:type="dxa"/>
              <w:bottom w:w="100" w:type="dxa"/>
              <w:right w:w="100" w:type="dxa"/>
            </w:tcMar>
          </w:tcPr>
          <w:p w14:paraId="0B392B0B"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Species</w:t>
            </w:r>
          </w:p>
        </w:tc>
      </w:tr>
      <w:tr w:rsidR="00A5221C" w:rsidRPr="00F21896" w14:paraId="71AE88BE" w14:textId="77777777" w:rsidTr="00742570">
        <w:tc>
          <w:tcPr>
            <w:tcW w:w="1125" w:type="dxa"/>
            <w:shd w:val="clear" w:color="auto" w:fill="auto"/>
            <w:tcMar>
              <w:top w:w="100" w:type="dxa"/>
              <w:left w:w="100" w:type="dxa"/>
              <w:bottom w:w="100" w:type="dxa"/>
              <w:right w:w="100" w:type="dxa"/>
            </w:tcMar>
          </w:tcPr>
          <w:p w14:paraId="2A8BE75D"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mtCOI BLAST</w:t>
            </w:r>
          </w:p>
        </w:tc>
        <w:tc>
          <w:tcPr>
            <w:tcW w:w="1065" w:type="dxa"/>
            <w:shd w:val="clear" w:color="auto" w:fill="auto"/>
            <w:tcMar>
              <w:top w:w="100" w:type="dxa"/>
              <w:left w:w="100" w:type="dxa"/>
              <w:bottom w:w="100" w:type="dxa"/>
              <w:right w:w="100" w:type="dxa"/>
            </w:tcMar>
          </w:tcPr>
          <w:p w14:paraId="54379F45"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2180</w:t>
            </w:r>
          </w:p>
        </w:tc>
        <w:tc>
          <w:tcPr>
            <w:tcW w:w="1095" w:type="dxa"/>
            <w:shd w:val="clear" w:color="auto" w:fill="auto"/>
            <w:tcMar>
              <w:top w:w="100" w:type="dxa"/>
              <w:left w:w="100" w:type="dxa"/>
              <w:bottom w:w="100" w:type="dxa"/>
              <w:right w:w="100" w:type="dxa"/>
            </w:tcMar>
          </w:tcPr>
          <w:p w14:paraId="74E5F4A7"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w:t>
            </w:r>
          </w:p>
        </w:tc>
        <w:tc>
          <w:tcPr>
            <w:tcW w:w="1080" w:type="dxa"/>
            <w:shd w:val="clear" w:color="auto" w:fill="auto"/>
            <w:tcMar>
              <w:top w:w="100" w:type="dxa"/>
              <w:left w:w="100" w:type="dxa"/>
              <w:bottom w:w="100" w:type="dxa"/>
              <w:right w:w="100" w:type="dxa"/>
            </w:tcMar>
          </w:tcPr>
          <w:p w14:paraId="34E79BA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23</w:t>
            </w:r>
          </w:p>
        </w:tc>
        <w:tc>
          <w:tcPr>
            <w:tcW w:w="855" w:type="dxa"/>
            <w:shd w:val="clear" w:color="auto" w:fill="auto"/>
            <w:tcMar>
              <w:top w:w="100" w:type="dxa"/>
              <w:left w:w="100" w:type="dxa"/>
              <w:bottom w:w="100" w:type="dxa"/>
              <w:right w:w="100" w:type="dxa"/>
            </w:tcMar>
          </w:tcPr>
          <w:p w14:paraId="344B78F0"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36</w:t>
            </w:r>
          </w:p>
        </w:tc>
        <w:tc>
          <w:tcPr>
            <w:tcW w:w="1035" w:type="dxa"/>
            <w:shd w:val="clear" w:color="auto" w:fill="auto"/>
            <w:tcMar>
              <w:top w:w="100" w:type="dxa"/>
              <w:left w:w="100" w:type="dxa"/>
              <w:bottom w:w="100" w:type="dxa"/>
              <w:right w:w="100" w:type="dxa"/>
            </w:tcMar>
          </w:tcPr>
          <w:p w14:paraId="4E6B612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68</w:t>
            </w:r>
          </w:p>
        </w:tc>
        <w:tc>
          <w:tcPr>
            <w:tcW w:w="1035" w:type="dxa"/>
            <w:shd w:val="clear" w:color="auto" w:fill="auto"/>
            <w:tcMar>
              <w:top w:w="100" w:type="dxa"/>
              <w:left w:w="100" w:type="dxa"/>
              <w:bottom w:w="100" w:type="dxa"/>
              <w:right w:w="100" w:type="dxa"/>
            </w:tcMar>
          </w:tcPr>
          <w:p w14:paraId="087B30CC"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108</w:t>
            </w:r>
          </w:p>
        </w:tc>
        <w:tc>
          <w:tcPr>
            <w:tcW w:w="1035" w:type="dxa"/>
            <w:shd w:val="clear" w:color="auto" w:fill="auto"/>
            <w:tcMar>
              <w:top w:w="100" w:type="dxa"/>
              <w:left w:w="100" w:type="dxa"/>
              <w:bottom w:w="100" w:type="dxa"/>
              <w:right w:w="100" w:type="dxa"/>
            </w:tcMar>
          </w:tcPr>
          <w:p w14:paraId="790BBFD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139</w:t>
            </w:r>
          </w:p>
        </w:tc>
        <w:tc>
          <w:tcPr>
            <w:tcW w:w="1035" w:type="dxa"/>
            <w:shd w:val="clear" w:color="auto" w:fill="auto"/>
            <w:tcMar>
              <w:top w:w="100" w:type="dxa"/>
              <w:left w:w="100" w:type="dxa"/>
              <w:bottom w:w="100" w:type="dxa"/>
              <w:right w:w="100" w:type="dxa"/>
            </w:tcMar>
          </w:tcPr>
          <w:p w14:paraId="52CBDB72"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153</w:t>
            </w:r>
          </w:p>
        </w:tc>
      </w:tr>
      <w:tr w:rsidR="00A5221C" w:rsidRPr="00F21896" w14:paraId="2D733EF4" w14:textId="77777777" w:rsidTr="00742570">
        <w:tc>
          <w:tcPr>
            <w:tcW w:w="1125" w:type="dxa"/>
            <w:shd w:val="clear" w:color="auto" w:fill="auto"/>
            <w:tcMar>
              <w:top w:w="100" w:type="dxa"/>
              <w:left w:w="100" w:type="dxa"/>
              <w:bottom w:w="100" w:type="dxa"/>
              <w:right w:w="100" w:type="dxa"/>
            </w:tcMar>
          </w:tcPr>
          <w:p w14:paraId="4FC0C32E"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18S rRNA BLAST</w:t>
            </w:r>
          </w:p>
        </w:tc>
        <w:tc>
          <w:tcPr>
            <w:tcW w:w="1065" w:type="dxa"/>
            <w:shd w:val="clear" w:color="auto" w:fill="auto"/>
            <w:tcMar>
              <w:top w:w="100" w:type="dxa"/>
              <w:left w:w="100" w:type="dxa"/>
              <w:bottom w:w="100" w:type="dxa"/>
              <w:right w:w="100" w:type="dxa"/>
            </w:tcMar>
          </w:tcPr>
          <w:p w14:paraId="310C93C1"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1188</w:t>
            </w:r>
          </w:p>
        </w:tc>
        <w:tc>
          <w:tcPr>
            <w:tcW w:w="1095" w:type="dxa"/>
            <w:shd w:val="clear" w:color="auto" w:fill="auto"/>
            <w:tcMar>
              <w:top w:w="100" w:type="dxa"/>
              <w:left w:w="100" w:type="dxa"/>
              <w:bottom w:w="100" w:type="dxa"/>
              <w:right w:w="100" w:type="dxa"/>
            </w:tcMar>
          </w:tcPr>
          <w:p w14:paraId="4A8D16FF"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w:t>
            </w:r>
          </w:p>
        </w:tc>
        <w:tc>
          <w:tcPr>
            <w:tcW w:w="1080" w:type="dxa"/>
            <w:shd w:val="clear" w:color="auto" w:fill="auto"/>
            <w:tcMar>
              <w:top w:w="100" w:type="dxa"/>
              <w:left w:w="100" w:type="dxa"/>
              <w:bottom w:w="100" w:type="dxa"/>
              <w:right w:w="100" w:type="dxa"/>
            </w:tcMar>
          </w:tcPr>
          <w:p w14:paraId="21B82435"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15</w:t>
            </w:r>
          </w:p>
        </w:tc>
        <w:tc>
          <w:tcPr>
            <w:tcW w:w="855" w:type="dxa"/>
            <w:shd w:val="clear" w:color="auto" w:fill="auto"/>
            <w:tcMar>
              <w:top w:w="100" w:type="dxa"/>
              <w:left w:w="100" w:type="dxa"/>
              <w:bottom w:w="100" w:type="dxa"/>
              <w:right w:w="100" w:type="dxa"/>
            </w:tcMar>
          </w:tcPr>
          <w:p w14:paraId="3051CA7D"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19</w:t>
            </w:r>
          </w:p>
        </w:tc>
        <w:tc>
          <w:tcPr>
            <w:tcW w:w="1035" w:type="dxa"/>
            <w:shd w:val="clear" w:color="auto" w:fill="auto"/>
            <w:tcMar>
              <w:top w:w="100" w:type="dxa"/>
              <w:left w:w="100" w:type="dxa"/>
              <w:bottom w:w="100" w:type="dxa"/>
              <w:right w:w="100" w:type="dxa"/>
            </w:tcMar>
          </w:tcPr>
          <w:p w14:paraId="4CD1F0F4"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35</w:t>
            </w:r>
          </w:p>
        </w:tc>
        <w:tc>
          <w:tcPr>
            <w:tcW w:w="1035" w:type="dxa"/>
            <w:shd w:val="clear" w:color="auto" w:fill="auto"/>
            <w:tcMar>
              <w:top w:w="100" w:type="dxa"/>
              <w:left w:w="100" w:type="dxa"/>
              <w:bottom w:w="100" w:type="dxa"/>
              <w:right w:w="100" w:type="dxa"/>
            </w:tcMar>
          </w:tcPr>
          <w:p w14:paraId="2D15AEC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50</w:t>
            </w:r>
          </w:p>
        </w:tc>
        <w:tc>
          <w:tcPr>
            <w:tcW w:w="1035" w:type="dxa"/>
            <w:shd w:val="clear" w:color="auto" w:fill="auto"/>
            <w:tcMar>
              <w:top w:w="100" w:type="dxa"/>
              <w:left w:w="100" w:type="dxa"/>
              <w:bottom w:w="100" w:type="dxa"/>
              <w:right w:w="100" w:type="dxa"/>
            </w:tcMar>
          </w:tcPr>
          <w:p w14:paraId="33DF2F4F"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47</w:t>
            </w:r>
          </w:p>
        </w:tc>
        <w:tc>
          <w:tcPr>
            <w:tcW w:w="1035" w:type="dxa"/>
            <w:shd w:val="clear" w:color="auto" w:fill="auto"/>
            <w:tcMar>
              <w:top w:w="100" w:type="dxa"/>
              <w:left w:w="100" w:type="dxa"/>
              <w:bottom w:w="100" w:type="dxa"/>
              <w:right w:w="100" w:type="dxa"/>
            </w:tcMar>
          </w:tcPr>
          <w:p w14:paraId="1426BED2"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46</w:t>
            </w:r>
          </w:p>
        </w:tc>
      </w:tr>
      <w:tr w:rsidR="00A5221C" w:rsidRPr="00F21896" w14:paraId="74CCFCD8" w14:textId="77777777" w:rsidTr="00742570">
        <w:tc>
          <w:tcPr>
            <w:tcW w:w="1125" w:type="dxa"/>
            <w:shd w:val="clear" w:color="auto" w:fill="auto"/>
            <w:tcMar>
              <w:top w:w="100" w:type="dxa"/>
              <w:left w:w="100" w:type="dxa"/>
              <w:bottom w:w="100" w:type="dxa"/>
              <w:right w:w="100" w:type="dxa"/>
            </w:tcMar>
          </w:tcPr>
          <w:p w14:paraId="3942E71D"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mtCOI (Metazoogene)</w:t>
            </w:r>
          </w:p>
        </w:tc>
        <w:tc>
          <w:tcPr>
            <w:tcW w:w="1065" w:type="dxa"/>
            <w:shd w:val="clear" w:color="auto" w:fill="auto"/>
            <w:tcMar>
              <w:top w:w="100" w:type="dxa"/>
              <w:left w:w="100" w:type="dxa"/>
              <w:bottom w:w="100" w:type="dxa"/>
              <w:right w:w="100" w:type="dxa"/>
            </w:tcMar>
          </w:tcPr>
          <w:p w14:paraId="56A92085"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1501</w:t>
            </w:r>
          </w:p>
        </w:tc>
        <w:tc>
          <w:tcPr>
            <w:tcW w:w="1095" w:type="dxa"/>
            <w:shd w:val="clear" w:color="auto" w:fill="auto"/>
            <w:tcMar>
              <w:top w:w="100" w:type="dxa"/>
              <w:left w:w="100" w:type="dxa"/>
              <w:bottom w:w="100" w:type="dxa"/>
              <w:right w:w="100" w:type="dxa"/>
            </w:tcMar>
          </w:tcPr>
          <w:p w14:paraId="3151781E"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w:t>
            </w:r>
          </w:p>
        </w:tc>
        <w:tc>
          <w:tcPr>
            <w:tcW w:w="1080" w:type="dxa"/>
            <w:shd w:val="clear" w:color="auto" w:fill="auto"/>
            <w:tcMar>
              <w:top w:w="100" w:type="dxa"/>
              <w:left w:w="100" w:type="dxa"/>
              <w:bottom w:w="100" w:type="dxa"/>
              <w:right w:w="100" w:type="dxa"/>
            </w:tcMar>
          </w:tcPr>
          <w:p w14:paraId="1D79DCA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10</w:t>
            </w:r>
          </w:p>
        </w:tc>
        <w:tc>
          <w:tcPr>
            <w:tcW w:w="855" w:type="dxa"/>
            <w:shd w:val="clear" w:color="auto" w:fill="auto"/>
            <w:tcMar>
              <w:top w:w="100" w:type="dxa"/>
              <w:left w:w="100" w:type="dxa"/>
              <w:bottom w:w="100" w:type="dxa"/>
              <w:right w:w="100" w:type="dxa"/>
            </w:tcMar>
          </w:tcPr>
          <w:p w14:paraId="6712F6FD"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19</w:t>
            </w:r>
          </w:p>
        </w:tc>
        <w:tc>
          <w:tcPr>
            <w:tcW w:w="1035" w:type="dxa"/>
            <w:shd w:val="clear" w:color="auto" w:fill="auto"/>
            <w:tcMar>
              <w:top w:w="100" w:type="dxa"/>
              <w:left w:w="100" w:type="dxa"/>
              <w:bottom w:w="100" w:type="dxa"/>
              <w:right w:w="100" w:type="dxa"/>
            </w:tcMar>
          </w:tcPr>
          <w:p w14:paraId="5D9A3F92"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33</w:t>
            </w:r>
          </w:p>
        </w:tc>
        <w:tc>
          <w:tcPr>
            <w:tcW w:w="1035" w:type="dxa"/>
            <w:shd w:val="clear" w:color="auto" w:fill="auto"/>
            <w:tcMar>
              <w:top w:w="100" w:type="dxa"/>
              <w:left w:w="100" w:type="dxa"/>
              <w:bottom w:w="100" w:type="dxa"/>
              <w:right w:w="100" w:type="dxa"/>
            </w:tcMar>
          </w:tcPr>
          <w:p w14:paraId="0185A0F4"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68</w:t>
            </w:r>
          </w:p>
        </w:tc>
        <w:tc>
          <w:tcPr>
            <w:tcW w:w="1035" w:type="dxa"/>
            <w:shd w:val="clear" w:color="auto" w:fill="auto"/>
            <w:tcMar>
              <w:top w:w="100" w:type="dxa"/>
              <w:left w:w="100" w:type="dxa"/>
              <w:bottom w:w="100" w:type="dxa"/>
              <w:right w:w="100" w:type="dxa"/>
            </w:tcMar>
          </w:tcPr>
          <w:p w14:paraId="7E7C6D1B"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88</w:t>
            </w:r>
          </w:p>
        </w:tc>
        <w:tc>
          <w:tcPr>
            <w:tcW w:w="1035" w:type="dxa"/>
            <w:shd w:val="clear" w:color="auto" w:fill="auto"/>
            <w:tcMar>
              <w:top w:w="100" w:type="dxa"/>
              <w:left w:w="100" w:type="dxa"/>
              <w:bottom w:w="100" w:type="dxa"/>
              <w:right w:w="100" w:type="dxa"/>
            </w:tcMar>
          </w:tcPr>
          <w:p w14:paraId="0672950E"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101</w:t>
            </w:r>
          </w:p>
        </w:tc>
      </w:tr>
      <w:tr w:rsidR="00A5221C" w:rsidRPr="00F21896" w14:paraId="006A907E" w14:textId="77777777" w:rsidTr="00742570">
        <w:tc>
          <w:tcPr>
            <w:tcW w:w="1125" w:type="dxa"/>
            <w:shd w:val="clear" w:color="auto" w:fill="auto"/>
            <w:tcMar>
              <w:top w:w="100" w:type="dxa"/>
              <w:left w:w="100" w:type="dxa"/>
              <w:bottom w:w="100" w:type="dxa"/>
              <w:right w:w="100" w:type="dxa"/>
            </w:tcMar>
          </w:tcPr>
          <w:p w14:paraId="770CE499"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18S rRNA (Metazoogene)</w:t>
            </w:r>
          </w:p>
        </w:tc>
        <w:tc>
          <w:tcPr>
            <w:tcW w:w="1065" w:type="dxa"/>
            <w:shd w:val="clear" w:color="auto" w:fill="auto"/>
            <w:tcMar>
              <w:top w:w="100" w:type="dxa"/>
              <w:left w:w="100" w:type="dxa"/>
              <w:bottom w:w="100" w:type="dxa"/>
              <w:right w:w="100" w:type="dxa"/>
            </w:tcMar>
          </w:tcPr>
          <w:p w14:paraId="44AAC4C8"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1130</w:t>
            </w:r>
          </w:p>
        </w:tc>
        <w:tc>
          <w:tcPr>
            <w:tcW w:w="1095" w:type="dxa"/>
            <w:shd w:val="clear" w:color="auto" w:fill="auto"/>
            <w:tcMar>
              <w:top w:w="100" w:type="dxa"/>
              <w:left w:w="100" w:type="dxa"/>
              <w:bottom w:w="100" w:type="dxa"/>
              <w:right w:w="100" w:type="dxa"/>
            </w:tcMar>
          </w:tcPr>
          <w:p w14:paraId="664C0897"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w:t>
            </w:r>
          </w:p>
        </w:tc>
        <w:tc>
          <w:tcPr>
            <w:tcW w:w="1080" w:type="dxa"/>
            <w:shd w:val="clear" w:color="auto" w:fill="auto"/>
            <w:tcMar>
              <w:top w:w="100" w:type="dxa"/>
              <w:left w:w="100" w:type="dxa"/>
              <w:bottom w:w="100" w:type="dxa"/>
              <w:right w:w="100" w:type="dxa"/>
            </w:tcMar>
          </w:tcPr>
          <w:p w14:paraId="0DF28431"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15</w:t>
            </w:r>
          </w:p>
        </w:tc>
        <w:tc>
          <w:tcPr>
            <w:tcW w:w="855" w:type="dxa"/>
            <w:shd w:val="clear" w:color="auto" w:fill="auto"/>
            <w:tcMar>
              <w:top w:w="100" w:type="dxa"/>
              <w:left w:w="100" w:type="dxa"/>
              <w:bottom w:w="100" w:type="dxa"/>
              <w:right w:w="100" w:type="dxa"/>
            </w:tcMar>
          </w:tcPr>
          <w:p w14:paraId="2BC5FE87"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18</w:t>
            </w:r>
          </w:p>
        </w:tc>
        <w:tc>
          <w:tcPr>
            <w:tcW w:w="1035" w:type="dxa"/>
            <w:shd w:val="clear" w:color="auto" w:fill="auto"/>
            <w:tcMar>
              <w:top w:w="100" w:type="dxa"/>
              <w:left w:w="100" w:type="dxa"/>
              <w:bottom w:w="100" w:type="dxa"/>
              <w:right w:w="100" w:type="dxa"/>
            </w:tcMar>
          </w:tcPr>
          <w:p w14:paraId="65C259C2"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35</w:t>
            </w:r>
          </w:p>
        </w:tc>
        <w:tc>
          <w:tcPr>
            <w:tcW w:w="1035" w:type="dxa"/>
            <w:shd w:val="clear" w:color="auto" w:fill="auto"/>
            <w:tcMar>
              <w:top w:w="100" w:type="dxa"/>
              <w:left w:w="100" w:type="dxa"/>
              <w:bottom w:w="100" w:type="dxa"/>
              <w:right w:w="100" w:type="dxa"/>
            </w:tcMar>
          </w:tcPr>
          <w:p w14:paraId="6BFA43B6"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48</w:t>
            </w:r>
          </w:p>
        </w:tc>
        <w:tc>
          <w:tcPr>
            <w:tcW w:w="1035" w:type="dxa"/>
            <w:shd w:val="clear" w:color="auto" w:fill="auto"/>
            <w:tcMar>
              <w:top w:w="100" w:type="dxa"/>
              <w:left w:w="100" w:type="dxa"/>
              <w:bottom w:w="100" w:type="dxa"/>
              <w:right w:w="100" w:type="dxa"/>
            </w:tcMar>
          </w:tcPr>
          <w:p w14:paraId="7B048DF5" w14:textId="77777777" w:rsidR="00A5221C" w:rsidRPr="00F21896" w:rsidRDefault="00A5221C" w:rsidP="00742570">
            <w:pPr>
              <w:widowControl w:val="0"/>
              <w:spacing w:line="240" w:lineRule="auto"/>
              <w:rPr>
                <w:rFonts w:asciiTheme="minorHAnsi" w:hAnsiTheme="minorHAnsi"/>
              </w:rPr>
            </w:pPr>
            <w:r w:rsidRPr="00F21896">
              <w:rPr>
                <w:rFonts w:asciiTheme="minorHAnsi" w:hAnsiTheme="minorHAnsi"/>
              </w:rPr>
              <w:t>45</w:t>
            </w:r>
          </w:p>
        </w:tc>
        <w:tc>
          <w:tcPr>
            <w:tcW w:w="1035" w:type="dxa"/>
            <w:shd w:val="clear" w:color="auto" w:fill="auto"/>
            <w:tcMar>
              <w:top w:w="100" w:type="dxa"/>
              <w:left w:w="100" w:type="dxa"/>
              <w:bottom w:w="100" w:type="dxa"/>
              <w:right w:w="100" w:type="dxa"/>
            </w:tcMar>
          </w:tcPr>
          <w:p w14:paraId="78C6DF1F" w14:textId="77777777" w:rsidR="00A5221C" w:rsidRPr="00F21896" w:rsidRDefault="00A5221C" w:rsidP="00742570">
            <w:pPr>
              <w:keepNext/>
              <w:widowControl w:val="0"/>
              <w:spacing w:line="240" w:lineRule="auto"/>
              <w:rPr>
                <w:rFonts w:asciiTheme="minorHAnsi" w:hAnsiTheme="minorHAnsi"/>
              </w:rPr>
            </w:pPr>
            <w:r w:rsidRPr="00F21896">
              <w:rPr>
                <w:rFonts w:asciiTheme="minorHAnsi" w:hAnsiTheme="minorHAnsi"/>
              </w:rPr>
              <w:t>44</w:t>
            </w:r>
          </w:p>
        </w:tc>
      </w:tr>
    </w:tbl>
    <w:p w14:paraId="1335D85D" w14:textId="77777777" w:rsidR="00A5221C" w:rsidRPr="00F21896" w:rsidRDefault="00A5221C" w:rsidP="00A5221C">
      <w:pPr>
        <w:pStyle w:val="Caption"/>
        <w:rPr>
          <w:rFonts w:asciiTheme="minorHAnsi" w:hAnsiTheme="minorHAnsi"/>
        </w:rPr>
      </w:pPr>
      <w:bookmarkStart w:id="3" w:name="_Ref150259993"/>
      <w:r w:rsidRPr="00F21896">
        <w:rPr>
          <w:rFonts w:asciiTheme="minorHAnsi" w:hAnsiTheme="minorHAnsi"/>
        </w:rPr>
        <w:t xml:space="preserve">Table </w:t>
      </w:r>
      <w:r w:rsidRPr="00F21896">
        <w:rPr>
          <w:rFonts w:asciiTheme="minorHAnsi" w:hAnsiTheme="minorHAnsi"/>
        </w:rPr>
        <w:fldChar w:fldCharType="begin"/>
      </w:r>
      <w:r w:rsidRPr="00F21896">
        <w:rPr>
          <w:rFonts w:asciiTheme="minorHAnsi" w:hAnsiTheme="minorHAnsi"/>
        </w:rPr>
        <w:instrText xml:space="preserve"> SEQ Table \* ARABIC </w:instrText>
      </w:r>
      <w:r w:rsidRPr="00F21896">
        <w:rPr>
          <w:rFonts w:asciiTheme="minorHAnsi" w:hAnsiTheme="minorHAnsi"/>
        </w:rPr>
        <w:fldChar w:fldCharType="separate"/>
      </w:r>
      <w:r w:rsidRPr="00F21896">
        <w:rPr>
          <w:rFonts w:asciiTheme="minorHAnsi" w:hAnsiTheme="minorHAnsi"/>
          <w:noProof/>
        </w:rPr>
        <w:t>2</w:t>
      </w:r>
      <w:r w:rsidRPr="00F21896">
        <w:rPr>
          <w:rFonts w:asciiTheme="minorHAnsi" w:hAnsiTheme="minorHAnsi"/>
          <w:noProof/>
        </w:rPr>
        <w:fldChar w:fldCharType="end"/>
      </w:r>
      <w:bookmarkEnd w:id="3"/>
      <w:r w:rsidRPr="00F21896">
        <w:rPr>
          <w:rFonts w:asciiTheme="minorHAnsi" w:hAnsiTheme="minorHAnsi"/>
        </w:rPr>
        <w:t>. The number of ASV’s identified to primary taxonomic levels for COI and 18S using BLAST and Metazoogene.</w:t>
      </w:r>
    </w:p>
    <w:p w14:paraId="13BA302C"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Metabarcoding is limited by taxon-specific amplification biases and masking the detection of rare species </w:t>
      </w:r>
      <w:r w:rsidRPr="00F21896">
        <w:rPr>
          <w:rFonts w:asciiTheme="minorHAnsi" w:hAnsiTheme="minorHAnsi"/>
        </w:rPr>
        <w:fldChar w:fldCharType="begin"/>
      </w:r>
      <w:r w:rsidRPr="00F21896">
        <w:rPr>
          <w:rFonts w:asciiTheme="minorHAnsi" w:hAnsiTheme="minorHAnsi"/>
        </w:rPr>
        <w:instrText xml:space="preserve"> ADDIN ZOTERO_ITEM CSL_CITATION {"citationID":"htVCtLDi","properties":{"formattedCitation":"(Shelton {\\i{}et al.}, 2023)","plainCitation":"(Shelton et al., 2023)","noteIndex":0},"citationItems":[{"id":663,"uris":["http://zotero.org/groups/5151425/items/9YQQL5GC"],"itemData":{"id":663,"type":"article-journal","abstract":"Amplicon-sequence data from environmental DNA (eDNA) and microbiome studies provide important information for ecology, conservation, management, and health. At present, amplicon-sequencing studies—known also as metabarcoding studies, in which the primary data consist of targeted, amplified fragments of DNA sequenced from many taxa in a mixture—struggle to link genetic observations to the underlying biology in a quantitative way, but many applications require quantitative information about the taxa or systems under scrutiny. As metabarcoding studies proliferate in ecology, it becomes more important to develop ways to make them quantitative to ensure that their conclusions are adequately supported. Here we link previously disparate sets of techniques for making such data quantitative, showing that the underlying polymerase chain reaction mechanism explains the observed patterns of amplicon data in a general way. By modeling the process through which amplicon-sequence data arise, rather than transforming the data post hoc, we show how to estimate the starting DNA proportions from a mixture of many taxa. We illustrate how to calibrate the model using mock communities and apply the approach to simulated data and a series of empirical examples. Our approach opens the door to improve the use of metabarcoding data in a wide range of applications in ecology, public health, and related fields.","container-title":"Ecology","DOI":"10.1002/ecy.3906","ISSN":"1939-9170","issue":"2","language":"en","license":"© 2022 The Ecological Society of America. This article has been contributed to by U.S. Government employees and their work is in the public domain in the USA.","note":"_eprint: https://onlinelibrary.wiley.com/doi/pdf/10.1002/ecy.3906","page":"e3906","source":"Wiley Online Library","title":"Toward quantitative metabarcoding","volume":"104","author":[{"family":"Shelton","given":"Andrew Olaf"},{"family":"Gold","given":"Zachary J."},{"family":"Jensen","given":"Alexander J."},{"family":"D′Agnese","given":"Erin"},{"family":"Andruszkiewicz Allan","given":"Elizabeth"},{"family":"Van Cise","given":"Amy"},{"family":"Gallego","given":"Ramón"},{"family":"Ramón-Laca","given":"Ana"},{"family":"Garber-Yonts","given":"Maya"},{"family":"Parsons","given":"Kim"},{"family":"Kelly","given":"Ryan P."}],"issued":{"date-parts":[["2023"]]}}}],"schema":"https://github.com/citation-style-language/schema/raw/master/csl-citation.json"}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(Shelton </w:t>
      </w:r>
      <w:r w:rsidRPr="00F21896">
        <w:rPr>
          <w:rFonts w:asciiTheme="minorHAnsi" w:hAnsiTheme="minorHAnsi"/>
          <w:i/>
          <w:iCs/>
          <w:szCs w:val="24"/>
        </w:rPr>
        <w:t>et al.</w:t>
      </w:r>
      <w:r w:rsidRPr="00F21896">
        <w:rPr>
          <w:rFonts w:asciiTheme="minorHAnsi" w:hAnsiTheme="minorHAnsi"/>
          <w:szCs w:val="24"/>
        </w:rPr>
        <w:t>, 2023)</w:t>
      </w:r>
      <w:r w:rsidRPr="00F21896">
        <w:rPr>
          <w:rFonts w:asciiTheme="minorHAnsi" w:hAnsiTheme="minorHAnsi"/>
        </w:rPr>
        <w:fldChar w:fldCharType="end"/>
      </w:r>
      <w:r w:rsidRPr="00F21896">
        <w:rPr>
          <w:rFonts w:asciiTheme="minorHAnsi" w:hAnsiTheme="minorHAnsi"/>
        </w:rPr>
        <w:t>. Data transformations such as normalization to a median number of read counts can alleviate some of the bias in raw reads, but methods to estimate true proportions of species in a sample that can be correlated to biomass at the species level remain in development. Here I include analysis of relative read abundance (RRA), read abundance normalized by the median number of read counts, and my PCR-bias corrected relative abundances (only for particular ASVs).</w:t>
      </w:r>
    </w:p>
    <w:p w14:paraId="68D6B26E" w14:textId="77777777" w:rsidR="00A5221C" w:rsidRPr="00F21896" w:rsidRDefault="00A5221C" w:rsidP="00A5221C">
      <w:pPr>
        <w:ind w:firstLine="720"/>
        <w:rPr>
          <w:rFonts w:asciiTheme="minorHAnsi" w:hAnsiTheme="minorHAnsi"/>
        </w:rPr>
      </w:pPr>
    </w:p>
    <w:p w14:paraId="0F880F20" w14:textId="77777777" w:rsidR="00A5221C" w:rsidRPr="00F21896" w:rsidRDefault="00A5221C" w:rsidP="00A5221C">
      <w:pPr>
        <w:rPr>
          <w:rFonts w:asciiTheme="minorHAnsi" w:hAnsiTheme="minorHAnsi"/>
          <w:i/>
        </w:rPr>
      </w:pPr>
      <w:r w:rsidRPr="00F21896">
        <w:rPr>
          <w:rFonts w:asciiTheme="minorHAnsi" w:hAnsiTheme="minorHAnsi"/>
          <w:i/>
        </w:rPr>
        <w:t>Additional Pre-processing for fido &amp; Use in Modeling Against Environmental Properties</w:t>
      </w:r>
    </w:p>
    <w:p w14:paraId="71B902A8"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Prior to the implementation of the R package </w:t>
      </w:r>
      <w:r w:rsidRPr="00F21896">
        <w:rPr>
          <w:rFonts w:asciiTheme="minorHAnsi" w:hAnsiTheme="minorHAnsi"/>
          <w:i/>
        </w:rPr>
        <w:t>fido</w:t>
      </w:r>
      <w:r w:rsidRPr="00F21896">
        <w:rPr>
          <w:rFonts w:asciiTheme="minorHAnsi" w:hAnsiTheme="minorHAnsi"/>
        </w:rPr>
        <w:t xml:space="preserve"> we applied additional filtering to examine only abundant and widespread ASV’s that met a specific criterion. Previous work using </w:t>
      </w:r>
      <w:r w:rsidRPr="00F21896">
        <w:rPr>
          <w:rFonts w:asciiTheme="minorHAnsi" w:hAnsiTheme="minorHAnsi"/>
          <w:i/>
        </w:rPr>
        <w:t xml:space="preserve">fido </w:t>
      </w:r>
      <w:r w:rsidRPr="00F21896">
        <w:rPr>
          <w:rFonts w:asciiTheme="minorHAnsi" w:hAnsiTheme="minorHAnsi"/>
        </w:rPr>
        <w:t xml:space="preserve">modeled human gut microbiome data and was analyzed at the genus level and genera that were not seen in at least 30% of samples with at least 3 counts were amalgamated together into a category called “other” for analysis </w:t>
      </w:r>
      <w:r w:rsidRPr="00F21896">
        <w:rPr>
          <w:rFonts w:asciiTheme="minorHAnsi" w:hAnsiTheme="minorHAnsi"/>
        </w:rPr>
        <w:fldChar w:fldCharType="begin"/>
      </w:r>
      <w:r w:rsidRPr="00F21896">
        <w:rPr>
          <w:rFonts w:asciiTheme="minorHAnsi" w:hAnsiTheme="minorHAnsi"/>
        </w:rPr>
        <w:instrText xml:space="preserve"> ADDIN ZOTERO_ITEM CSL_CITATION {"citationID":"2Kq5QurR","properties":{"formattedCitation":"(Silverman {\\i{}et al.}, 2021)","plainCitation":"(Silverman et al., 2021)","noteIndex":0},"citationItems":[{"id":511,"uris":["http://zotero.org/groups/4798145/items/T699T99A"],"itemData":{"id":511,"type":"article-journal","abstract":"PCR amplification plays an integral role in the measurement of mixed microbial communities via high-throughput DNA sequencing of the 16S ribosomal RNA (rRNA) gene. Yet PCR is also known to introduce multiple forms of bias in 16S rRNA studies. Here we present a paired modeling and experimental approach to characterize and mitigate PCR NPM-bias (PCR bias from non-primer-mismatch sources) in microbiota surveys. We use experimental data from mock bacterial communities to validate our approach and human gut microbiota samples to characterize PCR NPM-bias under real-world conditions. Our results suggest that PCR NPM-bias can skew estimates of microbial relative abundances by a factor of 4 or more, but that this bias can be mitigated using log-ratio linear models.","container-title":"PLOS Computational Biology","DOI":"10.1371/journal.pcbi.1009113","ISSN":"1553-7358","issue":"7","journalAbbreviation":"PLOS Computational Biology","language":"en","note":"publisher: Public Library of Science","page":"e1009113","source":"PLoS Journals","title":"Measuring and mitigating PCR bias in microbiota datasets","volume":"17","author":[{"family":"Silverman","given":"Justin D."},{"family":"Bloom","given":"Rachael J."},{"family":"Jiang","given":"Sharon"},{"family":"Durand","given":"Heather K."},{"family":"Dallow","given":"Eric"},{"family":"Mukherjee","given":"Sayan"},{"family":"David","given":"Lawrence A."}],"issued":{"date-parts":[["2021",7,6]]}}}],"schema":"https://github.com/citation-style-language/schema/raw/master/csl-citation.json"}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(Silverman </w:t>
      </w:r>
      <w:r w:rsidRPr="00F21896">
        <w:rPr>
          <w:rFonts w:asciiTheme="minorHAnsi" w:hAnsiTheme="minorHAnsi"/>
          <w:i/>
          <w:iCs/>
          <w:szCs w:val="24"/>
        </w:rPr>
        <w:t>et al.</w:t>
      </w:r>
      <w:r w:rsidRPr="00F21896">
        <w:rPr>
          <w:rFonts w:asciiTheme="minorHAnsi" w:hAnsiTheme="minorHAnsi"/>
          <w:szCs w:val="24"/>
        </w:rPr>
        <w:t>, 2021)</w:t>
      </w:r>
      <w:r w:rsidRPr="00F21896">
        <w:rPr>
          <w:rFonts w:asciiTheme="minorHAnsi" w:hAnsiTheme="minorHAnsi"/>
        </w:rPr>
        <w:fldChar w:fldCharType="end"/>
      </w:r>
      <w:r w:rsidRPr="00F21896">
        <w:rPr>
          <w:rFonts w:asciiTheme="minorHAnsi" w:hAnsiTheme="minorHAnsi"/>
        </w:rPr>
        <w:t xml:space="preserve">. Due to the environmental nature of my samples and the fact that samples are not collected evenly across environments, we applied a modified approach. </w:t>
      </w:r>
    </w:p>
    <w:p w14:paraId="61A7E489"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First, we selected only ASVs that appeared in all replicates of my variable PCR experiment to ensure that an amplification efficiency could be adequately calculated for each ASV. Next, we constructed an Empirical Cumulative Density Function (ECDF) of the count sums across all environmental samples and set a threshold of 0.9 to examine only ASV’s in the top 10% of the ECDF distribution. Remaining ASV’s that did not meet my criteria were pooled into </w:t>
      </w:r>
      <w:r w:rsidRPr="00F21896">
        <w:rPr>
          <w:rFonts w:asciiTheme="minorHAnsi" w:hAnsiTheme="minorHAnsi"/>
        </w:rPr>
        <w:lastRenderedPageBreak/>
        <w:t>an ‘other’ category. Separate analyses based on size class was necessary for this step, as larger taxa were abundant in different subsets of samples than smaller taxa and contained distinct biological communities.</w:t>
      </w:r>
    </w:p>
    <w:p w14:paraId="00F73F34" w14:textId="77777777" w:rsidR="00A5221C" w:rsidRPr="00F21896" w:rsidRDefault="00A5221C" w:rsidP="00A5221C">
      <w:pPr>
        <w:keepNext/>
        <w:rPr>
          <w:rFonts w:asciiTheme="minorHAnsi" w:hAnsiTheme="minorHAnsi"/>
        </w:rPr>
      </w:pPr>
      <w:r w:rsidRPr="00F21896">
        <w:rPr>
          <w:rFonts w:asciiTheme="minorHAnsi" w:hAnsiTheme="minorHAnsi"/>
        </w:rPr>
        <w:tab/>
        <w:t xml:space="preserve">In addition to its suitability for modeling PCR bias, </w:t>
      </w:r>
      <w:r w:rsidRPr="00F21896">
        <w:rPr>
          <w:rFonts w:asciiTheme="minorHAnsi" w:hAnsiTheme="minorHAnsi"/>
          <w:i/>
        </w:rPr>
        <w:t xml:space="preserve">fido </w:t>
      </w:r>
      <w:r w:rsidRPr="00F21896">
        <w:rPr>
          <w:rFonts w:asciiTheme="minorHAnsi" w:hAnsiTheme="minorHAnsi"/>
        </w:rPr>
        <w:t>can be used to construct Bayesian Multinomial Logistic Normal relationships between ASVs and environmental variables. we applied the previously described criteria to examine which environmental properties (Table  S1) displayed significant relationships with ASVs. Resulting mean centered-log ratio values that did not contain 0 in the 95% confidence interval were deemed significant.</w:t>
      </w:r>
    </w:p>
    <w:p w14:paraId="284062CB" w14:textId="77777777" w:rsidR="00A5221C" w:rsidRPr="00F21896" w:rsidRDefault="00A5221C" w:rsidP="00A5221C">
      <w:pPr>
        <w:rPr>
          <w:rFonts w:asciiTheme="minorHAnsi" w:hAnsiTheme="minorHAnsi"/>
        </w:rPr>
      </w:pPr>
      <w:r w:rsidRPr="00F21896">
        <w:rPr>
          <w:rFonts w:asciiTheme="minorHAnsi" w:hAnsiTheme="minorHAnsi"/>
        </w:rPr>
        <w:t xml:space="preserve"> </w:t>
      </w:r>
    </w:p>
    <w:p w14:paraId="491AC25D" w14:textId="77777777" w:rsidR="00A5221C" w:rsidRPr="00F21896" w:rsidRDefault="00A5221C" w:rsidP="00A5221C">
      <w:pPr>
        <w:rPr>
          <w:rFonts w:asciiTheme="minorHAnsi" w:hAnsiTheme="minorHAnsi"/>
          <w:i/>
        </w:rPr>
      </w:pPr>
      <w:r w:rsidRPr="00F21896">
        <w:rPr>
          <w:rFonts w:asciiTheme="minorHAnsi" w:hAnsiTheme="minorHAnsi"/>
          <w:i/>
        </w:rPr>
        <w:t>Zooscan Sample Processing and Analysis</w:t>
      </w:r>
    </w:p>
    <w:p w14:paraId="229F4D1B" w14:textId="77777777" w:rsidR="00A5221C" w:rsidRPr="00F21896" w:rsidRDefault="00A5221C" w:rsidP="00A5221C">
      <w:pPr>
        <w:rPr>
          <w:rFonts w:asciiTheme="minorHAnsi" w:hAnsiTheme="minorHAnsi"/>
        </w:rPr>
      </w:pPr>
      <w:r w:rsidRPr="00F21896">
        <w:rPr>
          <w:rFonts w:asciiTheme="minorHAnsi" w:hAnsiTheme="minorHAnsi"/>
        </w:rPr>
        <w:tab/>
        <w:t>Formalin-preserved samples were size fractionated (&gt;1000 µm &amp; 200-1000 µm) and quantitatively sub-sampled to approximately 1500 individuals, which were distributed into the Zooscan imaging tray. A complete image was taken, the background was removed, and individual plankton vignettes were extracted into regions of interest (ROI’s) using ImageJ. Touching plankton were manually separated by the user, then re-processed. Processed samples and metadata were uploaded to Ecotaxa-a web application where users upload and host images of individual plankton and particles, classify them using taxonomic annotation and machine learning algorithms and export processed ecological datasets.</w:t>
      </w:r>
    </w:p>
    <w:p w14:paraId="545DC266" w14:textId="77777777" w:rsidR="00A5221C" w:rsidRPr="00F21896" w:rsidRDefault="00A5221C" w:rsidP="00A5221C">
      <w:pPr>
        <w:rPr>
          <w:rFonts w:asciiTheme="minorHAnsi" w:hAnsiTheme="minorHAnsi"/>
        </w:rPr>
      </w:pPr>
      <w:r w:rsidRPr="00F21896">
        <w:rPr>
          <w:rFonts w:asciiTheme="minorHAnsi" w:hAnsiTheme="minorHAnsi"/>
        </w:rPr>
        <w:tab/>
        <w:t xml:space="preserve">We followed this workflow for formalin-preserved zooplankton samples from the port side net of the oblique bongo tows from which my size-fractionated DNA tissue samples were collected. Due to limitations in taxonomic expertise, we identified images into 35 taxonomic categories, multiples, and an additional 4 non-living categories. We used feret diameter from each image and length-carbon relationships to calculate carbon-biomass for each organism </w:t>
      </w:r>
      <w:r w:rsidRPr="00F21896">
        <w:rPr>
          <w:rFonts w:asciiTheme="minorHAnsi" w:hAnsiTheme="minorHAnsi"/>
        </w:rPr>
        <w:fldChar w:fldCharType="begin"/>
      </w:r>
      <w:r w:rsidRPr="00F21896">
        <w:rPr>
          <w:rFonts w:asciiTheme="minorHAnsi" w:hAnsiTheme="minorHAnsi"/>
        </w:rPr>
        <w:instrText xml:space="preserve"> ADDIN ZOTERO_ITEM CSL_CITATION {"citationID":"cVVWsO22","properties":{"formattedCitation":"(Lavaniegos and Ohman, 2007)","plainCitation":"(Lavaniegos and Ohman, 2007)","noteIndex":0},"citationItems":[{"id":685,"uris":["http://zotero.org/groups/5151425/items/25NZVMG2"],"itemData":{"id":685,"type":"article-journal","abstract":"We analyzed long-term (56-year) variations in springtime biomass of the zooplankton of the California Current System from two primary regions sampled by CalCOFI: Southern California (SC) and Central California (CC) waters. All organisms were enumerated from the plankton samples and converted to organic carbon biomass using length–carbon relationships, then aggregated into 19 major taxa. Planktonic copepods dominate the carbon biomass in both SC (59%) and CC (46%), followed by euphausiids (18% and 25% of mean biomass in SC and CC, respectively). Pelagic tunicates, especially salps and doliolids, constituted a higher fraction of the biomass in CC (13%) than in SC (5%). There was no long-term trend detectable in total zooplankton carbon biomass, in marked contrast to a decline in zooplankton displacement volume in both regions. The difference between these biomass metrics is accounted for by a long-term decline in pelagic tunicates (particularly salps), which have a relatively high ratio of biovolume:carbon. The decline in pelagic tunicates was accompanied by a long-term increase in water column density stratification. No other taxa showed a decline over the duration of the study, apart from salps and pyrosomes in SC and doliolids in CC. Some zooplankton taxa showed compensatory increases over the same time period (ostracods, large decapods, and calycophoran siphonophores in both SC and CC; appendicularians and polychaetes in SC). Two tests for ecosystem shifts, a sequential algorithm and the cumulative sum of anomalies (CuSum) approach, failed to detect changes in 1976–1977 in total carbon biomass, displacement volume, or most individual major taxa, suggesting that aggregated biomass is an insensitive indicator of climate forcing. In contrast, both techniques revealed a cluster of step-like changes associated with the La Niña of 1999. The major El Niño’s in the past half century have consistently depressed total zooplankton biomass and biomass of many major taxa in both SC and CC, although such effects are transitory. Much, but not all, of the interannual variability in zooplankton is shared between the Southern and Central California sectors of the California Current System.","container-title":"Progress in Oceanography","DOI":"10.1016/j.pocean.2007.07.002","ISSN":"0079-6611","issue":"1","journalAbbreviation":"Progress in Oceanography","page":"42-69","source":"ScienceDirect","title":"Coherence of long-term variations of zooplankton in two sectors of the California Current System","volume":"75","author":[{"family":"Lavaniegos","given":"Bertha E."},{"family":"Ohman","given":"Mark D."}],"issued":{"date-parts":[["2007",10,1]]}}}],"schema":"https://github.com/citation-style-language/schema/raw/master/csl-citation.json"}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(Lavaniegos and Ohman, 2007)</w:t>
      </w:r>
      <w:r w:rsidRPr="00F21896">
        <w:rPr>
          <w:rFonts w:asciiTheme="minorHAnsi" w:hAnsiTheme="minorHAnsi"/>
        </w:rPr>
        <w:fldChar w:fldCharType="end"/>
      </w:r>
      <w:r w:rsidRPr="00F21896">
        <w:rPr>
          <w:rFonts w:asciiTheme="minorHAnsi" w:hAnsiTheme="minorHAnsi"/>
        </w:rPr>
        <w:t xml:space="preserve">. Taxon abundance and carbon biomass were standardized for aliquot volumes and the filtered volume of seawater measured by the flow meter during the net tow. </w:t>
      </w:r>
    </w:p>
    <w:p w14:paraId="2BF7A8BC" w14:textId="77777777" w:rsidR="00A5221C" w:rsidRPr="00F21896" w:rsidRDefault="00A5221C" w:rsidP="00A5221C">
      <w:pPr>
        <w:rPr>
          <w:rFonts w:asciiTheme="minorHAnsi" w:hAnsiTheme="minorHAnsi"/>
        </w:rPr>
      </w:pPr>
    </w:p>
    <w:p w14:paraId="5710FA6E" w14:textId="77777777" w:rsidR="00A5221C" w:rsidRPr="00F21896" w:rsidRDefault="00A5221C" w:rsidP="00A5221C">
      <w:pPr>
        <w:rPr>
          <w:rFonts w:asciiTheme="minorHAnsi" w:hAnsiTheme="minorHAnsi"/>
          <w:i/>
        </w:rPr>
      </w:pPr>
      <w:r w:rsidRPr="00F21896">
        <w:rPr>
          <w:rFonts w:asciiTheme="minorHAnsi" w:hAnsiTheme="minorHAnsi"/>
          <w:i/>
        </w:rPr>
        <w:t>Physical Environmental Analysis</w:t>
      </w:r>
    </w:p>
    <w:p w14:paraId="41642866" w14:textId="77777777" w:rsidR="00A5221C" w:rsidRPr="00F21896" w:rsidRDefault="00A5221C" w:rsidP="00A5221C">
      <w:pPr>
        <w:ind w:firstLine="720"/>
        <w:rPr>
          <w:rFonts w:asciiTheme="minorHAnsi" w:hAnsiTheme="minorHAnsi"/>
        </w:rPr>
      </w:pPr>
      <w:r w:rsidRPr="00F21896">
        <w:rPr>
          <w:rFonts w:asciiTheme="minorHAnsi" w:hAnsiTheme="minorHAnsi"/>
        </w:rPr>
        <w:t>The CCE-LTER process cruises are interdisciplinary efforts and generate a range of physical, chemical and biological data. Here, we use the physical and chemical data to 1) determine the environmental clustering within my study, 2) compare these results to biological distributions, and 3) model relationships between environmental factors and the abundance of particular taxa.</w:t>
      </w:r>
    </w:p>
    <w:p w14:paraId="3A6EB41C" w14:textId="77777777" w:rsidR="00A5221C" w:rsidRPr="00F21896" w:rsidRDefault="00A5221C" w:rsidP="00A5221C">
      <w:pPr>
        <w:ind w:firstLine="720"/>
        <w:rPr>
          <w:rFonts w:asciiTheme="minorHAnsi" w:hAnsiTheme="minorHAnsi"/>
        </w:rPr>
      </w:pPr>
      <w:r w:rsidRPr="00F21896">
        <w:rPr>
          <w:rFonts w:asciiTheme="minorHAnsi" w:hAnsiTheme="minorHAnsi"/>
        </w:rPr>
        <w:t>We collected downcast data from CTD casts associated with each net tow and merged these with nutrient data measured from Niskin bottles including NO3, NO2, PO4, and SIL. We used surface-averaged (top 20m) values for nutrient bottle measurements and CTD data including potential temperature, density, fluorescence, salinity, and oxygen saturation (</w:t>
      </w:r>
      <w:r w:rsidRPr="00F21896">
        <w:rPr>
          <w:rFonts w:asciiTheme="minorHAnsi" w:hAnsiTheme="minorHAnsi"/>
        </w:rPr>
        <w:fldChar w:fldCharType="begin"/>
      </w:r>
      <w:r w:rsidRPr="00F21896">
        <w:rPr>
          <w:rFonts w:asciiTheme="minorHAnsi" w:hAnsiTheme="minorHAnsi"/>
        </w:rPr>
        <w:instrText xml:space="preserve"> REF _Ref150260486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Table </w:t>
      </w:r>
      <w:r w:rsidRPr="00F21896">
        <w:rPr>
          <w:rFonts w:asciiTheme="minorHAnsi" w:hAnsiTheme="minorHAnsi"/>
          <w:noProof/>
        </w:rPr>
        <w:t>3</w:t>
      </w:r>
      <w:r w:rsidRPr="00F21896">
        <w:rPr>
          <w:rFonts w:asciiTheme="minorHAnsi" w:hAnsiTheme="minorHAnsi"/>
        </w:rPr>
        <w:fldChar w:fldCharType="end"/>
      </w:r>
      <w:r w:rsidRPr="00F21896">
        <w:rPr>
          <w:rFonts w:asciiTheme="minorHAnsi" w:hAnsiTheme="minorHAnsi"/>
        </w:rPr>
        <w:t xml:space="preserve"> S1). Additionally we calculated the mixed layer depth (where a difference in 0.125 density </w:t>
      </w:r>
      <w:r w:rsidRPr="00F21896">
        <w:rPr>
          <w:rFonts w:asciiTheme="minorHAnsi" w:hAnsiTheme="minorHAnsi"/>
        </w:rPr>
        <w:lastRenderedPageBreak/>
        <w:t>change occurs), nitracline depth (defined as the depth where nitrate concentration exceeds 1 µM), hypoxic depth (defined as the depth at which oxygen concentration first drops below 2mL/L or the minimum oxygen depth if greater than 2 mL/L for the entire cast), the chlorophyll-a fluorescence maximum depth and fluorescence value, beam transmissometry maximum depth, distance from shore, and the 1% PAR depth (if a night cast we used the nearest daytime cast) (</w:t>
      </w:r>
      <w:r w:rsidRPr="00F21896">
        <w:rPr>
          <w:rFonts w:asciiTheme="minorHAnsi" w:hAnsiTheme="minorHAnsi"/>
        </w:rPr>
        <w:fldChar w:fldCharType="begin"/>
      </w:r>
      <w:r w:rsidRPr="00F21896">
        <w:rPr>
          <w:rFonts w:asciiTheme="minorHAnsi" w:hAnsiTheme="minorHAnsi"/>
        </w:rPr>
        <w:instrText xml:space="preserve"> REF _Ref150260486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Table </w:t>
      </w:r>
      <w:r w:rsidRPr="00F21896">
        <w:rPr>
          <w:rFonts w:asciiTheme="minorHAnsi" w:hAnsiTheme="minorHAnsi"/>
          <w:noProof/>
        </w:rPr>
        <w:t>3</w:t>
      </w:r>
      <w:r w:rsidRPr="00F21896">
        <w:rPr>
          <w:rFonts w:asciiTheme="minorHAnsi" w:hAnsiTheme="minorHAnsi"/>
        </w:rPr>
        <w:fldChar w:fldCharType="end"/>
      </w:r>
      <w:r w:rsidRPr="00F21896">
        <w:rPr>
          <w:rFonts w:asciiTheme="minorHAnsi" w:hAnsiTheme="minorHAnsi"/>
        </w:rPr>
        <w:t xml:space="preserve"> S1). Nutrient data were not collected during T2, so we used the R package </w:t>
      </w:r>
      <w:r w:rsidRPr="00F21896">
        <w:rPr>
          <w:rFonts w:asciiTheme="minorHAnsi" w:hAnsiTheme="minorHAnsi"/>
          <w:i/>
        </w:rPr>
        <w:t xml:space="preserve">missMDA (version 1.18) </w:t>
      </w:r>
      <w:r w:rsidRPr="00F21896">
        <w:rPr>
          <w:rFonts w:asciiTheme="minorHAnsi" w:hAnsiTheme="minorHAnsi"/>
        </w:rPr>
        <w:t xml:space="preserve">function </w:t>
      </w:r>
      <w:r w:rsidRPr="00F21896">
        <w:rPr>
          <w:rFonts w:asciiTheme="minorHAnsi" w:hAnsiTheme="minorHAnsi"/>
          <w:i/>
        </w:rPr>
        <w:t xml:space="preserve">imputePCA </w:t>
      </w:r>
      <w:r w:rsidRPr="00F21896">
        <w:rPr>
          <w:rFonts w:asciiTheme="minorHAnsi" w:hAnsiTheme="minorHAnsi"/>
        </w:rPr>
        <w:t xml:space="preserve">to impute the missing values (Josse, 2016) with the 1st principal component as determined by the </w:t>
      </w:r>
      <w:r w:rsidRPr="00F21896">
        <w:rPr>
          <w:rFonts w:asciiTheme="minorHAnsi" w:hAnsiTheme="minorHAnsi"/>
          <w:i/>
        </w:rPr>
        <w:t xml:space="preserve">estim_ncpPCA </w:t>
      </w:r>
      <w:r w:rsidRPr="00F21896">
        <w:rPr>
          <w:rFonts w:asciiTheme="minorHAnsi" w:hAnsiTheme="minorHAnsi"/>
        </w:rPr>
        <w:t xml:space="preserve">function from </w:t>
      </w:r>
      <w:r w:rsidRPr="00F21896">
        <w:rPr>
          <w:rFonts w:asciiTheme="minorHAnsi" w:hAnsiTheme="minorHAnsi"/>
          <w:i/>
        </w:rPr>
        <w:t>missMDA.</w:t>
      </w:r>
      <w:r w:rsidRPr="00F21896">
        <w:rPr>
          <w:rFonts w:asciiTheme="minorHAnsi" w:hAnsiTheme="minorHAnsi"/>
        </w:rPr>
        <w:t xml:space="preserve"> </w:t>
      </w:r>
    </w:p>
    <w:p w14:paraId="440074F5"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Next, we performed a principal components analysis (PCA) on the complete metadata table. We used the R package </w:t>
      </w:r>
      <w:r w:rsidRPr="00F21896">
        <w:rPr>
          <w:rFonts w:asciiTheme="minorHAnsi" w:hAnsiTheme="minorHAnsi"/>
          <w:i/>
        </w:rPr>
        <w:t xml:space="preserve">pvclust </w:t>
      </w:r>
      <w:r w:rsidRPr="00F21896">
        <w:rPr>
          <w:rFonts w:asciiTheme="minorHAnsi" w:hAnsiTheme="minorHAnsi"/>
        </w:rPr>
        <w:t xml:space="preserve">to perform hierarchical clustering with an averaging agglomerative clustering algorithm and a correlation distance bootstrapped 10000 times to examine which samples were most similar in PCA-space. We took clusters with an approximately unbiased (AU) probability value (p-value) of &gt;0.95 to be significant. </w:t>
      </w:r>
      <w:r w:rsidRPr="00F21896">
        <w:rPr>
          <w:rFonts w:asciiTheme="minorHAnsi" w:hAnsiTheme="minorHAnsi"/>
        </w:rPr>
        <w:fldChar w:fldCharType="begin"/>
      </w:r>
      <w:r w:rsidRPr="00F21896">
        <w:rPr>
          <w:rFonts w:asciiTheme="minorHAnsi" w:hAnsiTheme="minorHAnsi"/>
        </w:rPr>
        <w:instrText xml:space="preserve"> REF _Ref149157918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Figure </w:t>
      </w:r>
      <w:r w:rsidRPr="00F21896">
        <w:rPr>
          <w:rFonts w:asciiTheme="minorHAnsi" w:hAnsiTheme="minorHAnsi"/>
          <w:noProof/>
        </w:rPr>
        <w:t>17</w:t>
      </w:r>
      <w:r w:rsidRPr="00F21896">
        <w:rPr>
          <w:rFonts w:asciiTheme="minorHAnsi" w:hAnsiTheme="minorHAnsi"/>
        </w:rPr>
        <w:fldChar w:fldCharType="end"/>
      </w:r>
      <w:r w:rsidRPr="00F21896">
        <w:rPr>
          <w:rFonts w:asciiTheme="minorHAnsi" w:hAnsiTheme="minorHAnsi"/>
        </w:rPr>
        <w:t xml:space="preserve"> shows the results of the hierarchical clustering of environmental metadata with a red box drawn around the significant clusters.</w:t>
      </w:r>
    </w:p>
    <w:p w14:paraId="6093AC39" w14:textId="77777777" w:rsidR="00A5221C" w:rsidRPr="00F21896" w:rsidRDefault="00A5221C" w:rsidP="00A5221C">
      <w:pPr>
        <w:rPr>
          <w:rFonts w:asciiTheme="minorHAnsi" w:hAnsiTheme="minorHAnsi"/>
        </w:rPr>
      </w:pPr>
    </w:p>
    <w:p w14:paraId="1C430304" w14:textId="7969A9BA" w:rsidR="00A5221C" w:rsidRPr="00F21896" w:rsidRDefault="00A5221C" w:rsidP="00A5221C">
      <w:pPr>
        <w:pStyle w:val="Heading2"/>
        <w:rPr>
          <w:rFonts w:asciiTheme="minorHAnsi" w:hAnsiTheme="minorHAnsi"/>
        </w:rPr>
      </w:pPr>
      <w:bookmarkStart w:id="4" w:name="_vxmti14fxqxv" w:colFirst="0" w:colLast="0"/>
      <w:bookmarkStart w:id="5" w:name="_Toc150372310"/>
      <w:bookmarkEnd w:id="4"/>
      <w:r w:rsidRPr="00F21896">
        <w:rPr>
          <w:rFonts w:asciiTheme="minorHAnsi" w:hAnsiTheme="minorHAnsi"/>
        </w:rPr>
        <w:t>Results</w:t>
      </w:r>
      <w:bookmarkEnd w:id="5"/>
      <w:r w:rsidRPr="00F21896">
        <w:rPr>
          <w:rFonts w:asciiTheme="minorHAnsi" w:hAnsiTheme="minorHAnsi"/>
        </w:rPr>
        <w:t xml:space="preserve"> </w:t>
      </w:r>
    </w:p>
    <w:p w14:paraId="51D7710A" w14:textId="77777777" w:rsidR="00A5221C" w:rsidRPr="00F21896" w:rsidRDefault="00A5221C" w:rsidP="00A5221C">
      <w:pPr>
        <w:rPr>
          <w:rFonts w:asciiTheme="minorHAnsi" w:hAnsiTheme="minorHAnsi"/>
        </w:rPr>
      </w:pPr>
      <w:r w:rsidRPr="00F21896">
        <w:rPr>
          <w:rFonts w:asciiTheme="minorHAnsi" w:hAnsiTheme="minorHAnsi"/>
          <w:b/>
        </w:rPr>
        <w:t>4.4.1 Physical Environmental Clusterings</w:t>
      </w:r>
    </w:p>
    <w:p w14:paraId="51187C80" w14:textId="77777777" w:rsidR="00A5221C" w:rsidRPr="00F21896" w:rsidRDefault="00A5221C" w:rsidP="00A5221C">
      <w:pPr>
        <w:ind w:firstLine="720"/>
        <w:rPr>
          <w:rFonts w:asciiTheme="minorHAnsi" w:hAnsiTheme="minorHAnsi"/>
        </w:rPr>
      </w:pPr>
      <w:r w:rsidRPr="00F21896">
        <w:rPr>
          <w:rFonts w:asciiTheme="minorHAnsi" w:hAnsiTheme="minorHAnsi"/>
        </w:rPr>
        <w:t>Principal component analysis explained 68% of the variance: PC1 accounted for 58% and PC2 for 10% of the variance. Temperature, density, nitrite, chlorophyll-a fluorescence, nitrate, the depth of the chlorophyll-a maximum, distance from shore, salinity, longitude, and phosphate contributed significantly to PC1 (</w:t>
      </w:r>
      <w:r w:rsidRPr="00F21896">
        <w:rPr>
          <w:rFonts w:asciiTheme="minorHAnsi" w:hAnsiTheme="minorHAnsi"/>
        </w:rPr>
        <w:fldChar w:fldCharType="begin"/>
      </w:r>
      <w:r w:rsidRPr="00F21896">
        <w:rPr>
          <w:rFonts w:asciiTheme="minorHAnsi" w:hAnsiTheme="minorHAnsi"/>
        </w:rPr>
        <w:instrText xml:space="preserve"> REF _Ref149121456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Figure </w:t>
      </w:r>
      <w:r w:rsidRPr="00F21896">
        <w:rPr>
          <w:rFonts w:asciiTheme="minorHAnsi" w:hAnsiTheme="minorHAnsi"/>
          <w:noProof/>
        </w:rPr>
        <w:t>16</w:t>
      </w:r>
      <w:r w:rsidRPr="00F21896">
        <w:rPr>
          <w:rFonts w:asciiTheme="minorHAnsi" w:hAnsiTheme="minorHAnsi"/>
        </w:rPr>
        <w:fldChar w:fldCharType="end"/>
      </w:r>
      <w:r w:rsidRPr="00F21896">
        <w:rPr>
          <w:rFonts w:asciiTheme="minorHAnsi" w:hAnsiTheme="minorHAnsi"/>
        </w:rPr>
        <w:t>). Euphotic zone (1% PAR depth), oxygen saturation, fluorescence at the chlorophyll-a maximum, PO</w:t>
      </w:r>
      <w:r w:rsidRPr="00F21896">
        <w:rPr>
          <w:rFonts w:asciiTheme="minorHAnsi" w:hAnsiTheme="minorHAnsi"/>
          <w:vertAlign w:val="subscript"/>
        </w:rPr>
        <w:t>4</w:t>
      </w:r>
      <w:r w:rsidRPr="00F21896">
        <w:rPr>
          <w:rFonts w:asciiTheme="minorHAnsi" w:hAnsiTheme="minorHAnsi"/>
        </w:rPr>
        <w:t>, silica, and the mixed layer depth contributed significantly to PC2 (</w:t>
      </w:r>
      <w:r w:rsidRPr="00F21896">
        <w:rPr>
          <w:rFonts w:asciiTheme="minorHAnsi" w:hAnsiTheme="minorHAnsi"/>
        </w:rPr>
        <w:fldChar w:fldCharType="begin"/>
      </w:r>
      <w:r w:rsidRPr="00F21896">
        <w:rPr>
          <w:rFonts w:asciiTheme="minorHAnsi" w:hAnsiTheme="minorHAnsi"/>
        </w:rPr>
        <w:instrText xml:space="preserve"> REF _Ref149121456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Figure </w:t>
      </w:r>
      <w:r w:rsidRPr="00F21896">
        <w:rPr>
          <w:rFonts w:asciiTheme="minorHAnsi" w:hAnsiTheme="minorHAnsi"/>
          <w:noProof/>
        </w:rPr>
        <w:t>1</w:t>
      </w:r>
      <w:r w:rsidRPr="00F21896">
        <w:rPr>
          <w:rFonts w:asciiTheme="minorHAnsi" w:hAnsiTheme="minorHAnsi"/>
          <w:noProof/>
        </w:rPr>
        <w:t>6</w:t>
      </w:r>
      <w:r w:rsidRPr="00F21896">
        <w:rPr>
          <w:rFonts w:asciiTheme="minorHAnsi" w:hAnsiTheme="minorHAnsi"/>
        </w:rPr>
        <w:fldChar w:fldCharType="end"/>
      </w:r>
      <w:r w:rsidRPr="00F21896">
        <w:rPr>
          <w:rFonts w:asciiTheme="minorHAnsi" w:hAnsiTheme="minorHAnsi"/>
        </w:rPr>
        <w:t>). Distance from shore showed a positive correlation with temperature, chlorophyll-a maximum depth, and nitracline depth and a negative correlation with density, nitrite, chlorophyll-a fluorescence, and nitrate (</w:t>
      </w:r>
      <w:r w:rsidRPr="00F21896">
        <w:rPr>
          <w:rFonts w:asciiTheme="minorHAnsi" w:hAnsiTheme="minorHAnsi"/>
        </w:rPr>
        <w:fldChar w:fldCharType="begin"/>
      </w:r>
      <w:r w:rsidRPr="00F21896">
        <w:rPr>
          <w:rFonts w:asciiTheme="minorHAnsi" w:hAnsiTheme="minorHAnsi"/>
        </w:rPr>
        <w:instrText xml:space="preserve"> REF _Ref149157243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Figure </w:t>
      </w:r>
      <w:r w:rsidRPr="00F21896">
        <w:rPr>
          <w:rFonts w:asciiTheme="minorHAnsi" w:hAnsiTheme="minorHAnsi"/>
          <w:noProof/>
        </w:rPr>
        <w:t>15</w:t>
      </w:r>
      <w:r w:rsidRPr="00F21896">
        <w:rPr>
          <w:rFonts w:asciiTheme="minorHAnsi" w:hAnsiTheme="minorHAnsi"/>
        </w:rPr>
        <w:fldChar w:fldCharType="end"/>
      </w:r>
      <w:r w:rsidRPr="00F21896">
        <w:rPr>
          <w:rFonts w:asciiTheme="minorHAnsi" w:hAnsiTheme="minorHAnsi"/>
        </w:rPr>
        <w:t xml:space="preserve">). This cross shore gradient in biogeochemical properties aligns with historical expectations of </w:t>
      </w:r>
      <w:r w:rsidRPr="00F21896">
        <w:rPr>
          <w:rFonts w:asciiTheme="minorHAnsi" w:hAnsiTheme="minorHAnsi"/>
        </w:rPr>
        <w:fldChar w:fldCharType="begin"/>
      </w:r>
      <w:r w:rsidRPr="00F21896">
        <w:rPr>
          <w:rFonts w:asciiTheme="minorHAnsi" w:hAnsiTheme="minorHAnsi"/>
        </w:rPr>
        <w:instrText xml:space="preserve"> ADDIN ZOTERO_ITEM CSL_CITATION {"citationID":"Ne40R0Ak","properties":{"formattedCitation":"(Hayward and Venrick, 1998)","plainCitation":"(Hayward and Venrick, 1998)","dontUpdate":true,"noteIndex":0},"citationItems":[{"id":698,"uris":["http://zotero.org/groups/5151425/items/FWHLPBDI"],"itemData":{"id":698,"type":"article-journal","abstract":"The results of a four-year program of continuous nearsurface mapping and a 12-year time series of nearsurface chlorophyll measurements, both made by the CalCOFI program, are interpreted in the context of the CalCOFI hydrographic time series. There are consistent regional diﬀerences in the mechanisms aﬀecting nutrient input to the upper layers, and these result in diﬀerent spatial and temporal patterns of chlorophyll concentration. We deﬁne three regimes in which nearsurface ecosystem structure appears to be regulated diﬀerently. A sharp physical and biological front at the inner edge of the low-salinity California Current jet separates oﬀshore and inshore regions. The inshore area is further divided into northern and southern regions based upon the intensity of isopycnal shoaling, which alters the relationship between physical structure and chlorophyll concentration. These observations indicate that even on the scale of the CalCOFI area a regional approach to developing models and interpreting mesoscale structure will improve our understanding of important physical—biological interactions. Elsevier Science Ltd. All rights reserved.","container-title":"Deep Sea Research Part II: Topical Studies in Oceanography","DOI":"10.1016/S0967-0645(98)80010-6","ISSN":"09670645","issue":"8-9","journalAbbreviation":"Deep Sea Research Part II: Topical Studies in Oceanography","language":"en","page":"1617-1638","source":"DOI.org (Crossref)","title":"Nearsurface pattern in the California Current: coupling between physical and biological structure","title-short":"Nearsurface pattern in the California Current","volume":"45","author":[{"family":"Hayward","given":"Thomas L."},{"family":"Venrick","given":"Elizabeth L."}],"issued":{"date-parts":[["1998",8]]}}}],"schema":"https://github.com/citation-style-language/schema/raw/master/csl-citation.json"} </w:instrText>
      </w:r>
      <w:r w:rsidRPr="00F21896">
        <w:rPr>
          <w:rFonts w:asciiTheme="minorHAnsi" w:hAnsiTheme="minorHAnsi"/>
        </w:rPr>
        <w:fldChar w:fldCharType="separate"/>
      </w:r>
      <w:r w:rsidRPr="00F21896">
        <w:rPr>
          <w:rFonts w:asciiTheme="minorHAnsi" w:hAnsiTheme="minorHAnsi"/>
        </w:rPr>
        <w:t>Hayward and Venrick (1998)</w:t>
      </w:r>
      <w:r w:rsidRPr="00F21896">
        <w:rPr>
          <w:rFonts w:asciiTheme="minorHAnsi" w:hAnsiTheme="minorHAnsi"/>
        </w:rPr>
        <w:fldChar w:fldCharType="end"/>
      </w:r>
      <w:r w:rsidRPr="00F21896">
        <w:rPr>
          <w:rFonts w:asciiTheme="minorHAnsi" w:hAnsiTheme="minorHAnsi"/>
        </w:rPr>
        <w:t>. Hierarchical clustering of stations based on physical environmental properties resulted in two significant clusters: an onshore cluster (including Cycles 1 and 2, the alongshore transect (CT2) and the 2 stations of the cross-shore transect (CT1-7 and 8) and an offshore cluster (Cycle 3 and CT1-1-6) (</w:t>
      </w:r>
      <w:r w:rsidRPr="00F21896">
        <w:rPr>
          <w:rFonts w:asciiTheme="minorHAnsi" w:hAnsiTheme="minorHAnsi"/>
        </w:rPr>
        <w:fldChar w:fldCharType="begin"/>
      </w:r>
      <w:r w:rsidRPr="00F21896">
        <w:rPr>
          <w:rFonts w:asciiTheme="minorHAnsi" w:hAnsiTheme="minorHAnsi"/>
        </w:rPr>
        <w:instrText xml:space="preserve"> REF _Ref149157918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Figure </w:t>
      </w:r>
      <w:r w:rsidRPr="00F21896">
        <w:rPr>
          <w:rFonts w:asciiTheme="minorHAnsi" w:hAnsiTheme="minorHAnsi"/>
          <w:noProof/>
        </w:rPr>
        <w:t>17</w:t>
      </w:r>
      <w:r w:rsidRPr="00F21896">
        <w:rPr>
          <w:rFonts w:asciiTheme="minorHAnsi" w:hAnsiTheme="minorHAnsi"/>
        </w:rPr>
        <w:fldChar w:fldCharType="end"/>
      </w:r>
      <w:r w:rsidRPr="00F21896">
        <w:rPr>
          <w:rFonts w:asciiTheme="minorHAnsi" w:hAnsiTheme="minorHAnsi"/>
        </w:rPr>
        <w:t xml:space="preserve">). </w:t>
      </w:r>
    </w:p>
    <w:p w14:paraId="336D1B9C" w14:textId="77777777" w:rsidR="00A5221C" w:rsidRPr="00F21896" w:rsidRDefault="00A5221C" w:rsidP="00A5221C">
      <w:pPr>
        <w:keepNext/>
        <w:rPr>
          <w:rFonts w:asciiTheme="minorHAnsi" w:hAnsiTheme="minorHAnsi"/>
        </w:rPr>
      </w:pPr>
      <w:r w:rsidRPr="00F21896">
        <w:rPr>
          <w:rFonts w:asciiTheme="minorHAnsi" w:hAnsiTheme="minorHAnsi"/>
          <w:noProof/>
        </w:rPr>
        <w:lastRenderedPageBreak/>
        <w:drawing>
          <wp:inline distT="114300" distB="114300" distL="114300" distR="114300" wp14:anchorId="7FB0AE7A" wp14:editId="3822832B">
            <wp:extent cx="4238625" cy="4314825"/>
            <wp:effectExtent l="0" t="0" r="0" b="1270"/>
            <wp:docPr id="8" name="Picture 8" descr="A diagram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20.png" descr="A diagram of a graph&#10;&#10;Description automatically generated"/>
                    <pic:cNvPicPr preferRelativeResize="0"/>
                  </pic:nvPicPr>
                  <pic:blipFill>
                    <a:blip r:embed="rId8"/>
                    <a:srcRect l="25524" r="25303"/>
                    <a:stretch>
                      <a:fillRect/>
                    </a:stretch>
                  </pic:blipFill>
                  <pic:spPr>
                    <a:xfrm>
                      <a:off x="0" y="0"/>
                      <a:ext cx="4238625" cy="4314825"/>
                    </a:xfrm>
                    <a:prstGeom prst="rect">
                      <a:avLst/>
                    </a:prstGeom>
                    <a:ln/>
                  </pic:spPr>
                </pic:pic>
              </a:graphicData>
            </a:graphic>
          </wp:inline>
        </w:drawing>
      </w:r>
    </w:p>
    <w:p w14:paraId="7BC8F2BB" w14:textId="77777777" w:rsidR="00A5221C" w:rsidRPr="00F21896" w:rsidRDefault="00A5221C" w:rsidP="00A5221C">
      <w:pPr>
        <w:pStyle w:val="Caption"/>
        <w:rPr>
          <w:rFonts w:asciiTheme="minorHAnsi" w:hAnsiTheme="minorHAnsi"/>
        </w:rPr>
      </w:pPr>
      <w:bookmarkStart w:id="6" w:name="_Ref149157243"/>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15</w:t>
      </w:r>
      <w:r w:rsidRPr="00F21896">
        <w:rPr>
          <w:rFonts w:asciiTheme="minorHAnsi" w:hAnsiTheme="minorHAnsi"/>
          <w:noProof/>
        </w:rPr>
        <w:fldChar w:fldCharType="end"/>
      </w:r>
      <w:bookmarkEnd w:id="6"/>
      <w:r w:rsidRPr="00F21896">
        <w:rPr>
          <w:rFonts w:asciiTheme="minorHAnsi" w:hAnsiTheme="minorHAnsi"/>
        </w:rPr>
        <w:t>. Correlation matrix of environmental variables used in cluster analysis. Matrix positions marked with ‘X’ indicate a nonsignificant correlation.</w:t>
      </w:r>
    </w:p>
    <w:p w14:paraId="6714DF93" w14:textId="77777777" w:rsidR="00A5221C" w:rsidRPr="00F21896" w:rsidRDefault="00A5221C" w:rsidP="00A5221C">
      <w:pPr>
        <w:keepNext/>
        <w:rPr>
          <w:rFonts w:asciiTheme="minorHAnsi" w:hAnsiTheme="minorHAnsi"/>
        </w:rPr>
      </w:pPr>
      <w:r w:rsidRPr="00F21896">
        <w:rPr>
          <w:rFonts w:asciiTheme="minorHAnsi" w:hAnsiTheme="minorHAnsi"/>
          <w:noProof/>
        </w:rPr>
        <w:lastRenderedPageBreak/>
        <w:drawing>
          <wp:inline distT="114300" distB="114300" distL="114300" distR="114300" wp14:anchorId="1F0EE469" wp14:editId="195D572E">
            <wp:extent cx="5943600" cy="2870200"/>
            <wp:effectExtent l="0" t="0" r="0" b="0"/>
            <wp:docPr id="20" name="Picture 20" descr="A graph of a number of blue ba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 name="image8.png" descr="A graph of a number of blue bars&#10;&#10;Description automatically generated with medium confidence"/>
                    <pic:cNvPicPr preferRelativeResize="0"/>
                  </pic:nvPicPr>
                  <pic:blipFill>
                    <a:blip r:embed="rId9"/>
                    <a:srcRect/>
                    <a:stretch>
                      <a:fillRect/>
                    </a:stretch>
                  </pic:blipFill>
                  <pic:spPr>
                    <a:xfrm>
                      <a:off x="0" y="0"/>
                      <a:ext cx="5943600" cy="2870200"/>
                    </a:xfrm>
                    <a:prstGeom prst="rect">
                      <a:avLst/>
                    </a:prstGeom>
                    <a:ln/>
                  </pic:spPr>
                </pic:pic>
              </a:graphicData>
            </a:graphic>
          </wp:inline>
        </w:drawing>
      </w:r>
      <w:r w:rsidRPr="00F21896">
        <w:rPr>
          <w:rFonts w:asciiTheme="minorHAnsi" w:hAnsiTheme="minorHAnsi"/>
          <w:noProof/>
        </w:rPr>
        <w:drawing>
          <wp:inline distT="114300" distB="114300" distL="114300" distR="114300" wp14:anchorId="2CE63AAE" wp14:editId="1765FD2E">
            <wp:extent cx="5943600" cy="2870200"/>
            <wp:effectExtent l="0" t="0" r="0" b="0"/>
            <wp:docPr id="11" name="Picture 11" descr="A graph of different types of minerals&#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4.png" descr="A graph of different types of minerals&#10;&#10;Description automatically generated"/>
                    <pic:cNvPicPr preferRelativeResize="0"/>
                  </pic:nvPicPr>
                  <pic:blipFill>
                    <a:blip r:embed="rId10"/>
                    <a:srcRect/>
                    <a:stretch>
                      <a:fillRect/>
                    </a:stretch>
                  </pic:blipFill>
                  <pic:spPr>
                    <a:xfrm>
                      <a:off x="0" y="0"/>
                      <a:ext cx="5943600" cy="2870200"/>
                    </a:xfrm>
                    <a:prstGeom prst="rect">
                      <a:avLst/>
                    </a:prstGeom>
                    <a:ln/>
                  </pic:spPr>
                </pic:pic>
              </a:graphicData>
            </a:graphic>
          </wp:inline>
        </w:drawing>
      </w:r>
    </w:p>
    <w:p w14:paraId="26D1FD1F" w14:textId="77777777" w:rsidR="00A5221C" w:rsidRPr="00F21896" w:rsidRDefault="00A5221C" w:rsidP="00A5221C">
      <w:pPr>
        <w:pStyle w:val="Caption"/>
        <w:rPr>
          <w:rFonts w:asciiTheme="minorHAnsi" w:hAnsiTheme="minorHAnsi"/>
          <w:i w:val="0"/>
          <w:iCs w:val="0"/>
        </w:rPr>
      </w:pPr>
      <w:bookmarkStart w:id="7" w:name="_Ref149121456"/>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16</w:t>
      </w:r>
      <w:r w:rsidRPr="00F21896">
        <w:rPr>
          <w:rFonts w:asciiTheme="minorHAnsi" w:hAnsiTheme="minorHAnsi"/>
          <w:noProof/>
        </w:rPr>
        <w:fldChar w:fldCharType="end"/>
      </w:r>
      <w:bookmarkEnd w:id="7"/>
      <w:r w:rsidRPr="00F21896">
        <w:rPr>
          <w:rFonts w:asciiTheme="minorHAnsi" w:hAnsiTheme="minorHAnsi"/>
        </w:rPr>
        <w:t xml:space="preserve">. </w:t>
      </w:r>
      <w:r w:rsidRPr="00F21896">
        <w:rPr>
          <w:rFonts w:asciiTheme="minorHAnsi" w:hAnsiTheme="minorHAnsi"/>
          <w:i w:val="0"/>
          <w:iCs w:val="0"/>
        </w:rPr>
        <w:t>Contribution of environmental variables to PC1 (upper) and PC2 (lower). We consider variables contributing &gt;5% to the PC to be significant (delineated by the red dashed line).</w:t>
      </w:r>
    </w:p>
    <w:p w14:paraId="60E84542" w14:textId="77777777" w:rsidR="00A5221C" w:rsidRPr="00F21896" w:rsidRDefault="00A5221C" w:rsidP="00A5221C">
      <w:pPr>
        <w:ind w:firstLine="720"/>
        <w:rPr>
          <w:rFonts w:asciiTheme="minorHAnsi" w:hAnsiTheme="minorHAnsi"/>
        </w:rPr>
      </w:pPr>
    </w:p>
    <w:p w14:paraId="49B5DB41" w14:textId="77777777" w:rsidR="00A5221C" w:rsidRPr="00F21896" w:rsidRDefault="00A5221C" w:rsidP="00A5221C">
      <w:pPr>
        <w:keepNext/>
        <w:ind w:firstLine="720"/>
        <w:rPr>
          <w:rFonts w:asciiTheme="minorHAnsi" w:hAnsiTheme="minorHAnsi"/>
        </w:rPr>
      </w:pPr>
      <w:r w:rsidRPr="00F21896">
        <w:rPr>
          <w:rFonts w:asciiTheme="minorHAnsi" w:hAnsiTheme="minorHAnsi"/>
        </w:rPr>
        <w:lastRenderedPageBreak/>
        <w:br/>
      </w:r>
      <w:r w:rsidRPr="00F21896">
        <w:rPr>
          <w:rFonts w:asciiTheme="minorHAnsi" w:hAnsiTheme="minorHAnsi"/>
          <w:noProof/>
        </w:rPr>
        <w:drawing>
          <wp:inline distT="114300" distB="114300" distL="114300" distR="114300" wp14:anchorId="3EAE8AA1" wp14:editId="49090FD0">
            <wp:extent cx="4667250" cy="3876675"/>
            <wp:effectExtent l="0" t="0" r="0" b="0"/>
            <wp:docPr id="5" name="Picture 5" descr="A diagram of a cluster&#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5.png" descr="A diagram of a cluster&#10;&#10;Description automatically generated"/>
                    <pic:cNvPicPr preferRelativeResize="0"/>
                  </pic:nvPicPr>
                  <pic:blipFill>
                    <a:blip r:embed="rId11"/>
                    <a:srcRect/>
                    <a:stretch>
                      <a:fillRect/>
                    </a:stretch>
                  </pic:blipFill>
                  <pic:spPr>
                    <a:xfrm>
                      <a:off x="0" y="0"/>
                      <a:ext cx="4667250" cy="3876675"/>
                    </a:xfrm>
                    <a:prstGeom prst="rect">
                      <a:avLst/>
                    </a:prstGeom>
                    <a:ln/>
                  </pic:spPr>
                </pic:pic>
              </a:graphicData>
            </a:graphic>
          </wp:inline>
        </w:drawing>
      </w:r>
      <w:r w:rsidRPr="00F21896">
        <w:rPr>
          <w:rFonts w:asciiTheme="minorHAnsi" w:hAnsiTheme="minorHAnsi"/>
          <w:noProof/>
        </w:rPr>
        <w:drawing>
          <wp:inline distT="114300" distB="114300" distL="114300" distR="114300" wp14:anchorId="7BB089C8" wp14:editId="3EA2BB16">
            <wp:extent cx="5129213" cy="2441308"/>
            <wp:effectExtent l="0" t="0" r="0" b="0"/>
            <wp:docPr id="6" name="Picture 6" descr="A diagram of a map with different colored circl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 name="image10.png" descr="A diagram of a map with different colored circles&#10;&#10;Description automatically generated with medium confidence"/>
                    <pic:cNvPicPr preferRelativeResize="0"/>
                  </pic:nvPicPr>
                  <pic:blipFill>
                    <a:blip r:embed="rId12"/>
                    <a:srcRect/>
                    <a:stretch>
                      <a:fillRect/>
                    </a:stretch>
                  </pic:blipFill>
                  <pic:spPr>
                    <a:xfrm>
                      <a:off x="0" y="0"/>
                      <a:ext cx="5129213" cy="2441308"/>
                    </a:xfrm>
                    <a:prstGeom prst="rect">
                      <a:avLst/>
                    </a:prstGeom>
                    <a:ln/>
                  </pic:spPr>
                </pic:pic>
              </a:graphicData>
            </a:graphic>
          </wp:inline>
        </w:drawing>
      </w:r>
    </w:p>
    <w:p w14:paraId="60A92421" w14:textId="77777777" w:rsidR="00A5221C" w:rsidRPr="00F21896" w:rsidRDefault="00A5221C" w:rsidP="00A5221C">
      <w:pPr>
        <w:pStyle w:val="Caption"/>
        <w:rPr>
          <w:rFonts w:asciiTheme="minorHAnsi" w:hAnsiTheme="minorHAnsi"/>
        </w:rPr>
      </w:pPr>
      <w:bookmarkStart w:id="8" w:name="_Ref149157918"/>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17</w:t>
      </w:r>
      <w:r w:rsidRPr="00F21896">
        <w:rPr>
          <w:rFonts w:asciiTheme="minorHAnsi" w:hAnsiTheme="minorHAnsi"/>
          <w:noProof/>
        </w:rPr>
        <w:fldChar w:fldCharType="end"/>
      </w:r>
      <w:bookmarkEnd w:id="8"/>
      <w:r w:rsidRPr="00F21896">
        <w:rPr>
          <w:rFonts w:asciiTheme="minorHAnsi" w:hAnsiTheme="minorHAnsi"/>
        </w:rPr>
        <w:t>. Upper: Hierarchical clustering of environmental sampling stations based on physical and chemical measurements in Table S1. Approximately unbiased p-values (au) are in red and bootstrap probability (bp) is in green. Red ellipses delineate the largest significant clusters. Lower: Map of sampling sites for P2107. Point color is associated with the cycle or transect and ellipses show the onshore and offshore resulting from hierarchical clustering analysis.</w:t>
      </w:r>
    </w:p>
    <w:p w14:paraId="53DBE5D2" w14:textId="77777777" w:rsidR="00A5221C" w:rsidRPr="00F21896" w:rsidRDefault="00A5221C" w:rsidP="00A5221C">
      <w:pPr>
        <w:rPr>
          <w:rFonts w:asciiTheme="minorHAnsi" w:hAnsiTheme="minorHAnsi"/>
        </w:rPr>
      </w:pPr>
      <w:r w:rsidRPr="00F21896">
        <w:rPr>
          <w:rFonts w:asciiTheme="minorHAnsi" w:hAnsiTheme="minorHAnsi"/>
          <w:b/>
        </w:rPr>
        <w:t>4.4.2 Comparison of Zooplankton with Physical Environmental Properties</w:t>
      </w:r>
    </w:p>
    <w:p w14:paraId="360C8F58" w14:textId="33EEF76C" w:rsidR="00A5221C" w:rsidRPr="00F21896" w:rsidRDefault="00A5221C" w:rsidP="00A5221C">
      <w:pPr>
        <w:ind w:firstLine="720"/>
        <w:rPr>
          <w:rFonts w:asciiTheme="minorHAnsi" w:hAnsiTheme="minorHAnsi"/>
        </w:rPr>
      </w:pPr>
      <w:r w:rsidRPr="00F21896">
        <w:rPr>
          <w:rFonts w:asciiTheme="minorHAnsi" w:hAnsiTheme="minorHAnsi"/>
        </w:rPr>
        <w:lastRenderedPageBreak/>
        <w:t>Shannon Diversity (</w:t>
      </w:r>
      <w:r w:rsidRPr="00F21896">
        <w:rPr>
          <w:rFonts w:asciiTheme="minorHAnsi" w:hAnsiTheme="minorHAnsi"/>
          <w:i/>
          <w:iCs/>
        </w:rPr>
        <w:t>H</w:t>
      </w:r>
      <w:r w:rsidRPr="00F21896">
        <w:rPr>
          <w:rFonts w:asciiTheme="minorHAnsi" w:hAnsiTheme="minorHAnsi"/>
        </w:rPr>
        <w:t>’) (calculated using both COI and 18S) of the full community (all sizes) was significantly correlated with PC1 (R</w:t>
      </w:r>
      <w:r w:rsidRPr="00F21896">
        <w:rPr>
          <w:rFonts w:asciiTheme="minorHAnsi" w:hAnsiTheme="minorHAnsi"/>
          <w:vertAlign w:val="superscript"/>
        </w:rPr>
        <w:t>2</w:t>
      </w:r>
      <w:r w:rsidRPr="00F21896">
        <w:rPr>
          <w:rFonts w:asciiTheme="minorHAnsi" w:hAnsiTheme="minorHAnsi"/>
        </w:rPr>
        <w:t>=0.33, p=0.02 for COI and R</w:t>
      </w:r>
      <w:r w:rsidRPr="00F21896">
        <w:rPr>
          <w:rFonts w:asciiTheme="minorHAnsi" w:hAnsiTheme="minorHAnsi"/>
          <w:vertAlign w:val="superscript"/>
        </w:rPr>
        <w:t>2</w:t>
      </w:r>
      <w:r w:rsidRPr="00F21896">
        <w:rPr>
          <w:rFonts w:asciiTheme="minorHAnsi" w:hAnsiTheme="minorHAnsi"/>
        </w:rPr>
        <w:t>=0.32, p=0.02 for 18S) (</w:t>
      </w:r>
      <w:r w:rsidRPr="00F21896">
        <w:rPr>
          <w:rFonts w:asciiTheme="minorHAnsi" w:hAnsiTheme="minorHAnsi"/>
        </w:rPr>
        <w:fldChar w:fldCharType="begin"/>
      </w:r>
      <w:r w:rsidRPr="00F21896">
        <w:rPr>
          <w:rFonts w:asciiTheme="minorHAnsi" w:hAnsiTheme="minorHAnsi"/>
        </w:rPr>
        <w:instrText xml:space="preserve"> REF _Ref149156608 \h  \* MERGEFORMAT </w:instrText>
      </w:r>
      <w:r w:rsidRPr="00F21896">
        <w:rPr>
          <w:rFonts w:asciiTheme="minorHAnsi" w:hAnsiTheme="minorHAnsi"/>
        </w:rPr>
      </w:r>
      <w:r w:rsidRPr="00F21896">
        <w:rPr>
          <w:rFonts w:asciiTheme="minorHAnsi" w:hAnsiTheme="minorHAnsi"/>
        </w:rPr>
        <w:fldChar w:fldCharType="separate"/>
      </w:r>
      <w:r w:rsidRPr="00F21896">
        <w:rPr>
          <w:rFonts w:asciiTheme="minorHAnsi" w:hAnsiTheme="minorHAnsi"/>
        </w:rPr>
        <w:t xml:space="preserve">Figure </w:t>
      </w:r>
      <w:r w:rsidRPr="00F21896">
        <w:rPr>
          <w:rFonts w:asciiTheme="minorHAnsi" w:hAnsiTheme="minorHAnsi"/>
          <w:noProof/>
        </w:rPr>
        <w:t>18</w:t>
      </w:r>
      <w:r w:rsidRPr="00F21896">
        <w:rPr>
          <w:rFonts w:asciiTheme="minorHAnsi" w:hAnsiTheme="minorHAnsi"/>
        </w:rPr>
        <w:fldChar w:fldCharType="end"/>
      </w:r>
      <w:r w:rsidRPr="00F21896">
        <w:rPr>
          <w:rFonts w:asciiTheme="minorHAnsi" w:hAnsiTheme="minorHAnsi"/>
        </w:rPr>
        <w:t>). When separating by size fraction, only 18S was significant although a similar pattern could be observed for COI. H’ of the smallest size fraction (0.2-0.5mm) was not significantly correlated with PC1. For the intermediate size-fraction (0.5-1mm) there was a significant negative correlation with PC1 for 18S (R</w:t>
      </w:r>
      <w:r w:rsidRPr="00F21896">
        <w:rPr>
          <w:rFonts w:asciiTheme="minorHAnsi" w:hAnsiTheme="minorHAnsi"/>
          <w:vertAlign w:val="superscript"/>
        </w:rPr>
        <w:t>2</w:t>
      </w:r>
      <w:r w:rsidRPr="00F21896">
        <w:rPr>
          <w:rFonts w:asciiTheme="minorHAnsi" w:hAnsiTheme="minorHAnsi"/>
        </w:rPr>
        <w:t>=0.26, p=0.04). The largest size fraction (1-2mm) displayed the opposite relationship for both gene markers with a positive correlation but this was not statistically significant</w:t>
      </w:r>
      <w:r w:rsidR="00EC3AE2">
        <w:rPr>
          <w:rFonts w:asciiTheme="minorHAnsi" w:hAnsiTheme="minorHAnsi"/>
        </w:rPr>
        <w:t xml:space="preserve"> (</w:t>
      </w:r>
      <w:r w:rsidR="00EC3AE2">
        <w:rPr>
          <w:rFonts w:asciiTheme="minorHAnsi" w:hAnsiTheme="minorHAnsi"/>
        </w:rPr>
        <w:fldChar w:fldCharType="begin"/>
      </w:r>
      <w:r w:rsidR="00EC3AE2">
        <w:rPr>
          <w:rFonts w:asciiTheme="minorHAnsi" w:hAnsiTheme="minorHAnsi"/>
        </w:rPr>
        <w:instrText xml:space="preserve"> REF _Ref155950665 \h </w:instrText>
      </w:r>
      <w:r w:rsidR="00EC3AE2">
        <w:rPr>
          <w:rFonts w:asciiTheme="minorHAnsi" w:hAnsiTheme="minorHAnsi"/>
        </w:rPr>
      </w:r>
      <w:r w:rsidR="00EC3AE2">
        <w:rPr>
          <w:rFonts w:asciiTheme="minorHAnsi" w:hAnsiTheme="minorHAnsi"/>
        </w:rPr>
        <w:fldChar w:fldCharType="separate"/>
      </w:r>
      <w:r w:rsidR="00EC3AE2" w:rsidRPr="00F21896">
        <w:rPr>
          <w:rFonts w:asciiTheme="minorHAnsi" w:hAnsiTheme="minorHAnsi"/>
        </w:rPr>
        <w:t xml:space="preserve">Figure </w:t>
      </w:r>
      <w:r w:rsidR="00EC3AE2" w:rsidRPr="00F21896">
        <w:rPr>
          <w:rFonts w:asciiTheme="minorHAnsi" w:hAnsiTheme="minorHAnsi"/>
          <w:noProof/>
        </w:rPr>
        <w:t>19</w:t>
      </w:r>
      <w:r w:rsidR="00EC3AE2">
        <w:rPr>
          <w:rFonts w:asciiTheme="minorHAnsi" w:hAnsiTheme="minorHAnsi"/>
        </w:rPr>
        <w:fldChar w:fldCharType="end"/>
      </w:r>
      <w:r w:rsidRPr="00F21896">
        <w:rPr>
          <w:rFonts w:asciiTheme="minorHAnsi" w:hAnsiTheme="minorHAnsi"/>
        </w:rPr>
        <w:t>).</w:t>
      </w:r>
    </w:p>
    <w:p w14:paraId="1AE3E595" w14:textId="77777777" w:rsidR="00A5221C" w:rsidRPr="00F21896" w:rsidRDefault="00A5221C" w:rsidP="00A5221C">
      <w:pPr>
        <w:keepNext/>
        <w:rPr>
          <w:rFonts w:asciiTheme="minorHAnsi" w:hAnsiTheme="minorHAnsi"/>
        </w:rPr>
      </w:pPr>
      <w:r w:rsidRPr="00F21896">
        <w:rPr>
          <w:rFonts w:asciiTheme="minorHAnsi" w:hAnsiTheme="minorHAnsi"/>
          <w:noProof/>
        </w:rPr>
        <w:drawing>
          <wp:inline distT="114300" distB="114300" distL="114300" distR="114300" wp14:anchorId="03F01788" wp14:editId="2CC37C66">
            <wp:extent cx="5076825" cy="2890838"/>
            <wp:effectExtent l="0" t="0" r="0" b="0"/>
            <wp:docPr id="9" name="Picture 9" descr="A graph of a line with colored dot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 name="image19.png" descr="A graph of a line with colored dots&#10;&#10;Description automatically generated with medium confidence"/>
                    <pic:cNvPicPr preferRelativeResize="0"/>
                  </pic:nvPicPr>
                  <pic:blipFill>
                    <a:blip r:embed="rId13"/>
                    <a:srcRect/>
                    <a:stretch>
                      <a:fillRect/>
                    </a:stretch>
                  </pic:blipFill>
                  <pic:spPr>
                    <a:xfrm>
                      <a:off x="0" y="0"/>
                      <a:ext cx="5076825" cy="2890838"/>
                    </a:xfrm>
                    <a:prstGeom prst="rect">
                      <a:avLst/>
                    </a:prstGeom>
                    <a:ln/>
                  </pic:spPr>
                </pic:pic>
              </a:graphicData>
            </a:graphic>
          </wp:inline>
        </w:drawing>
      </w:r>
      <w:r w:rsidRPr="00F21896">
        <w:rPr>
          <w:rFonts w:asciiTheme="minorHAnsi" w:hAnsiTheme="minorHAnsi"/>
          <w:noProof/>
        </w:rPr>
        <w:drawing>
          <wp:inline distT="114300" distB="114300" distL="114300" distR="114300" wp14:anchorId="62880D2D" wp14:editId="186E5310">
            <wp:extent cx="5281264" cy="2192063"/>
            <wp:effectExtent l="0" t="0" r="0" b="0"/>
            <wp:docPr id="23" name="Picture 23" descr="A graph showing a line of dot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3" name="image18.png" descr="A graph showing a line of dots&#10;&#10;Description automatically generated with medium confidence"/>
                    <pic:cNvPicPr preferRelativeResize="0"/>
                  </pic:nvPicPr>
                  <pic:blipFill>
                    <a:blip r:embed="rId14"/>
                    <a:srcRect/>
                    <a:stretch>
                      <a:fillRect/>
                    </a:stretch>
                  </pic:blipFill>
                  <pic:spPr>
                    <a:xfrm>
                      <a:off x="0" y="0"/>
                      <a:ext cx="5281264" cy="2192063"/>
                    </a:xfrm>
                    <a:prstGeom prst="rect">
                      <a:avLst/>
                    </a:prstGeom>
                    <a:ln/>
                  </pic:spPr>
                </pic:pic>
              </a:graphicData>
            </a:graphic>
          </wp:inline>
        </w:drawing>
      </w:r>
    </w:p>
    <w:p w14:paraId="33EB4AF7" w14:textId="77777777" w:rsidR="00A5221C" w:rsidRPr="00F21896" w:rsidRDefault="00A5221C" w:rsidP="00A5221C">
      <w:pPr>
        <w:pStyle w:val="Caption"/>
        <w:rPr>
          <w:rFonts w:asciiTheme="minorHAnsi" w:hAnsiTheme="minorHAnsi"/>
          <w:i w:val="0"/>
          <w:iCs w:val="0"/>
        </w:rPr>
      </w:pPr>
      <w:bookmarkStart w:id="9" w:name="_Ref149156608"/>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18</w:t>
      </w:r>
      <w:r w:rsidRPr="00F21896">
        <w:rPr>
          <w:rFonts w:asciiTheme="minorHAnsi" w:hAnsiTheme="minorHAnsi"/>
          <w:noProof/>
        </w:rPr>
        <w:fldChar w:fldCharType="end"/>
      </w:r>
      <w:bookmarkEnd w:id="9"/>
      <w:r w:rsidRPr="00F21896">
        <w:rPr>
          <w:rFonts w:asciiTheme="minorHAnsi" w:hAnsiTheme="minorHAnsi"/>
          <w:i w:val="0"/>
          <w:iCs w:val="0"/>
        </w:rPr>
        <w:t>. Linear regressions of Shannon Diversity Index for aggregated samples vs. PC1 for 18S (upper) and COI (lower).</w:t>
      </w:r>
    </w:p>
    <w:p w14:paraId="64A7A44B" w14:textId="77777777" w:rsidR="00A5221C" w:rsidRPr="00F21896" w:rsidRDefault="00A5221C" w:rsidP="00A5221C">
      <w:pPr>
        <w:keepNext/>
        <w:rPr>
          <w:rFonts w:asciiTheme="minorHAnsi" w:hAnsiTheme="minorHAnsi"/>
          <w:b/>
          <w:noProof/>
        </w:rPr>
      </w:pPr>
      <w:r w:rsidRPr="00F21896">
        <w:rPr>
          <w:rFonts w:asciiTheme="minorHAnsi" w:hAnsiTheme="minorHAnsi"/>
          <w:noProof/>
        </w:rPr>
        <w:lastRenderedPageBreak/>
        <w:drawing>
          <wp:inline distT="0" distB="0" distL="0" distR="0" wp14:anchorId="5B754CE0" wp14:editId="3E1312D4">
            <wp:extent cx="5254574" cy="3592310"/>
            <wp:effectExtent l="0" t="0" r="0" b="0"/>
            <wp:docPr id="1381481855" name="Picture 138148185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1855" name="Picture 1" descr="A graph of a graph&#10;&#10;Description automatically generated with medium confidence"/>
                    <pic:cNvPicPr/>
                  </pic:nvPicPr>
                  <pic:blipFill>
                    <a:blip r:embed="rId15"/>
                    <a:stretch>
                      <a:fillRect/>
                    </a:stretch>
                  </pic:blipFill>
                  <pic:spPr>
                    <a:xfrm>
                      <a:off x="0" y="0"/>
                      <a:ext cx="5266006" cy="3600126"/>
                    </a:xfrm>
                    <a:prstGeom prst="rect">
                      <a:avLst/>
                    </a:prstGeom>
                  </pic:spPr>
                </pic:pic>
              </a:graphicData>
            </a:graphic>
          </wp:inline>
        </w:drawing>
      </w:r>
    </w:p>
    <w:p w14:paraId="0E56C4CA" w14:textId="77777777" w:rsidR="00A5221C" w:rsidRPr="00F21896" w:rsidRDefault="00A5221C" w:rsidP="00A5221C">
      <w:pPr>
        <w:keepNext/>
        <w:rPr>
          <w:rFonts w:asciiTheme="minorHAnsi" w:hAnsiTheme="minorHAnsi"/>
        </w:rPr>
      </w:pPr>
      <w:r w:rsidRPr="00F21896">
        <w:rPr>
          <w:rFonts w:asciiTheme="minorHAnsi" w:hAnsiTheme="minorHAnsi"/>
          <w:noProof/>
        </w:rPr>
        <w:drawing>
          <wp:inline distT="0" distB="0" distL="0" distR="0" wp14:anchorId="7CC6269A" wp14:editId="58C3EF1C">
            <wp:extent cx="5369528" cy="3628447"/>
            <wp:effectExtent l="0" t="0" r="0" b="0"/>
            <wp:docPr id="125829970" name="Picture 125829970"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9970" name="Picture 1" descr="A graph of different colored lines&#10;&#10;Description automatically generated with medium confidence"/>
                    <pic:cNvPicPr/>
                  </pic:nvPicPr>
                  <pic:blipFill>
                    <a:blip r:embed="rId16"/>
                    <a:stretch>
                      <a:fillRect/>
                    </a:stretch>
                  </pic:blipFill>
                  <pic:spPr>
                    <a:xfrm>
                      <a:off x="0" y="0"/>
                      <a:ext cx="5385855" cy="3639480"/>
                    </a:xfrm>
                    <a:prstGeom prst="rect">
                      <a:avLst/>
                    </a:prstGeom>
                  </pic:spPr>
                </pic:pic>
              </a:graphicData>
            </a:graphic>
          </wp:inline>
        </w:drawing>
      </w:r>
    </w:p>
    <w:p w14:paraId="31C8304E" w14:textId="77777777" w:rsidR="00A5221C" w:rsidRPr="00F21896" w:rsidRDefault="00A5221C" w:rsidP="00A5221C">
      <w:pPr>
        <w:pStyle w:val="Caption"/>
        <w:rPr>
          <w:rFonts w:asciiTheme="minorHAnsi" w:hAnsiTheme="minorHAnsi"/>
        </w:rPr>
      </w:pPr>
      <w:bookmarkStart w:id="10" w:name="_Ref155950665"/>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19</w:t>
      </w:r>
      <w:r w:rsidRPr="00F21896">
        <w:rPr>
          <w:rFonts w:asciiTheme="minorHAnsi" w:hAnsiTheme="minorHAnsi"/>
          <w:noProof/>
        </w:rPr>
        <w:fldChar w:fldCharType="end"/>
      </w:r>
      <w:bookmarkEnd w:id="10"/>
      <w:r w:rsidRPr="00F21896">
        <w:rPr>
          <w:rFonts w:asciiTheme="minorHAnsi" w:hAnsiTheme="minorHAnsi"/>
        </w:rPr>
        <w:t>. Linear regressions of Shannon Diversity Index for size-fractionated samples vs. PC1 for 18S (upper) and COI (lower). Sizes are listed from top to bottom as 0.2-0.5 mm, 0.5-1 mm and 1-2 mm.</w:t>
      </w:r>
    </w:p>
    <w:p w14:paraId="67F1FFA5" w14:textId="77777777" w:rsidR="00A5221C" w:rsidRPr="00F21896" w:rsidRDefault="00A5221C" w:rsidP="00A5221C">
      <w:pPr>
        <w:keepNext/>
        <w:rPr>
          <w:rFonts w:asciiTheme="minorHAnsi" w:hAnsiTheme="minorHAnsi"/>
        </w:rPr>
      </w:pPr>
      <w:r w:rsidRPr="00F21896">
        <w:rPr>
          <w:rFonts w:asciiTheme="minorHAnsi" w:hAnsiTheme="minorHAnsi"/>
        </w:rPr>
        <w:lastRenderedPageBreak/>
        <w:t xml:space="preserve"> </w:t>
      </w:r>
    </w:p>
    <w:p w14:paraId="49E93894" w14:textId="77777777" w:rsidR="00A5221C" w:rsidRPr="00F21896" w:rsidRDefault="00A5221C" w:rsidP="00A5221C">
      <w:pPr>
        <w:rPr>
          <w:rFonts w:asciiTheme="minorHAnsi" w:hAnsiTheme="minorHAnsi"/>
          <w:b/>
        </w:rPr>
      </w:pPr>
    </w:p>
    <w:p w14:paraId="132C653A" w14:textId="77777777" w:rsidR="00A5221C" w:rsidRPr="00F21896" w:rsidRDefault="00A5221C" w:rsidP="00A5221C">
      <w:pPr>
        <w:rPr>
          <w:rFonts w:asciiTheme="minorHAnsi" w:hAnsiTheme="minorHAnsi"/>
          <w:b/>
        </w:rPr>
      </w:pPr>
      <w:r w:rsidRPr="00F21896">
        <w:rPr>
          <w:rFonts w:asciiTheme="minorHAnsi" w:hAnsiTheme="minorHAnsi"/>
          <w:b/>
        </w:rPr>
        <w:t>4.4.3 Zooplankton Taxon and Size-specific relationships with Environmental Properties</w:t>
      </w:r>
    </w:p>
    <w:p w14:paraId="29342548" w14:textId="77777777" w:rsidR="00A5221C" w:rsidRPr="00F21896" w:rsidRDefault="00A5221C" w:rsidP="00A5221C">
      <w:pPr>
        <w:rPr>
          <w:rFonts w:asciiTheme="minorHAnsi" w:hAnsiTheme="minorHAnsi"/>
          <w:bCs/>
          <w:i/>
          <w:iCs/>
        </w:rPr>
      </w:pPr>
      <w:r w:rsidRPr="00F21896">
        <w:rPr>
          <w:rFonts w:asciiTheme="minorHAnsi" w:hAnsiTheme="minorHAnsi"/>
          <w:bCs/>
        </w:rPr>
        <w:tab/>
        <w:t xml:space="preserve">After the pre-processing for </w:t>
      </w:r>
      <w:r w:rsidRPr="00F21896">
        <w:rPr>
          <w:rFonts w:asciiTheme="minorHAnsi" w:hAnsiTheme="minorHAnsi"/>
          <w:bCs/>
          <w:i/>
          <w:iCs/>
        </w:rPr>
        <w:t xml:space="preserve">fido </w:t>
      </w:r>
      <w:r w:rsidRPr="00F21896">
        <w:rPr>
          <w:rFonts w:asciiTheme="minorHAnsi" w:hAnsiTheme="minorHAnsi"/>
          <w:bCs/>
        </w:rPr>
        <w:t>the ASVs associated with 3 groups for COI (</w:t>
      </w:r>
      <w:r w:rsidRPr="00F21896">
        <w:rPr>
          <w:rFonts w:asciiTheme="minorHAnsi" w:hAnsiTheme="minorHAnsi"/>
          <w:bCs/>
          <w:i/>
          <w:iCs/>
        </w:rPr>
        <w:t>Euphausia pacifica</w:t>
      </w:r>
      <w:r w:rsidRPr="00F21896">
        <w:rPr>
          <w:rFonts w:asciiTheme="minorHAnsi" w:hAnsiTheme="minorHAnsi"/>
          <w:bCs/>
        </w:rPr>
        <w:t xml:space="preserve">, calanoid copepods, and </w:t>
      </w:r>
      <w:r w:rsidRPr="00F21896">
        <w:rPr>
          <w:rFonts w:asciiTheme="minorHAnsi" w:hAnsiTheme="minorHAnsi"/>
          <w:bCs/>
          <w:i/>
          <w:iCs/>
        </w:rPr>
        <w:t>Rosacea cymbiformes</w:t>
      </w:r>
      <w:r w:rsidRPr="00F21896">
        <w:rPr>
          <w:rFonts w:asciiTheme="minorHAnsi" w:hAnsiTheme="minorHAnsi"/>
          <w:bCs/>
        </w:rPr>
        <w:t>) and 2 groups for 18S (euphausiids and calanoids) produced significant relationships with PC1 (</w:t>
      </w:r>
      <w:r w:rsidRPr="00F21896">
        <w:rPr>
          <w:rFonts w:asciiTheme="minorHAnsi" w:hAnsiTheme="minorHAnsi"/>
          <w:bCs/>
        </w:rPr>
        <w:fldChar w:fldCharType="begin"/>
      </w:r>
      <w:r w:rsidRPr="00F21896">
        <w:rPr>
          <w:rFonts w:asciiTheme="minorHAnsi" w:hAnsiTheme="minorHAnsi"/>
          <w:bCs/>
        </w:rPr>
        <w:instrText xml:space="preserve"> REF _Ref149159839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20</w:t>
      </w:r>
      <w:r w:rsidRPr="00F21896">
        <w:rPr>
          <w:rFonts w:asciiTheme="minorHAnsi" w:hAnsiTheme="minorHAnsi"/>
          <w:bCs/>
        </w:rPr>
        <w:fldChar w:fldCharType="end"/>
      </w:r>
      <w:r w:rsidRPr="00F21896">
        <w:rPr>
          <w:rFonts w:asciiTheme="minorHAnsi" w:hAnsiTheme="minorHAnsi"/>
          <w:bCs/>
        </w:rPr>
        <w:t xml:space="preserve">, Figure S1). For COI, the results indicate that many taxa differ in their relationship with environmental properties between size classes. </w:t>
      </w:r>
      <w:r w:rsidRPr="00F21896">
        <w:rPr>
          <w:rFonts w:asciiTheme="minorHAnsi" w:hAnsiTheme="minorHAnsi"/>
          <w:bCs/>
          <w:i/>
          <w:iCs/>
        </w:rPr>
        <w:t xml:space="preserve">Calanus pacificus </w:t>
      </w:r>
      <w:r w:rsidRPr="00F21896">
        <w:rPr>
          <w:rFonts w:asciiTheme="minorHAnsi" w:hAnsiTheme="minorHAnsi"/>
          <w:bCs/>
        </w:rPr>
        <w:t>ASV 1 showed a well-conserved relationship across the 3 size classes (</w:t>
      </w:r>
      <w:r w:rsidRPr="00F21896">
        <w:rPr>
          <w:rFonts w:asciiTheme="minorHAnsi" w:hAnsiTheme="minorHAnsi"/>
          <w:bCs/>
        </w:rPr>
        <w:fldChar w:fldCharType="begin"/>
      </w:r>
      <w:r w:rsidRPr="00F21896">
        <w:rPr>
          <w:rFonts w:asciiTheme="minorHAnsi" w:hAnsiTheme="minorHAnsi"/>
          <w:bCs/>
        </w:rPr>
        <w:instrText xml:space="preserve"> REF _Ref149159839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20</w:t>
      </w:r>
      <w:r w:rsidRPr="00F21896">
        <w:rPr>
          <w:rFonts w:asciiTheme="minorHAnsi" w:hAnsiTheme="minorHAnsi"/>
          <w:bCs/>
        </w:rPr>
        <w:fldChar w:fldCharType="end"/>
      </w:r>
      <w:r w:rsidRPr="00F21896">
        <w:rPr>
          <w:rFonts w:asciiTheme="minorHAnsi" w:hAnsiTheme="minorHAnsi"/>
          <w:bCs/>
        </w:rPr>
        <w:t xml:space="preserve">). </w:t>
      </w:r>
      <w:r w:rsidRPr="00F21896">
        <w:rPr>
          <w:rFonts w:asciiTheme="minorHAnsi" w:hAnsiTheme="minorHAnsi"/>
          <w:bCs/>
          <w:i/>
          <w:iCs/>
        </w:rPr>
        <w:t xml:space="preserve">C. pacificus </w:t>
      </w:r>
      <w:r w:rsidRPr="00F21896">
        <w:rPr>
          <w:rFonts w:asciiTheme="minorHAnsi" w:hAnsiTheme="minorHAnsi"/>
          <w:bCs/>
        </w:rPr>
        <w:t xml:space="preserve">had many ASVs assigned for COI, and none of the modeled relationships align consistently. This variability in ASV could arise due to sequencing errors or limitations of the taxonomic database that does not include similar species and thus assigned them all to </w:t>
      </w:r>
      <w:r w:rsidRPr="00F21896">
        <w:rPr>
          <w:rFonts w:asciiTheme="minorHAnsi" w:hAnsiTheme="minorHAnsi"/>
          <w:bCs/>
          <w:i/>
          <w:iCs/>
        </w:rPr>
        <w:t>C. pacificus</w:t>
      </w:r>
      <w:r w:rsidRPr="00F21896">
        <w:rPr>
          <w:rFonts w:asciiTheme="minorHAnsi" w:hAnsiTheme="minorHAnsi"/>
          <w:bCs/>
        </w:rPr>
        <w:t xml:space="preserve">. </w:t>
      </w:r>
      <w:r w:rsidRPr="00F21896">
        <w:rPr>
          <w:rFonts w:asciiTheme="minorHAnsi" w:hAnsiTheme="minorHAnsi"/>
          <w:bCs/>
          <w:i/>
          <w:iCs/>
        </w:rPr>
        <w:t>Ctenocalanus vanus</w:t>
      </w:r>
      <w:r w:rsidRPr="00F21896">
        <w:rPr>
          <w:rFonts w:asciiTheme="minorHAnsi" w:hAnsiTheme="minorHAnsi"/>
          <w:bCs/>
        </w:rPr>
        <w:t xml:space="preserve"> ASVs were highly conserved across its two sizes (0.2-0.5 mm and 0.5-1 mm) and their negative mean centered log-ratio value indicates that this organism is strongly linked with the offshore environment. The largest size siphonophore was strongly linked with the onshore environment, whereas its smaller size classes had less of a clear association. Smaller </w:t>
      </w:r>
      <w:r w:rsidRPr="00F21896">
        <w:rPr>
          <w:rFonts w:asciiTheme="minorHAnsi" w:hAnsiTheme="minorHAnsi"/>
          <w:bCs/>
          <w:i/>
          <w:iCs/>
        </w:rPr>
        <w:t xml:space="preserve">E. pacifica </w:t>
      </w:r>
      <w:r w:rsidRPr="00F21896">
        <w:rPr>
          <w:rFonts w:asciiTheme="minorHAnsi" w:hAnsiTheme="minorHAnsi"/>
          <w:bCs/>
        </w:rPr>
        <w:t>were significantly related to positive onshore PC1 values and the largest size class was not significantly associated with either grouping (</w:t>
      </w:r>
      <w:r w:rsidRPr="00F21896">
        <w:rPr>
          <w:rFonts w:asciiTheme="minorHAnsi" w:hAnsiTheme="minorHAnsi"/>
          <w:bCs/>
        </w:rPr>
        <w:fldChar w:fldCharType="begin"/>
      </w:r>
      <w:r w:rsidRPr="00F21896">
        <w:rPr>
          <w:rFonts w:asciiTheme="minorHAnsi" w:hAnsiTheme="minorHAnsi"/>
          <w:bCs/>
        </w:rPr>
        <w:instrText xml:space="preserve"> REF _Ref149159839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20</w:t>
      </w:r>
      <w:r w:rsidRPr="00F21896">
        <w:rPr>
          <w:rFonts w:asciiTheme="minorHAnsi" w:hAnsiTheme="minorHAnsi"/>
          <w:bCs/>
        </w:rPr>
        <w:fldChar w:fldCharType="end"/>
      </w:r>
      <w:r w:rsidRPr="00F21896">
        <w:rPr>
          <w:rFonts w:asciiTheme="minorHAnsi" w:hAnsiTheme="minorHAnsi"/>
          <w:bCs/>
        </w:rPr>
        <w:t>).</w:t>
      </w:r>
    </w:p>
    <w:p w14:paraId="5087125F" w14:textId="77777777" w:rsidR="00A5221C" w:rsidRPr="00F21896" w:rsidRDefault="00A5221C" w:rsidP="00A5221C">
      <w:pPr>
        <w:ind w:firstLine="720"/>
        <w:rPr>
          <w:rFonts w:asciiTheme="minorHAnsi" w:hAnsiTheme="minorHAnsi"/>
          <w:bCs/>
        </w:rPr>
      </w:pPr>
      <w:r w:rsidRPr="00F21896">
        <w:rPr>
          <w:rFonts w:asciiTheme="minorHAnsi" w:hAnsiTheme="minorHAnsi"/>
          <w:bCs/>
        </w:rPr>
        <w:t>We also found many taxa with strong relationships to nutrients: NO</w:t>
      </w:r>
      <w:r w:rsidRPr="00F21896">
        <w:rPr>
          <w:rFonts w:asciiTheme="minorHAnsi" w:hAnsiTheme="minorHAnsi"/>
          <w:bCs/>
          <w:vertAlign w:val="subscript"/>
        </w:rPr>
        <w:t>3</w:t>
      </w:r>
      <w:r w:rsidRPr="00F21896">
        <w:rPr>
          <w:rFonts w:asciiTheme="minorHAnsi" w:hAnsiTheme="minorHAnsi"/>
          <w:bCs/>
        </w:rPr>
        <w:t>, PO</w:t>
      </w:r>
      <w:r w:rsidRPr="00F21896">
        <w:rPr>
          <w:rFonts w:asciiTheme="minorHAnsi" w:hAnsiTheme="minorHAnsi"/>
          <w:bCs/>
          <w:vertAlign w:val="subscript"/>
        </w:rPr>
        <w:t>4</w:t>
      </w:r>
      <w:r w:rsidRPr="00F21896">
        <w:rPr>
          <w:rFonts w:asciiTheme="minorHAnsi" w:hAnsiTheme="minorHAnsi"/>
          <w:bCs/>
        </w:rPr>
        <w:t>, NO</w:t>
      </w:r>
      <w:r w:rsidRPr="00F21896">
        <w:rPr>
          <w:rFonts w:asciiTheme="minorHAnsi" w:hAnsiTheme="minorHAnsi"/>
          <w:bCs/>
          <w:vertAlign w:val="subscript"/>
        </w:rPr>
        <w:t>2</w:t>
      </w:r>
      <w:r w:rsidRPr="00F21896">
        <w:rPr>
          <w:rFonts w:asciiTheme="minorHAnsi" w:hAnsiTheme="minorHAnsi"/>
          <w:bCs/>
        </w:rPr>
        <w:t>, and NH</w:t>
      </w:r>
      <w:r w:rsidRPr="00F21896">
        <w:rPr>
          <w:rFonts w:asciiTheme="minorHAnsi" w:hAnsiTheme="minorHAnsi"/>
          <w:bCs/>
          <w:vertAlign w:val="subscript"/>
        </w:rPr>
        <w:t>3</w:t>
      </w:r>
      <w:r w:rsidRPr="00F21896">
        <w:rPr>
          <w:rFonts w:asciiTheme="minorHAnsi" w:hAnsiTheme="minorHAnsi"/>
          <w:bCs/>
        </w:rPr>
        <w:t xml:space="preserve"> and chlorophyll-a fluorescence (not shown). Next steps in this analysis will be to examine how these relationships change after running the models for PCR bias-corrected abundances.</w:t>
      </w:r>
    </w:p>
    <w:p w14:paraId="68D8B0D5" w14:textId="77777777" w:rsidR="00A5221C" w:rsidRPr="00F21896" w:rsidRDefault="00A5221C" w:rsidP="00A5221C">
      <w:pPr>
        <w:rPr>
          <w:rFonts w:asciiTheme="minorHAnsi" w:hAnsiTheme="minorHAnsi"/>
          <w:bCs/>
        </w:rPr>
      </w:pPr>
      <w:r w:rsidRPr="00F21896">
        <w:rPr>
          <w:rFonts w:asciiTheme="minorHAnsi" w:hAnsiTheme="minorHAnsi"/>
          <w:bCs/>
        </w:rPr>
        <w:tab/>
      </w:r>
    </w:p>
    <w:p w14:paraId="5C04D1EA" w14:textId="77777777" w:rsidR="00A5221C" w:rsidRPr="00F21896" w:rsidRDefault="00A5221C" w:rsidP="00A5221C">
      <w:pPr>
        <w:keepNext/>
        <w:rPr>
          <w:rFonts w:asciiTheme="minorHAnsi" w:hAnsiTheme="minorHAnsi"/>
        </w:rPr>
      </w:pPr>
      <w:r w:rsidRPr="00F21896">
        <w:rPr>
          <w:rFonts w:asciiTheme="minorHAnsi" w:hAnsiTheme="minorHAnsi"/>
          <w:noProof/>
        </w:rPr>
        <w:lastRenderedPageBreak/>
        <w:drawing>
          <wp:inline distT="0" distB="0" distL="0" distR="0" wp14:anchorId="6FB8E71A" wp14:editId="2386B9CC">
            <wp:extent cx="6416040" cy="4046041"/>
            <wp:effectExtent l="0" t="0" r="0" b="0"/>
            <wp:docPr id="1454166629" name="Picture 145416662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66629" name="Picture 17" descr="A graph of a graph&#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0203" cy="4061279"/>
                    </a:xfrm>
                    <a:prstGeom prst="rect">
                      <a:avLst/>
                    </a:prstGeom>
                    <a:noFill/>
                    <a:ln>
                      <a:noFill/>
                    </a:ln>
                  </pic:spPr>
                </pic:pic>
              </a:graphicData>
            </a:graphic>
          </wp:inline>
        </w:drawing>
      </w:r>
      <w:r w:rsidRPr="00F21896">
        <w:rPr>
          <w:rFonts w:asciiTheme="minorHAnsi" w:hAnsiTheme="minorHAnsi"/>
        </w:rPr>
        <w:t xml:space="preserve"> </w:t>
      </w:r>
    </w:p>
    <w:p w14:paraId="3FF5E57C" w14:textId="77777777" w:rsidR="00A5221C" w:rsidRPr="00F21896" w:rsidRDefault="00A5221C" w:rsidP="00A5221C">
      <w:pPr>
        <w:pStyle w:val="Caption"/>
        <w:rPr>
          <w:rFonts w:asciiTheme="minorHAnsi" w:hAnsiTheme="minorHAnsi"/>
        </w:rPr>
      </w:pPr>
      <w:bookmarkStart w:id="11" w:name="_Ref149159839"/>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20</w:t>
      </w:r>
      <w:r w:rsidRPr="00F21896">
        <w:rPr>
          <w:rFonts w:asciiTheme="minorHAnsi" w:hAnsiTheme="minorHAnsi"/>
          <w:noProof/>
        </w:rPr>
        <w:fldChar w:fldCharType="end"/>
      </w:r>
      <w:bookmarkEnd w:id="11"/>
      <w:r w:rsidRPr="00F21896">
        <w:rPr>
          <w:rFonts w:asciiTheme="minorHAnsi" w:hAnsiTheme="minorHAnsi"/>
        </w:rPr>
        <w:t>. Fido model showing centered log-ratio values for ASVs and PC1. Color is associated with size fraction (red=0.2-0.5mm, green=0.5-1mm, blue=1-2mm) and error bars are the 95% confidence interval. Note: not all ASVs in the plot passed the pre-processing criteria or appeared in each size fraction (e.g. Calanus_pacificus_6 for 0.2-0.5 and 1-2mm).</w:t>
      </w:r>
    </w:p>
    <w:p w14:paraId="577199F7" w14:textId="77777777" w:rsidR="00A5221C" w:rsidRPr="00F21896" w:rsidRDefault="00A5221C" w:rsidP="00A5221C">
      <w:pPr>
        <w:rPr>
          <w:rFonts w:asciiTheme="minorHAnsi" w:hAnsiTheme="minorHAnsi"/>
          <w:b/>
        </w:rPr>
      </w:pPr>
      <w:r w:rsidRPr="00F21896">
        <w:rPr>
          <w:rFonts w:asciiTheme="minorHAnsi" w:hAnsiTheme="minorHAnsi"/>
          <w:b/>
        </w:rPr>
        <w:t xml:space="preserve">4.4.4 Onshore and Offshore Zooplankton Taxa </w:t>
      </w:r>
    </w:p>
    <w:p w14:paraId="3C2C835B" w14:textId="77777777" w:rsidR="00A5221C" w:rsidRPr="00F21896" w:rsidRDefault="00A5221C" w:rsidP="00A5221C">
      <w:pPr>
        <w:ind w:firstLine="720"/>
        <w:rPr>
          <w:rFonts w:asciiTheme="minorHAnsi" w:hAnsiTheme="minorHAnsi"/>
          <w:bCs/>
        </w:rPr>
      </w:pPr>
      <w:r w:rsidRPr="00F21896">
        <w:rPr>
          <w:rFonts w:asciiTheme="minorHAnsi" w:hAnsiTheme="minorHAnsi"/>
          <w:bCs/>
        </w:rPr>
        <w:t xml:space="preserve">Normalized read-based species abundances indicated </w:t>
      </w:r>
      <w:r w:rsidRPr="00F21896">
        <w:rPr>
          <w:rFonts w:asciiTheme="minorHAnsi" w:hAnsiTheme="minorHAnsi"/>
          <w:bCs/>
          <w:i/>
          <w:iCs/>
        </w:rPr>
        <w:t xml:space="preserve">C. pacificus </w:t>
      </w:r>
      <w:r w:rsidRPr="00F21896">
        <w:rPr>
          <w:rFonts w:asciiTheme="minorHAnsi" w:hAnsiTheme="minorHAnsi"/>
          <w:bCs/>
        </w:rPr>
        <w:t xml:space="preserve"> </w:t>
      </w:r>
      <w:r w:rsidRPr="00F21896">
        <w:rPr>
          <w:rFonts w:asciiTheme="minorHAnsi" w:hAnsiTheme="minorHAnsi"/>
          <w:bCs/>
          <w:i/>
          <w:iCs/>
        </w:rPr>
        <w:t xml:space="preserve">E. pacifica </w:t>
      </w:r>
      <w:r w:rsidRPr="00F21896">
        <w:rPr>
          <w:rFonts w:asciiTheme="minorHAnsi" w:hAnsiTheme="minorHAnsi"/>
          <w:bCs/>
        </w:rPr>
        <w:t xml:space="preserve">were the dominant species onshore </w:t>
      </w:r>
      <w:r w:rsidRPr="00F21896">
        <w:rPr>
          <w:rFonts w:asciiTheme="minorHAnsi" w:hAnsiTheme="minorHAnsi"/>
          <w:bCs/>
        </w:rPr>
        <w:fldChar w:fldCharType="begin"/>
      </w:r>
      <w:r w:rsidRPr="00F21896">
        <w:rPr>
          <w:rFonts w:asciiTheme="minorHAnsi" w:hAnsiTheme="minorHAnsi"/>
          <w:bCs/>
        </w:rPr>
        <w:instrText xml:space="preserve"> REF _Ref149659257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21</w:t>
      </w:r>
      <w:r w:rsidRPr="00F21896">
        <w:rPr>
          <w:rFonts w:asciiTheme="minorHAnsi" w:hAnsiTheme="minorHAnsi"/>
          <w:bCs/>
        </w:rPr>
        <w:fldChar w:fldCharType="end"/>
      </w:r>
      <w:r w:rsidRPr="00F21896">
        <w:rPr>
          <w:rFonts w:asciiTheme="minorHAnsi" w:hAnsiTheme="minorHAnsi"/>
          <w:bCs/>
        </w:rPr>
        <w:t xml:space="preserve">).  Other notable taxa included the siphonorphores </w:t>
      </w:r>
      <w:r w:rsidRPr="00F21896">
        <w:rPr>
          <w:rFonts w:asciiTheme="minorHAnsi" w:hAnsiTheme="minorHAnsi"/>
          <w:bCs/>
          <w:i/>
          <w:iCs/>
        </w:rPr>
        <w:t xml:space="preserve">R. cymbiformes </w:t>
      </w:r>
      <w:r w:rsidRPr="00F21896">
        <w:rPr>
          <w:rFonts w:asciiTheme="minorHAnsi" w:hAnsiTheme="minorHAnsi"/>
          <w:bCs/>
        </w:rPr>
        <w:t xml:space="preserve">and </w:t>
      </w:r>
      <w:r w:rsidRPr="00F21896">
        <w:rPr>
          <w:rFonts w:asciiTheme="minorHAnsi" w:hAnsiTheme="minorHAnsi"/>
          <w:bCs/>
          <w:i/>
          <w:iCs/>
        </w:rPr>
        <w:t>Nanomia bijuga</w:t>
      </w:r>
      <w:r w:rsidRPr="00F21896">
        <w:rPr>
          <w:rFonts w:asciiTheme="minorHAnsi" w:hAnsiTheme="minorHAnsi"/>
          <w:bCs/>
        </w:rPr>
        <w:t xml:space="preserve">, </w:t>
      </w:r>
      <w:r w:rsidRPr="00F21896">
        <w:rPr>
          <w:rFonts w:asciiTheme="minorHAnsi" w:hAnsiTheme="minorHAnsi"/>
          <w:bCs/>
          <w:i/>
          <w:iCs/>
        </w:rPr>
        <w:t xml:space="preserve">Metridia pacifica </w:t>
      </w:r>
      <w:r w:rsidRPr="00F21896">
        <w:rPr>
          <w:rFonts w:asciiTheme="minorHAnsi" w:hAnsiTheme="minorHAnsi"/>
          <w:bCs/>
        </w:rPr>
        <w:t xml:space="preserve">(also abundant in 18S-figure not shown) and </w:t>
      </w:r>
      <w:r w:rsidRPr="00F21896">
        <w:rPr>
          <w:rFonts w:asciiTheme="minorHAnsi" w:hAnsiTheme="minorHAnsi"/>
          <w:bCs/>
          <w:i/>
          <w:iCs/>
        </w:rPr>
        <w:t>Ct. vanus</w:t>
      </w:r>
      <w:r w:rsidRPr="00F21896">
        <w:rPr>
          <w:rFonts w:asciiTheme="minorHAnsi" w:hAnsiTheme="minorHAnsi"/>
          <w:bCs/>
        </w:rPr>
        <w:t xml:space="preserve">. In the offshore, read abundances were more evenly distributed across a diversity of calanoid copepods, although </w:t>
      </w:r>
      <w:r w:rsidRPr="00F21896">
        <w:rPr>
          <w:rFonts w:asciiTheme="minorHAnsi" w:hAnsiTheme="minorHAnsi"/>
          <w:bCs/>
          <w:i/>
          <w:iCs/>
        </w:rPr>
        <w:t xml:space="preserve">E. pacifica </w:t>
      </w:r>
      <w:r w:rsidRPr="00F21896">
        <w:rPr>
          <w:rFonts w:asciiTheme="minorHAnsi" w:hAnsiTheme="minorHAnsi"/>
          <w:bCs/>
        </w:rPr>
        <w:t>was</w:t>
      </w:r>
      <w:r w:rsidRPr="00F21896">
        <w:rPr>
          <w:rFonts w:asciiTheme="minorHAnsi" w:hAnsiTheme="minorHAnsi"/>
          <w:bCs/>
          <w:i/>
          <w:iCs/>
        </w:rPr>
        <w:t xml:space="preserve"> </w:t>
      </w:r>
      <w:r w:rsidRPr="00F21896">
        <w:rPr>
          <w:rFonts w:asciiTheme="minorHAnsi" w:hAnsiTheme="minorHAnsi"/>
          <w:bCs/>
        </w:rPr>
        <w:t>also relatively abundant (</w:t>
      </w:r>
      <w:r w:rsidRPr="00F21896">
        <w:rPr>
          <w:rFonts w:asciiTheme="minorHAnsi" w:hAnsiTheme="minorHAnsi"/>
          <w:bCs/>
        </w:rPr>
        <w:fldChar w:fldCharType="begin"/>
      </w:r>
      <w:r w:rsidRPr="00F21896">
        <w:rPr>
          <w:rFonts w:asciiTheme="minorHAnsi" w:hAnsiTheme="minorHAnsi"/>
          <w:bCs/>
        </w:rPr>
        <w:instrText xml:space="preserve"> REF _Ref149659257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21</w:t>
      </w:r>
      <w:r w:rsidRPr="00F21896">
        <w:rPr>
          <w:rFonts w:asciiTheme="minorHAnsi" w:hAnsiTheme="minorHAnsi"/>
          <w:bCs/>
        </w:rPr>
        <w:fldChar w:fldCharType="end"/>
      </w:r>
      <w:r w:rsidRPr="00F21896">
        <w:rPr>
          <w:rFonts w:asciiTheme="minorHAnsi" w:hAnsiTheme="minorHAnsi"/>
          <w:bCs/>
        </w:rPr>
        <w:t>).</w:t>
      </w:r>
    </w:p>
    <w:p w14:paraId="12B7FFBF" w14:textId="77777777" w:rsidR="00A5221C" w:rsidRPr="00F21896" w:rsidRDefault="00A5221C" w:rsidP="00A5221C">
      <w:pPr>
        <w:keepNext/>
        <w:rPr>
          <w:rFonts w:asciiTheme="minorHAnsi" w:hAnsiTheme="minorHAnsi"/>
        </w:rPr>
      </w:pPr>
      <w:r w:rsidRPr="00F21896">
        <w:rPr>
          <w:rFonts w:asciiTheme="minorHAnsi" w:hAnsiTheme="minorHAnsi"/>
          <w:noProof/>
        </w:rPr>
        <w:lastRenderedPageBreak/>
        <w:drawing>
          <wp:inline distT="0" distB="0" distL="0" distR="0" wp14:anchorId="02928993" wp14:editId="4AB4844C">
            <wp:extent cx="5943600" cy="2971800"/>
            <wp:effectExtent l="0" t="0" r="0" b="0"/>
            <wp:docPr id="674485344" name="Picture 674485344"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85344" name="Picture 19" descr="A close-up of a sig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F21896">
        <w:rPr>
          <w:rFonts w:asciiTheme="minorHAnsi" w:hAnsiTheme="minorHAnsi"/>
          <w:noProof/>
        </w:rPr>
        <w:t xml:space="preserve"> </w:t>
      </w:r>
      <w:r w:rsidRPr="00F21896">
        <w:rPr>
          <w:rFonts w:asciiTheme="minorHAnsi" w:hAnsiTheme="minorHAnsi"/>
          <w:noProof/>
        </w:rPr>
        <w:drawing>
          <wp:inline distT="0" distB="0" distL="0" distR="0" wp14:anchorId="0A4444C9" wp14:editId="780F9015">
            <wp:extent cx="5943600" cy="2971800"/>
            <wp:effectExtent l="0" t="0" r="0" b="0"/>
            <wp:docPr id="543013108" name="Picture 543013108" descr="A colorful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3108" name="Picture 20" descr="A colorful squares with white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7DAF304" w14:textId="77777777" w:rsidR="00A5221C" w:rsidRPr="00F21896" w:rsidRDefault="00A5221C" w:rsidP="00A5221C">
      <w:pPr>
        <w:pStyle w:val="Caption"/>
        <w:rPr>
          <w:rFonts w:asciiTheme="minorHAnsi" w:hAnsiTheme="minorHAnsi"/>
        </w:rPr>
      </w:pPr>
      <w:bookmarkStart w:id="12" w:name="_Ref149659257"/>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21</w:t>
      </w:r>
      <w:r w:rsidRPr="00F21896">
        <w:rPr>
          <w:rFonts w:asciiTheme="minorHAnsi" w:hAnsiTheme="minorHAnsi"/>
          <w:noProof/>
        </w:rPr>
        <w:fldChar w:fldCharType="end"/>
      </w:r>
      <w:bookmarkEnd w:id="12"/>
      <w:r w:rsidRPr="00F21896">
        <w:rPr>
          <w:rFonts w:asciiTheme="minorHAnsi" w:hAnsiTheme="minorHAnsi"/>
        </w:rPr>
        <w:t>. Treemaps of onshore (upper) and offshore (lower) taxa for COI. The size of each rectangle scales with read abundance normalized to the median. Plots comprised of total read abundances from each physically determined cluster.</w:t>
      </w:r>
    </w:p>
    <w:p w14:paraId="65A9B5DF"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In parallel with </w:t>
      </w:r>
      <w:r w:rsidRPr="00F21896">
        <w:rPr>
          <w:rFonts w:asciiTheme="minorHAnsi" w:hAnsiTheme="minorHAnsi"/>
          <w:i/>
          <w:iCs/>
        </w:rPr>
        <w:t>fido</w:t>
      </w:r>
      <w:r w:rsidRPr="00F21896">
        <w:rPr>
          <w:rFonts w:asciiTheme="minorHAnsi" w:hAnsiTheme="minorHAnsi"/>
        </w:rPr>
        <w:t xml:space="preserve">, we examined onshore and offshore taxa using the DESEQ2 package. Differences in sequence abundance between onshore and offshore break (not shown here) revealed a handful of taxa significantly more abundant in each of these environments. The onshore region displayed elevated abundances of calanoid copepods including </w:t>
      </w:r>
      <w:r w:rsidRPr="00F21896">
        <w:rPr>
          <w:rFonts w:asciiTheme="minorHAnsi" w:hAnsiTheme="minorHAnsi"/>
          <w:i/>
          <w:iCs/>
        </w:rPr>
        <w:t>Eucalanus californicus</w:t>
      </w:r>
      <w:r w:rsidRPr="00F21896">
        <w:rPr>
          <w:rFonts w:asciiTheme="minorHAnsi" w:hAnsiTheme="minorHAnsi"/>
        </w:rPr>
        <w:t xml:space="preserve">, </w:t>
      </w:r>
      <w:r w:rsidRPr="00F21896">
        <w:rPr>
          <w:rFonts w:asciiTheme="minorHAnsi" w:hAnsiTheme="minorHAnsi"/>
          <w:i/>
          <w:iCs/>
        </w:rPr>
        <w:t>Ditrichocorycaeus anglicus</w:t>
      </w:r>
      <w:r w:rsidRPr="00F21896">
        <w:rPr>
          <w:rFonts w:asciiTheme="minorHAnsi" w:hAnsiTheme="minorHAnsi"/>
        </w:rPr>
        <w:t xml:space="preserve"> and </w:t>
      </w:r>
      <w:r w:rsidRPr="00F21896">
        <w:rPr>
          <w:rFonts w:asciiTheme="minorHAnsi" w:hAnsiTheme="minorHAnsi"/>
          <w:i/>
          <w:iCs/>
        </w:rPr>
        <w:t>C. pacificus</w:t>
      </w:r>
      <w:r w:rsidRPr="00F21896">
        <w:rPr>
          <w:rFonts w:asciiTheme="minorHAnsi" w:hAnsiTheme="minorHAnsi"/>
        </w:rPr>
        <w:t xml:space="preserve"> as well as the siphonophore </w:t>
      </w:r>
      <w:r w:rsidRPr="00F21896">
        <w:rPr>
          <w:rFonts w:asciiTheme="minorHAnsi" w:hAnsiTheme="minorHAnsi"/>
          <w:i/>
          <w:iCs/>
        </w:rPr>
        <w:t>Muggiaea atlantica</w:t>
      </w:r>
      <w:r w:rsidRPr="00F21896">
        <w:rPr>
          <w:rFonts w:asciiTheme="minorHAnsi" w:hAnsiTheme="minorHAnsi"/>
        </w:rPr>
        <w:t xml:space="preserve">. </w:t>
      </w:r>
      <w:r w:rsidRPr="00F21896">
        <w:rPr>
          <w:rFonts w:asciiTheme="minorHAnsi" w:hAnsiTheme="minorHAnsi"/>
          <w:i/>
        </w:rPr>
        <w:t xml:space="preserve">E. californicus </w:t>
      </w:r>
      <w:r w:rsidRPr="00F21896">
        <w:rPr>
          <w:rFonts w:asciiTheme="minorHAnsi" w:hAnsiTheme="minorHAnsi"/>
        </w:rPr>
        <w:t xml:space="preserve">and </w:t>
      </w:r>
      <w:r w:rsidRPr="00F21896">
        <w:rPr>
          <w:rFonts w:asciiTheme="minorHAnsi" w:hAnsiTheme="minorHAnsi"/>
          <w:i/>
        </w:rPr>
        <w:t xml:space="preserve">C. pacificus </w:t>
      </w:r>
      <w:r w:rsidRPr="00F21896">
        <w:rPr>
          <w:rFonts w:asciiTheme="minorHAnsi" w:hAnsiTheme="minorHAnsi"/>
        </w:rPr>
        <w:t xml:space="preserve">are both omnivorous whereas </w:t>
      </w:r>
      <w:r w:rsidRPr="00F21896">
        <w:rPr>
          <w:rFonts w:asciiTheme="minorHAnsi" w:hAnsiTheme="minorHAnsi"/>
          <w:i/>
        </w:rPr>
        <w:t xml:space="preserve">D. anglicus </w:t>
      </w:r>
      <w:r w:rsidRPr="00F21896">
        <w:rPr>
          <w:rFonts w:asciiTheme="minorHAnsi" w:hAnsiTheme="minorHAnsi"/>
        </w:rPr>
        <w:t xml:space="preserve">is carnivorous. </w:t>
      </w:r>
      <w:r w:rsidRPr="00F21896">
        <w:rPr>
          <w:rFonts w:asciiTheme="minorHAnsi" w:hAnsiTheme="minorHAnsi"/>
          <w:i/>
          <w:iCs/>
        </w:rPr>
        <w:t>Muggiaea atlantica</w:t>
      </w:r>
      <w:r w:rsidRPr="00F21896">
        <w:rPr>
          <w:rFonts w:asciiTheme="minorHAnsi" w:hAnsiTheme="minorHAnsi"/>
        </w:rPr>
        <w:t xml:space="preserve"> is a cosmopolitan calycophoran siphonophore that preys on </w:t>
      </w:r>
      <w:r w:rsidRPr="00F21896">
        <w:rPr>
          <w:rFonts w:asciiTheme="minorHAnsi" w:hAnsiTheme="minorHAnsi"/>
        </w:rPr>
        <w:lastRenderedPageBreak/>
        <w:t xml:space="preserve">copepods, and is common in shallow waters. Offshore was defined by greater abundances of the siphonophore </w:t>
      </w:r>
      <w:r w:rsidRPr="00F21896">
        <w:rPr>
          <w:rFonts w:asciiTheme="minorHAnsi" w:hAnsiTheme="minorHAnsi"/>
          <w:i/>
          <w:iCs/>
        </w:rPr>
        <w:t>Agalma elegans</w:t>
      </w:r>
      <w:r w:rsidRPr="00F21896">
        <w:rPr>
          <w:rFonts w:asciiTheme="minorHAnsi" w:hAnsiTheme="minorHAnsi"/>
        </w:rPr>
        <w:t xml:space="preserve"> and an amphipod that was identified </w:t>
      </w:r>
      <w:r w:rsidRPr="00F21896">
        <w:rPr>
          <w:rFonts w:asciiTheme="minorHAnsi" w:hAnsiTheme="minorHAnsi"/>
          <w:i/>
          <w:iCs/>
        </w:rPr>
        <w:t>Abyssorchomene distinctus</w:t>
      </w:r>
      <w:r w:rsidRPr="00F21896">
        <w:rPr>
          <w:rFonts w:asciiTheme="minorHAnsi" w:hAnsiTheme="minorHAnsi"/>
        </w:rPr>
        <w:t xml:space="preserve">. However, since this species of amphipod has previously been reported only in waters &gt;2000m in the South West Pacific, this likely represents a mis-identification related to database limitations. </w:t>
      </w:r>
      <w:r w:rsidRPr="00F21896">
        <w:rPr>
          <w:rFonts w:asciiTheme="minorHAnsi" w:hAnsiTheme="minorHAnsi"/>
          <w:i/>
        </w:rPr>
        <w:t xml:space="preserve">Agalma elegans </w:t>
      </w:r>
      <w:r w:rsidRPr="00F21896">
        <w:rPr>
          <w:rFonts w:asciiTheme="minorHAnsi" w:hAnsiTheme="minorHAnsi"/>
        </w:rPr>
        <w:t xml:space="preserve">is documented from the CCE though little is known about its ecology. Other noteworthy taxa distributions include doliolids as characteristically offshore, identified with COI. Cnidaria were found in both onshore and offshore environments, with 3 species in each (siphonophore, trachymedusa and scyphozoan offshore, and 3 siphonophore species onshore). Chaetognaths appeared in both environments though were not identified to the level of species. </w:t>
      </w:r>
    </w:p>
    <w:p w14:paraId="3AB3088C" w14:textId="77777777" w:rsidR="00A5221C" w:rsidRPr="00F21896" w:rsidRDefault="00A5221C" w:rsidP="00A5221C">
      <w:pPr>
        <w:ind w:firstLine="720"/>
        <w:rPr>
          <w:rFonts w:asciiTheme="minorHAnsi" w:hAnsiTheme="minorHAnsi"/>
        </w:rPr>
      </w:pPr>
      <w:r w:rsidRPr="00F21896">
        <w:rPr>
          <w:rFonts w:asciiTheme="minorHAnsi" w:hAnsiTheme="minorHAnsi"/>
        </w:rPr>
        <w:t xml:space="preserve">Notably, some species had multiple ASVs that were characteristically associated with either onshore or offshore environments, such as </w:t>
      </w:r>
      <w:r w:rsidRPr="00F21896">
        <w:rPr>
          <w:rFonts w:asciiTheme="minorHAnsi" w:hAnsiTheme="minorHAnsi"/>
          <w:i/>
        </w:rPr>
        <w:t>E. californicus, Pleuromamma borealis and Heterorhadbus papilger</w:t>
      </w:r>
      <w:r w:rsidRPr="00F21896">
        <w:rPr>
          <w:rFonts w:asciiTheme="minorHAnsi" w:hAnsiTheme="minorHAnsi"/>
        </w:rPr>
        <w:t xml:space="preserve">. Other species had multiple ASVs but they aggregated (as expected) by environment: </w:t>
      </w:r>
      <w:r w:rsidRPr="00F21896">
        <w:rPr>
          <w:rFonts w:asciiTheme="minorHAnsi" w:hAnsiTheme="minorHAnsi"/>
          <w:i/>
        </w:rPr>
        <w:t xml:space="preserve">C. pacificus, </w:t>
      </w:r>
      <w:r w:rsidRPr="00F21896">
        <w:rPr>
          <w:rFonts w:asciiTheme="minorHAnsi" w:hAnsiTheme="minorHAnsi"/>
          <w:i/>
          <w:iCs/>
        </w:rPr>
        <w:t>Acartia margalefi</w:t>
      </w:r>
      <w:r w:rsidRPr="00F21896">
        <w:rPr>
          <w:rFonts w:asciiTheme="minorHAnsi" w:hAnsiTheme="minorHAnsi"/>
        </w:rPr>
        <w:t xml:space="preserve"> and </w:t>
      </w:r>
      <w:r w:rsidRPr="00F21896">
        <w:rPr>
          <w:rFonts w:asciiTheme="minorHAnsi" w:hAnsiTheme="minorHAnsi"/>
          <w:i/>
          <w:iCs/>
        </w:rPr>
        <w:t>E. pacifica</w:t>
      </w:r>
      <w:r w:rsidRPr="00F21896">
        <w:rPr>
          <w:rFonts w:asciiTheme="minorHAnsi" w:hAnsiTheme="minorHAnsi"/>
        </w:rPr>
        <w:t xml:space="preserve"> onshore, and </w:t>
      </w:r>
      <w:r w:rsidRPr="00F21896">
        <w:rPr>
          <w:rFonts w:asciiTheme="minorHAnsi" w:hAnsiTheme="minorHAnsi"/>
          <w:i/>
        </w:rPr>
        <w:t>Candacia bipinnata, Euchaeta rimana</w:t>
      </w:r>
      <w:r w:rsidRPr="00F21896">
        <w:rPr>
          <w:rFonts w:asciiTheme="minorHAnsi" w:hAnsiTheme="minorHAnsi"/>
          <w:iCs/>
        </w:rPr>
        <w:t xml:space="preserve"> (identified here as </w:t>
      </w:r>
      <w:r w:rsidRPr="00F21896">
        <w:rPr>
          <w:rFonts w:asciiTheme="minorHAnsi" w:hAnsiTheme="minorHAnsi"/>
          <w:i/>
        </w:rPr>
        <w:t>Euchaeta marina</w:t>
      </w:r>
      <w:r w:rsidRPr="00F21896">
        <w:rPr>
          <w:rFonts w:asciiTheme="minorHAnsi" w:hAnsiTheme="minorHAnsi"/>
          <w:iCs/>
        </w:rPr>
        <w:t xml:space="preserve"> which likely represents a misidentification)</w:t>
      </w:r>
      <w:r w:rsidRPr="00F21896">
        <w:rPr>
          <w:rFonts w:asciiTheme="minorHAnsi" w:hAnsiTheme="minorHAnsi"/>
          <w:i/>
        </w:rPr>
        <w:t xml:space="preserve"> </w:t>
      </w:r>
      <w:r w:rsidRPr="00F21896">
        <w:rPr>
          <w:rFonts w:asciiTheme="minorHAnsi" w:hAnsiTheme="minorHAnsi"/>
        </w:rPr>
        <w:t xml:space="preserve">and </w:t>
      </w:r>
      <w:r w:rsidRPr="00F21896">
        <w:rPr>
          <w:rFonts w:asciiTheme="minorHAnsi" w:hAnsiTheme="minorHAnsi"/>
          <w:i/>
        </w:rPr>
        <w:t>Clausocalanus furcatus</w:t>
      </w:r>
      <w:r w:rsidRPr="00F21896">
        <w:rPr>
          <w:rFonts w:asciiTheme="minorHAnsi" w:hAnsiTheme="minorHAnsi"/>
        </w:rPr>
        <w:t xml:space="preserve"> offshore.</w:t>
      </w:r>
    </w:p>
    <w:p w14:paraId="015BC937" w14:textId="77777777" w:rsidR="00A5221C" w:rsidRPr="00F21896" w:rsidRDefault="00A5221C" w:rsidP="00A5221C">
      <w:pPr>
        <w:rPr>
          <w:rFonts w:asciiTheme="minorHAnsi" w:hAnsiTheme="minorHAnsi"/>
          <w:b/>
        </w:rPr>
      </w:pPr>
    </w:p>
    <w:p w14:paraId="3942FB1A" w14:textId="77777777" w:rsidR="00A5221C" w:rsidRPr="00F21896" w:rsidRDefault="00A5221C" w:rsidP="00A5221C">
      <w:pPr>
        <w:rPr>
          <w:rFonts w:asciiTheme="minorHAnsi" w:hAnsiTheme="minorHAnsi"/>
        </w:rPr>
      </w:pPr>
      <w:r w:rsidRPr="00F21896">
        <w:rPr>
          <w:rFonts w:asciiTheme="minorHAnsi" w:hAnsiTheme="minorHAnsi"/>
          <w:noProof/>
        </w:rPr>
        <w:drawing>
          <wp:inline distT="114300" distB="114300" distL="114300" distR="114300" wp14:anchorId="08177742" wp14:editId="0746DBBF">
            <wp:extent cx="6644640" cy="3337560"/>
            <wp:effectExtent l="0" t="0" r="0" b="0"/>
            <wp:docPr id="10" name="Picture 10" descr="A chart of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9.png" descr="A chart of different colored dots&#10;&#10;Description automatically generated"/>
                    <pic:cNvPicPr preferRelativeResize="0"/>
                  </pic:nvPicPr>
                  <pic:blipFill>
                    <a:blip r:embed="rId20"/>
                    <a:srcRect/>
                    <a:stretch>
                      <a:fillRect/>
                    </a:stretch>
                  </pic:blipFill>
                  <pic:spPr>
                    <a:xfrm>
                      <a:off x="0" y="0"/>
                      <a:ext cx="6644640" cy="3337560"/>
                    </a:xfrm>
                    <a:prstGeom prst="rect">
                      <a:avLst/>
                    </a:prstGeom>
                    <a:ln/>
                  </pic:spPr>
                </pic:pic>
              </a:graphicData>
            </a:graphic>
          </wp:inline>
        </w:drawing>
      </w:r>
    </w:p>
    <w:p w14:paraId="59A7F028" w14:textId="77777777" w:rsidR="00A5221C" w:rsidRPr="00F21896" w:rsidRDefault="00A5221C" w:rsidP="00A5221C">
      <w:pPr>
        <w:rPr>
          <w:rFonts w:asciiTheme="minorHAnsi" w:hAnsiTheme="minorHAnsi"/>
        </w:rPr>
      </w:pPr>
    </w:p>
    <w:p w14:paraId="1AB5206D" w14:textId="77777777" w:rsidR="00A5221C" w:rsidRPr="00F21896" w:rsidRDefault="00A5221C" w:rsidP="00A5221C">
      <w:pPr>
        <w:keepNext/>
        <w:rPr>
          <w:rFonts w:asciiTheme="minorHAnsi" w:hAnsiTheme="minorHAnsi"/>
        </w:rPr>
      </w:pPr>
      <w:r w:rsidRPr="00F21896">
        <w:rPr>
          <w:rFonts w:asciiTheme="minorHAnsi" w:hAnsiTheme="minorHAnsi"/>
          <w:noProof/>
        </w:rPr>
        <w:lastRenderedPageBreak/>
        <w:drawing>
          <wp:inline distT="114300" distB="114300" distL="114300" distR="114300" wp14:anchorId="4468EDC7" wp14:editId="0876B866">
            <wp:extent cx="6568440" cy="3230880"/>
            <wp:effectExtent l="0" t="0" r="0" b="0"/>
            <wp:docPr id="1" name="Picture 1" descr="A comparison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1.png" descr="A comparison of a graph&#10;&#10;Description automatically generated with medium confidence"/>
                    <pic:cNvPicPr preferRelativeResize="0"/>
                  </pic:nvPicPr>
                  <pic:blipFill>
                    <a:blip r:embed="rId21"/>
                    <a:srcRect/>
                    <a:stretch>
                      <a:fillRect/>
                    </a:stretch>
                  </pic:blipFill>
                  <pic:spPr>
                    <a:xfrm>
                      <a:off x="0" y="0"/>
                      <a:ext cx="6568440" cy="3230880"/>
                    </a:xfrm>
                    <a:prstGeom prst="rect">
                      <a:avLst/>
                    </a:prstGeom>
                    <a:ln/>
                  </pic:spPr>
                </pic:pic>
              </a:graphicData>
            </a:graphic>
          </wp:inline>
        </w:drawing>
      </w:r>
    </w:p>
    <w:p w14:paraId="31A9ACAC" w14:textId="77777777" w:rsidR="00A5221C" w:rsidRPr="00F21896" w:rsidRDefault="00A5221C" w:rsidP="00A5221C">
      <w:pPr>
        <w:pStyle w:val="Caption"/>
        <w:rPr>
          <w:rFonts w:asciiTheme="minorHAnsi" w:hAnsiTheme="minorHAnsi"/>
        </w:rPr>
      </w:pPr>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22</w:t>
      </w:r>
      <w:r w:rsidRPr="00F21896">
        <w:rPr>
          <w:rFonts w:asciiTheme="minorHAnsi" w:hAnsiTheme="minorHAnsi"/>
          <w:noProof/>
        </w:rPr>
        <w:fldChar w:fldCharType="end"/>
      </w:r>
      <w:r w:rsidRPr="00F21896">
        <w:rPr>
          <w:rFonts w:asciiTheme="minorHAnsi" w:hAnsiTheme="minorHAnsi"/>
        </w:rPr>
        <w:t>. Upper:  DESEQ2 results from aggregated sample and size fractions for COI. Lower: DESEQ2 results for 18s. ASVs not identified to the level of species are assigned family or order.</w:t>
      </w:r>
    </w:p>
    <w:p w14:paraId="5552095E" w14:textId="77777777" w:rsidR="00A5221C" w:rsidRPr="00F21896" w:rsidRDefault="00A5221C" w:rsidP="00A5221C">
      <w:pPr>
        <w:rPr>
          <w:rFonts w:asciiTheme="minorHAnsi" w:hAnsiTheme="minorHAnsi"/>
          <w:b/>
        </w:rPr>
      </w:pPr>
    </w:p>
    <w:p w14:paraId="473E2E8B" w14:textId="77777777" w:rsidR="00A5221C" w:rsidRPr="00F21896" w:rsidRDefault="00A5221C" w:rsidP="00A5221C">
      <w:pPr>
        <w:rPr>
          <w:rFonts w:asciiTheme="minorHAnsi" w:hAnsiTheme="minorHAnsi"/>
          <w:b/>
        </w:rPr>
      </w:pPr>
      <w:r w:rsidRPr="00F21896">
        <w:rPr>
          <w:rFonts w:asciiTheme="minorHAnsi" w:hAnsiTheme="minorHAnsi"/>
          <w:b/>
        </w:rPr>
        <w:t>4.4.4 Variable PCR Experiment, Zooscan, and Comparison of Estimates of Zooplankton Abundance</w:t>
      </w:r>
    </w:p>
    <w:p w14:paraId="378C6AB4" w14:textId="77777777" w:rsidR="00A5221C" w:rsidRPr="00F21896" w:rsidRDefault="00A5221C" w:rsidP="00A5221C">
      <w:pPr>
        <w:ind w:firstLine="720"/>
        <w:rPr>
          <w:rFonts w:asciiTheme="minorHAnsi" w:hAnsiTheme="minorHAnsi"/>
          <w:bCs/>
        </w:rPr>
      </w:pPr>
      <w:r w:rsidRPr="00F21896">
        <w:rPr>
          <w:rFonts w:asciiTheme="minorHAnsi" w:hAnsiTheme="minorHAnsi"/>
          <w:bCs/>
        </w:rPr>
        <w:t>The results of the variable PCR experiment yielded the first estimates of amplification efficiency for marine zooplankton. These results will focus on the 18S dataset as 18S had fewer taxa that met the filtering criteria (46 versus 8) (</w:t>
      </w:r>
      <w:r w:rsidRPr="00F21896">
        <w:rPr>
          <w:rFonts w:asciiTheme="minorHAnsi" w:hAnsiTheme="minorHAnsi"/>
          <w:bCs/>
        </w:rPr>
        <w:fldChar w:fldCharType="begin"/>
      </w:r>
      <w:r w:rsidRPr="00F21896">
        <w:rPr>
          <w:rFonts w:asciiTheme="minorHAnsi" w:hAnsiTheme="minorHAnsi"/>
          <w:bCs/>
        </w:rPr>
        <w:instrText xml:space="preserve"> REF _Ref149164584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23</w:t>
      </w:r>
      <w:r w:rsidRPr="00F21896">
        <w:rPr>
          <w:rFonts w:asciiTheme="minorHAnsi" w:hAnsiTheme="minorHAnsi"/>
          <w:bCs/>
        </w:rPr>
        <w:fldChar w:fldCharType="end"/>
      </w:r>
      <w:r w:rsidRPr="00F21896">
        <w:rPr>
          <w:rFonts w:asciiTheme="minorHAnsi" w:hAnsiTheme="minorHAnsi"/>
          <w:bCs/>
        </w:rPr>
        <w:t xml:space="preserve">, </w:t>
      </w:r>
      <w:r w:rsidRPr="00F21896">
        <w:rPr>
          <w:rFonts w:asciiTheme="minorHAnsi" w:hAnsiTheme="minorHAnsi"/>
          <w:bCs/>
        </w:rPr>
        <w:fldChar w:fldCharType="begin"/>
      </w:r>
      <w:r w:rsidRPr="00F21896">
        <w:rPr>
          <w:rFonts w:asciiTheme="minorHAnsi" w:hAnsiTheme="minorHAnsi"/>
          <w:bCs/>
        </w:rPr>
        <w:instrText xml:space="preserve"> REF _Ref149159841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29</w:t>
      </w:r>
      <w:r w:rsidRPr="00F21896">
        <w:rPr>
          <w:rFonts w:asciiTheme="minorHAnsi" w:hAnsiTheme="minorHAnsi"/>
          <w:bCs/>
        </w:rPr>
        <w:fldChar w:fldCharType="end"/>
      </w:r>
      <w:r w:rsidRPr="00F21896">
        <w:rPr>
          <w:rFonts w:asciiTheme="minorHAnsi" w:hAnsiTheme="minorHAnsi"/>
          <w:bCs/>
        </w:rPr>
        <w:t xml:space="preserve"> S2). Each size fraction included ASVs from </w:t>
      </w:r>
      <w:r w:rsidRPr="00F21896">
        <w:rPr>
          <w:rFonts w:asciiTheme="minorHAnsi" w:hAnsiTheme="minorHAnsi"/>
          <w:bCs/>
          <w:i/>
          <w:iCs/>
        </w:rPr>
        <w:t xml:space="preserve">C. pacificus, E. pacifica, </w:t>
      </w:r>
      <w:r w:rsidRPr="00F21896">
        <w:rPr>
          <w:rFonts w:asciiTheme="minorHAnsi" w:hAnsiTheme="minorHAnsi"/>
          <w:bCs/>
        </w:rPr>
        <w:t xml:space="preserve">and </w:t>
      </w:r>
      <w:r w:rsidRPr="00F21896">
        <w:rPr>
          <w:rFonts w:asciiTheme="minorHAnsi" w:hAnsiTheme="minorHAnsi"/>
          <w:bCs/>
          <w:i/>
          <w:iCs/>
        </w:rPr>
        <w:t>R. cymbiformes</w:t>
      </w:r>
      <w:r w:rsidRPr="00F21896">
        <w:rPr>
          <w:rFonts w:asciiTheme="minorHAnsi" w:hAnsiTheme="minorHAnsi"/>
          <w:bCs/>
        </w:rPr>
        <w:t xml:space="preserve">, with </w:t>
      </w:r>
      <w:r w:rsidRPr="00F21896">
        <w:rPr>
          <w:rFonts w:asciiTheme="minorHAnsi" w:hAnsiTheme="minorHAnsi"/>
          <w:bCs/>
          <w:i/>
          <w:iCs/>
        </w:rPr>
        <w:t xml:space="preserve">Ct. vanus </w:t>
      </w:r>
      <w:r w:rsidRPr="00F21896">
        <w:rPr>
          <w:rFonts w:asciiTheme="minorHAnsi" w:hAnsiTheme="minorHAnsi"/>
          <w:bCs/>
        </w:rPr>
        <w:t>only in the two smaller sizes (</w:t>
      </w:r>
      <w:r w:rsidRPr="00F21896">
        <w:rPr>
          <w:rFonts w:asciiTheme="minorHAnsi" w:hAnsiTheme="minorHAnsi"/>
          <w:bCs/>
        </w:rPr>
        <w:fldChar w:fldCharType="begin"/>
      </w:r>
      <w:r w:rsidRPr="00F21896">
        <w:rPr>
          <w:rFonts w:asciiTheme="minorHAnsi" w:hAnsiTheme="minorHAnsi"/>
          <w:bCs/>
        </w:rPr>
        <w:instrText xml:space="preserve"> REF _Ref149164584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23</w:t>
      </w:r>
      <w:r w:rsidRPr="00F21896">
        <w:rPr>
          <w:rFonts w:asciiTheme="minorHAnsi" w:hAnsiTheme="minorHAnsi"/>
          <w:bCs/>
        </w:rPr>
        <w:fldChar w:fldCharType="end"/>
      </w:r>
      <w:r w:rsidRPr="00F21896">
        <w:rPr>
          <w:rFonts w:asciiTheme="minorHAnsi" w:hAnsiTheme="minorHAnsi"/>
          <w:bCs/>
        </w:rPr>
        <w:t xml:space="preserve">). </w:t>
      </w:r>
    </w:p>
    <w:p w14:paraId="20E65DEC" w14:textId="77777777" w:rsidR="00A5221C" w:rsidRPr="00F21896" w:rsidRDefault="00A5221C" w:rsidP="00A5221C">
      <w:pPr>
        <w:ind w:firstLine="720"/>
        <w:rPr>
          <w:rFonts w:asciiTheme="minorHAnsi" w:hAnsiTheme="minorHAnsi"/>
          <w:bCs/>
        </w:rPr>
      </w:pPr>
      <w:r w:rsidRPr="00F21896">
        <w:rPr>
          <w:rFonts w:asciiTheme="minorHAnsi" w:hAnsiTheme="minorHAnsi"/>
          <w:bCs/>
        </w:rPr>
        <w:t xml:space="preserve">Amplification efficiencies among sizes and species were variable. In the 0.2-0.5mm size fraction, </w:t>
      </w:r>
      <w:r w:rsidRPr="00F21896">
        <w:rPr>
          <w:rFonts w:asciiTheme="minorHAnsi" w:hAnsiTheme="minorHAnsi"/>
          <w:bCs/>
          <w:i/>
          <w:iCs/>
        </w:rPr>
        <w:t xml:space="preserve">C. pacificus </w:t>
      </w:r>
      <w:r w:rsidRPr="00F21896">
        <w:rPr>
          <w:rFonts w:asciiTheme="minorHAnsi" w:hAnsiTheme="minorHAnsi"/>
          <w:bCs/>
        </w:rPr>
        <w:t xml:space="preserve">and </w:t>
      </w:r>
      <w:r w:rsidRPr="00F21896">
        <w:rPr>
          <w:rFonts w:asciiTheme="minorHAnsi" w:hAnsiTheme="minorHAnsi"/>
          <w:bCs/>
          <w:i/>
          <w:iCs/>
        </w:rPr>
        <w:t xml:space="preserve">R. cymbiformes </w:t>
      </w:r>
      <w:r w:rsidRPr="00F21896">
        <w:rPr>
          <w:rFonts w:asciiTheme="minorHAnsi" w:hAnsiTheme="minorHAnsi"/>
          <w:bCs/>
        </w:rPr>
        <w:t xml:space="preserve">had negative amplification efficiencies, while </w:t>
      </w:r>
      <w:r w:rsidRPr="00F21896">
        <w:rPr>
          <w:rFonts w:asciiTheme="minorHAnsi" w:hAnsiTheme="minorHAnsi"/>
          <w:bCs/>
          <w:i/>
          <w:iCs/>
        </w:rPr>
        <w:t xml:space="preserve">Ct. vanus </w:t>
      </w:r>
      <w:r w:rsidRPr="00F21896">
        <w:rPr>
          <w:rFonts w:asciiTheme="minorHAnsi" w:hAnsiTheme="minorHAnsi"/>
          <w:bCs/>
        </w:rPr>
        <w:t xml:space="preserve">and </w:t>
      </w:r>
      <w:r w:rsidRPr="00F21896">
        <w:rPr>
          <w:rFonts w:asciiTheme="minorHAnsi" w:hAnsiTheme="minorHAnsi"/>
          <w:bCs/>
          <w:i/>
          <w:iCs/>
        </w:rPr>
        <w:t xml:space="preserve">E. pacifica </w:t>
      </w:r>
      <w:r w:rsidRPr="00F21896">
        <w:rPr>
          <w:rFonts w:asciiTheme="minorHAnsi" w:hAnsiTheme="minorHAnsi"/>
          <w:bCs/>
        </w:rPr>
        <w:t xml:space="preserve">showed positive efficiencies. In the 0.5-1 mm size fraction, </w:t>
      </w:r>
      <w:r w:rsidRPr="00F21896">
        <w:rPr>
          <w:rFonts w:asciiTheme="minorHAnsi" w:hAnsiTheme="minorHAnsi"/>
          <w:bCs/>
          <w:i/>
          <w:iCs/>
        </w:rPr>
        <w:t xml:space="preserve">R. cymbiformes and Ct. vanus </w:t>
      </w:r>
      <w:r w:rsidRPr="00F21896">
        <w:rPr>
          <w:rFonts w:asciiTheme="minorHAnsi" w:hAnsiTheme="minorHAnsi"/>
          <w:bCs/>
        </w:rPr>
        <w:t xml:space="preserve">had negative amplification efficiencies, </w:t>
      </w:r>
      <w:r w:rsidRPr="00F21896">
        <w:rPr>
          <w:rFonts w:asciiTheme="minorHAnsi" w:hAnsiTheme="minorHAnsi"/>
          <w:bCs/>
          <w:i/>
          <w:iCs/>
        </w:rPr>
        <w:t xml:space="preserve">E. pacifica </w:t>
      </w:r>
      <w:r w:rsidRPr="00F21896">
        <w:rPr>
          <w:rFonts w:asciiTheme="minorHAnsi" w:hAnsiTheme="minorHAnsi"/>
          <w:bCs/>
        </w:rPr>
        <w:t xml:space="preserve">had positive amplification efficiencies, and the multiple </w:t>
      </w:r>
      <w:r w:rsidRPr="00F21896">
        <w:rPr>
          <w:rFonts w:asciiTheme="minorHAnsi" w:hAnsiTheme="minorHAnsi"/>
          <w:bCs/>
          <w:i/>
          <w:iCs/>
        </w:rPr>
        <w:t xml:space="preserve">C. pacificus </w:t>
      </w:r>
      <w:r w:rsidRPr="00F21896">
        <w:rPr>
          <w:rFonts w:asciiTheme="minorHAnsi" w:hAnsiTheme="minorHAnsi"/>
          <w:bCs/>
        </w:rPr>
        <w:t xml:space="preserve">ASVs had mixed signs. Finally, in the 1-2 mm size class only </w:t>
      </w:r>
      <w:r w:rsidRPr="00F21896">
        <w:rPr>
          <w:rFonts w:asciiTheme="minorHAnsi" w:hAnsiTheme="minorHAnsi"/>
          <w:bCs/>
          <w:i/>
          <w:iCs/>
        </w:rPr>
        <w:t xml:space="preserve">E. pacifica </w:t>
      </w:r>
      <w:r w:rsidRPr="00F21896">
        <w:rPr>
          <w:rFonts w:asciiTheme="minorHAnsi" w:hAnsiTheme="minorHAnsi"/>
          <w:bCs/>
        </w:rPr>
        <w:t xml:space="preserve">had a positive amplification efficiency, whereas </w:t>
      </w:r>
      <w:r w:rsidRPr="00F21896">
        <w:rPr>
          <w:rFonts w:asciiTheme="minorHAnsi" w:hAnsiTheme="minorHAnsi"/>
          <w:bCs/>
          <w:i/>
          <w:iCs/>
        </w:rPr>
        <w:t xml:space="preserve">R. cymbiformes </w:t>
      </w:r>
      <w:r w:rsidRPr="00F21896">
        <w:rPr>
          <w:rFonts w:asciiTheme="minorHAnsi" w:hAnsiTheme="minorHAnsi"/>
          <w:bCs/>
        </w:rPr>
        <w:t xml:space="preserve">and </w:t>
      </w:r>
      <w:r w:rsidRPr="00F21896">
        <w:rPr>
          <w:rFonts w:asciiTheme="minorHAnsi" w:hAnsiTheme="minorHAnsi"/>
          <w:bCs/>
          <w:i/>
          <w:iCs/>
        </w:rPr>
        <w:t xml:space="preserve">C. pacificus </w:t>
      </w:r>
      <w:r w:rsidRPr="00F21896">
        <w:rPr>
          <w:rFonts w:asciiTheme="minorHAnsi" w:hAnsiTheme="minorHAnsi"/>
          <w:bCs/>
        </w:rPr>
        <w:t>were negative or near zero. Across all size classes, ‘Other’ had the largest and most positive amplification efficiency (</w:t>
      </w:r>
      <w:r w:rsidRPr="00F21896">
        <w:rPr>
          <w:rFonts w:asciiTheme="minorHAnsi" w:hAnsiTheme="minorHAnsi"/>
          <w:bCs/>
        </w:rPr>
        <w:fldChar w:fldCharType="begin"/>
      </w:r>
      <w:r w:rsidRPr="00F21896">
        <w:rPr>
          <w:rFonts w:asciiTheme="minorHAnsi" w:hAnsiTheme="minorHAnsi"/>
          <w:bCs/>
        </w:rPr>
        <w:instrText xml:space="preserve"> REF _Ref149164584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23</w:t>
      </w:r>
      <w:r w:rsidRPr="00F21896">
        <w:rPr>
          <w:rFonts w:asciiTheme="minorHAnsi" w:hAnsiTheme="minorHAnsi"/>
          <w:bCs/>
        </w:rPr>
        <w:fldChar w:fldCharType="end"/>
      </w:r>
      <w:r w:rsidRPr="00F21896">
        <w:rPr>
          <w:rFonts w:asciiTheme="minorHAnsi" w:hAnsiTheme="minorHAnsi"/>
          <w:bCs/>
        </w:rPr>
        <w:t xml:space="preserve">). The high amplification efficiency of the ‘Other’ category indicates that many of the abundant ASVs are overwhelmed by amplification of rarer ASVs competing for the number of reads. The consistently positive amplification efficiency of </w:t>
      </w:r>
      <w:r w:rsidRPr="00F21896">
        <w:rPr>
          <w:rFonts w:asciiTheme="minorHAnsi" w:hAnsiTheme="minorHAnsi"/>
          <w:bCs/>
          <w:i/>
          <w:iCs/>
        </w:rPr>
        <w:t xml:space="preserve">E. pacifica </w:t>
      </w:r>
      <w:r w:rsidRPr="00F21896">
        <w:rPr>
          <w:rFonts w:asciiTheme="minorHAnsi" w:hAnsiTheme="minorHAnsi"/>
          <w:bCs/>
        </w:rPr>
        <w:t xml:space="preserve">for the COI gene marker is notable, indicating this taxon is be overrepresented in reads in our metabarcoding data. Given the reported net-avoidance biases for euphausiids (Brinton </w:t>
      </w:r>
      <w:r w:rsidRPr="00F21896">
        <w:rPr>
          <w:rFonts w:asciiTheme="minorHAnsi" w:hAnsiTheme="minorHAnsi"/>
          <w:bCs/>
        </w:rPr>
        <w:lastRenderedPageBreak/>
        <w:t>1967), these results underscore the need to consider bias and error propagation along all steps of the metabarcoding pipeline.</w:t>
      </w:r>
    </w:p>
    <w:p w14:paraId="40ADFB1B" w14:textId="77777777" w:rsidR="00A5221C" w:rsidRPr="00F21896" w:rsidRDefault="00A5221C" w:rsidP="00A5221C">
      <w:pPr>
        <w:keepNext/>
        <w:rPr>
          <w:rFonts w:asciiTheme="minorHAnsi" w:hAnsiTheme="minorHAnsi"/>
        </w:rPr>
      </w:pPr>
      <w:r w:rsidRPr="00F21896">
        <w:rPr>
          <w:rFonts w:asciiTheme="minorHAnsi" w:hAnsiTheme="minorHAnsi"/>
          <w:bCs/>
          <w:noProof/>
        </w:rPr>
        <w:drawing>
          <wp:inline distT="0" distB="0" distL="0" distR="0" wp14:anchorId="4D8CD102" wp14:editId="2E3B1D28">
            <wp:extent cx="5810250" cy="4841875"/>
            <wp:effectExtent l="0" t="0" r="0" b="0"/>
            <wp:docPr id="868758033" name="Picture 868758033" descr="A graph with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58033" name="Picture 21" descr="A graph with blue lines&#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11833" cy="4843194"/>
                    </a:xfrm>
                    <a:prstGeom prst="rect">
                      <a:avLst/>
                    </a:prstGeom>
                  </pic:spPr>
                </pic:pic>
              </a:graphicData>
            </a:graphic>
          </wp:inline>
        </w:drawing>
      </w:r>
    </w:p>
    <w:p w14:paraId="6D870283" w14:textId="77777777" w:rsidR="00A5221C" w:rsidRPr="00F21896" w:rsidRDefault="00A5221C" w:rsidP="00A5221C">
      <w:pPr>
        <w:pStyle w:val="Caption"/>
        <w:rPr>
          <w:rFonts w:asciiTheme="minorHAnsi" w:hAnsiTheme="minorHAnsi"/>
          <w:bCs/>
        </w:rPr>
      </w:pPr>
      <w:bookmarkStart w:id="13" w:name="_Ref149164584"/>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23</w:t>
      </w:r>
      <w:r w:rsidRPr="00F21896">
        <w:rPr>
          <w:rFonts w:asciiTheme="minorHAnsi" w:hAnsiTheme="minorHAnsi"/>
          <w:noProof/>
        </w:rPr>
        <w:fldChar w:fldCharType="end"/>
      </w:r>
      <w:bookmarkEnd w:id="13"/>
      <w:r w:rsidRPr="00F21896">
        <w:rPr>
          <w:rFonts w:asciiTheme="minorHAnsi" w:hAnsiTheme="minorHAnsi"/>
        </w:rPr>
        <w:t>. Estimates of amplification efficiency in centered log-ratio values for COI taxa. Upper is 0.2-0.5 mm taxa, middle is 0.5-1 mm and lower is 1-2 mm taxa. Credible intervals are displayed based on color-scale on the right.</w:t>
      </w:r>
    </w:p>
    <w:p w14:paraId="6F785545" w14:textId="77777777" w:rsidR="00A5221C" w:rsidRPr="00F21896" w:rsidRDefault="00A5221C" w:rsidP="00A5221C">
      <w:pPr>
        <w:rPr>
          <w:rFonts w:asciiTheme="minorHAnsi" w:hAnsiTheme="minorHAnsi"/>
          <w:bCs/>
        </w:rPr>
      </w:pPr>
    </w:p>
    <w:p w14:paraId="766C37AB" w14:textId="77777777" w:rsidR="00A5221C" w:rsidRPr="00F21896" w:rsidRDefault="00A5221C" w:rsidP="00A5221C">
      <w:pPr>
        <w:ind w:firstLine="720"/>
        <w:rPr>
          <w:rFonts w:asciiTheme="minorHAnsi" w:hAnsiTheme="minorHAnsi"/>
          <w:bCs/>
        </w:rPr>
      </w:pPr>
      <w:r w:rsidRPr="00F21896">
        <w:rPr>
          <w:rFonts w:asciiTheme="minorHAnsi" w:hAnsiTheme="minorHAnsi"/>
          <w:bCs/>
        </w:rPr>
        <w:t xml:space="preserve">As of the writing of this proposal, the Zooscan dataset has not been completely classified, thus the focus will be only on the validated samples which comprise ~50% of the total image count of 145,572. </w:t>
      </w:r>
      <w:r w:rsidRPr="00F21896">
        <w:rPr>
          <w:rFonts w:asciiTheme="minorHAnsi" w:hAnsiTheme="minorHAnsi"/>
          <w:bCs/>
        </w:rPr>
        <w:fldChar w:fldCharType="begin"/>
      </w:r>
      <w:r w:rsidRPr="00F21896">
        <w:rPr>
          <w:rFonts w:asciiTheme="minorHAnsi" w:hAnsiTheme="minorHAnsi"/>
          <w:bCs/>
        </w:rPr>
        <w:instrText xml:space="preserve"> REF _Ref149142841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24</w:t>
      </w:r>
      <w:r w:rsidRPr="00F21896">
        <w:rPr>
          <w:rFonts w:asciiTheme="minorHAnsi" w:hAnsiTheme="minorHAnsi"/>
          <w:bCs/>
        </w:rPr>
        <w:fldChar w:fldCharType="end"/>
      </w:r>
      <w:r w:rsidRPr="00F21896">
        <w:rPr>
          <w:rFonts w:asciiTheme="minorHAnsi" w:hAnsiTheme="minorHAnsi"/>
          <w:bCs/>
        </w:rPr>
        <w:t xml:space="preserve"> shows the relative abundance (as a proportion of individuals m</w:t>
      </w:r>
      <w:r w:rsidRPr="00F21896">
        <w:rPr>
          <w:rFonts w:asciiTheme="minorHAnsi" w:hAnsiTheme="minorHAnsi"/>
          <w:bCs/>
          <w:vertAlign w:val="superscript"/>
        </w:rPr>
        <w:t>-3</w:t>
      </w:r>
      <w:r w:rsidRPr="00F21896">
        <w:rPr>
          <w:rFonts w:asciiTheme="minorHAnsi" w:hAnsiTheme="minorHAnsi"/>
          <w:bCs/>
        </w:rPr>
        <w:t xml:space="preserve"> for all ‘living’ images) of calanoid copepods for each station. Zooscan imaging shows the relative abundance of calanoids is highest along the coast at Cycle 2 and in the smaller two size fractions (70-75% total abundance). The relative abundances between the two smaller size fractions are similar, whereas the 1-2 mm size class declines offshore with a minimum of 0.5% of the total sample. </w:t>
      </w:r>
    </w:p>
    <w:p w14:paraId="30A081D9" w14:textId="77777777" w:rsidR="00A5221C" w:rsidRPr="00F21896" w:rsidRDefault="00A5221C" w:rsidP="00A5221C">
      <w:pPr>
        <w:ind w:firstLine="720"/>
        <w:rPr>
          <w:rFonts w:asciiTheme="minorHAnsi" w:hAnsiTheme="minorHAnsi"/>
          <w:bCs/>
        </w:rPr>
      </w:pPr>
      <w:r w:rsidRPr="00F21896">
        <w:rPr>
          <w:rFonts w:asciiTheme="minorHAnsi" w:hAnsiTheme="minorHAnsi"/>
          <w:bCs/>
        </w:rPr>
        <w:lastRenderedPageBreak/>
        <w:t xml:space="preserve">Based on the relative read abundance from calanoid copepod taxa amalgamated for 18S (see </w:t>
      </w:r>
      <w:r w:rsidRPr="00F21896">
        <w:rPr>
          <w:rFonts w:asciiTheme="minorHAnsi" w:hAnsiTheme="minorHAnsi"/>
          <w:bCs/>
        </w:rPr>
        <w:fldChar w:fldCharType="begin"/>
      </w:r>
      <w:r w:rsidRPr="00F21896">
        <w:rPr>
          <w:rFonts w:asciiTheme="minorHAnsi" w:hAnsiTheme="minorHAnsi"/>
          <w:bCs/>
        </w:rPr>
        <w:instrText xml:space="preserve"> REF _Ref149159841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29</w:t>
      </w:r>
      <w:r w:rsidRPr="00F21896">
        <w:rPr>
          <w:rFonts w:asciiTheme="minorHAnsi" w:hAnsiTheme="minorHAnsi"/>
          <w:bCs/>
        </w:rPr>
        <w:fldChar w:fldCharType="end"/>
      </w:r>
      <w:r w:rsidRPr="00F21896">
        <w:rPr>
          <w:rFonts w:asciiTheme="minorHAnsi" w:hAnsiTheme="minorHAnsi"/>
          <w:bCs/>
        </w:rPr>
        <w:t xml:space="preserve"> (S1) for taxon included), calanoid copepods occurred uniformly across the sampling region (</w:t>
      </w:r>
      <w:r w:rsidRPr="00F21896">
        <w:rPr>
          <w:rFonts w:asciiTheme="minorHAnsi" w:hAnsiTheme="minorHAnsi"/>
          <w:bCs/>
        </w:rPr>
        <w:fldChar w:fldCharType="begin"/>
      </w:r>
      <w:r w:rsidRPr="00F21896">
        <w:rPr>
          <w:rFonts w:asciiTheme="minorHAnsi" w:hAnsiTheme="minorHAnsi"/>
          <w:bCs/>
        </w:rPr>
        <w:instrText xml:space="preserve"> REF _Ref149142841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24</w:t>
      </w:r>
      <w:r w:rsidRPr="00F21896">
        <w:rPr>
          <w:rFonts w:asciiTheme="minorHAnsi" w:hAnsiTheme="minorHAnsi"/>
          <w:bCs/>
        </w:rPr>
        <w:fldChar w:fldCharType="end"/>
      </w:r>
      <w:r w:rsidRPr="00F21896">
        <w:rPr>
          <w:rFonts w:asciiTheme="minorHAnsi" w:hAnsiTheme="minorHAnsi"/>
          <w:bCs/>
        </w:rPr>
        <w:t>). While relative read-abundance shows greater dominance of calanoid copepods compared to Zooscan-based relative abundances, there is notable agreement between both methods in the decline in copepod abundance in the intermediate sampling sites for the cross-shore transect. Specifically, the 3</w:t>
      </w:r>
      <w:r w:rsidRPr="00F21896">
        <w:rPr>
          <w:rFonts w:asciiTheme="minorHAnsi" w:hAnsiTheme="minorHAnsi"/>
          <w:bCs/>
          <w:vertAlign w:val="superscript"/>
        </w:rPr>
        <w:t>rd</w:t>
      </w:r>
      <w:r w:rsidRPr="00F21896">
        <w:rPr>
          <w:rFonts w:asciiTheme="minorHAnsi" w:hAnsiTheme="minorHAnsi"/>
          <w:bCs/>
        </w:rPr>
        <w:t xml:space="preserve"> and 4</w:t>
      </w:r>
      <w:r w:rsidRPr="00F21896">
        <w:rPr>
          <w:rFonts w:asciiTheme="minorHAnsi" w:hAnsiTheme="minorHAnsi"/>
          <w:bCs/>
          <w:vertAlign w:val="superscript"/>
        </w:rPr>
        <w:t>th</w:t>
      </w:r>
      <w:r w:rsidRPr="00F21896">
        <w:rPr>
          <w:rFonts w:asciiTheme="minorHAnsi" w:hAnsiTheme="minorHAnsi"/>
          <w:bCs/>
        </w:rPr>
        <w:t xml:space="preserve"> most offshore transect points were characterized by strong minima in the largest size class of calanoid copepods (1-2 mm) (</w:t>
      </w:r>
      <w:r w:rsidRPr="00F21896">
        <w:rPr>
          <w:rFonts w:asciiTheme="minorHAnsi" w:hAnsiTheme="minorHAnsi"/>
          <w:bCs/>
        </w:rPr>
        <w:fldChar w:fldCharType="begin"/>
      </w:r>
      <w:r w:rsidRPr="00F21896">
        <w:rPr>
          <w:rFonts w:asciiTheme="minorHAnsi" w:hAnsiTheme="minorHAnsi"/>
          <w:bCs/>
        </w:rPr>
        <w:instrText xml:space="preserve"> REF _Ref149142841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24</w:t>
      </w:r>
      <w:r w:rsidRPr="00F21896">
        <w:rPr>
          <w:rFonts w:asciiTheme="minorHAnsi" w:hAnsiTheme="minorHAnsi"/>
          <w:bCs/>
        </w:rPr>
        <w:fldChar w:fldCharType="end"/>
      </w:r>
      <w:r w:rsidRPr="00F21896">
        <w:rPr>
          <w:rFonts w:asciiTheme="minorHAnsi" w:hAnsiTheme="minorHAnsi"/>
          <w:bCs/>
        </w:rPr>
        <w:t>). The PCR bias mitigated data shows differences compared to the relative abundances of the ASVs of calanoid copepods (</w:t>
      </w:r>
      <w:r w:rsidRPr="00F21896">
        <w:rPr>
          <w:rFonts w:asciiTheme="minorHAnsi" w:hAnsiTheme="minorHAnsi"/>
          <w:bCs/>
        </w:rPr>
        <w:fldChar w:fldCharType="begin"/>
      </w:r>
      <w:r w:rsidRPr="00F21896">
        <w:rPr>
          <w:rFonts w:asciiTheme="minorHAnsi" w:hAnsiTheme="minorHAnsi"/>
          <w:bCs/>
        </w:rPr>
        <w:instrText xml:space="preserve"> REF _Ref149142841 \h  \* MERGEFORMAT </w:instrText>
      </w:r>
      <w:r w:rsidRPr="00F21896">
        <w:rPr>
          <w:rFonts w:asciiTheme="minorHAnsi" w:hAnsiTheme="minorHAnsi"/>
          <w:bCs/>
        </w:rPr>
      </w:r>
      <w:r w:rsidRPr="00F21896">
        <w:rPr>
          <w:rFonts w:asciiTheme="minorHAnsi" w:hAnsiTheme="minorHAnsi"/>
          <w:bCs/>
        </w:rPr>
        <w:fldChar w:fldCharType="separate"/>
      </w:r>
      <w:r w:rsidRPr="00F21896">
        <w:rPr>
          <w:rFonts w:asciiTheme="minorHAnsi" w:hAnsiTheme="minorHAnsi"/>
        </w:rPr>
        <w:t xml:space="preserve">Figure </w:t>
      </w:r>
      <w:r w:rsidRPr="00F21896">
        <w:rPr>
          <w:rFonts w:asciiTheme="minorHAnsi" w:hAnsiTheme="minorHAnsi"/>
          <w:noProof/>
        </w:rPr>
        <w:t>24</w:t>
      </w:r>
      <w:r w:rsidRPr="00F21896">
        <w:rPr>
          <w:rFonts w:asciiTheme="minorHAnsi" w:hAnsiTheme="minorHAnsi"/>
          <w:bCs/>
        </w:rPr>
        <w:fldChar w:fldCharType="end"/>
      </w:r>
      <w:r w:rsidRPr="00F21896">
        <w:rPr>
          <w:rFonts w:asciiTheme="minorHAnsi" w:hAnsiTheme="minorHAnsi"/>
          <w:bCs/>
        </w:rPr>
        <w:t xml:space="preserve">). Future work will include an in-depth analysis of the drivers of these differences between the methods, and a parallel analysis for COI. </w:t>
      </w:r>
    </w:p>
    <w:p w14:paraId="18A23CDF" w14:textId="77777777" w:rsidR="00A5221C" w:rsidRPr="00F21896" w:rsidRDefault="00A5221C" w:rsidP="00A5221C">
      <w:pPr>
        <w:ind w:firstLine="720"/>
        <w:rPr>
          <w:rFonts w:asciiTheme="minorHAnsi" w:hAnsiTheme="minorHAnsi"/>
          <w:bCs/>
        </w:rPr>
      </w:pPr>
    </w:p>
    <w:p w14:paraId="23060517" w14:textId="77777777" w:rsidR="00A5221C" w:rsidRPr="00F21896" w:rsidRDefault="00A5221C" w:rsidP="00A5221C">
      <w:pPr>
        <w:rPr>
          <w:rFonts w:asciiTheme="minorHAnsi" w:hAnsiTheme="minorHAnsi"/>
          <w:bCs/>
          <w:noProof/>
        </w:rPr>
      </w:pPr>
      <w:r w:rsidRPr="00F21896">
        <w:rPr>
          <w:rFonts w:asciiTheme="minorHAnsi" w:hAnsiTheme="minorHAnsi"/>
          <w:bCs/>
          <w:noProof/>
        </w:rPr>
        <w:drawing>
          <wp:inline distT="0" distB="0" distL="0" distR="0" wp14:anchorId="2CDA62CC" wp14:editId="510CE8BA">
            <wp:extent cx="6408998" cy="2722419"/>
            <wp:effectExtent l="0" t="0" r="0" b="0"/>
            <wp:docPr id="740431667" name="Picture 74043166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1667" name="Picture 10" descr="A screenshot of a graph&#10;&#10;Description automatically generated"/>
                    <pic:cNvPicPr/>
                  </pic:nvPicPr>
                  <pic:blipFill rotWithShape="1">
                    <a:blip r:embed="rId23">
                      <a:extLst>
                        <a:ext uri="{28A0092B-C50C-407E-A947-70E740481C1C}">
                          <a14:useLocalDpi xmlns:a14="http://schemas.microsoft.com/office/drawing/2010/main" val="0"/>
                        </a:ext>
                      </a:extLst>
                    </a:blip>
                    <a:srcRect t="18526" b="17757"/>
                    <a:stretch/>
                  </pic:blipFill>
                  <pic:spPr bwMode="auto">
                    <a:xfrm>
                      <a:off x="0" y="0"/>
                      <a:ext cx="6419238" cy="2726769"/>
                    </a:xfrm>
                    <a:prstGeom prst="rect">
                      <a:avLst/>
                    </a:prstGeom>
                    <a:ln>
                      <a:noFill/>
                    </a:ln>
                    <a:extLst>
                      <a:ext uri="{53640926-AAD7-44D8-BBD7-CCE9431645EC}">
                        <a14:shadowObscured xmlns:a14="http://schemas.microsoft.com/office/drawing/2010/main"/>
                      </a:ext>
                    </a:extLst>
                  </pic:spPr>
                </pic:pic>
              </a:graphicData>
            </a:graphic>
          </wp:inline>
        </w:drawing>
      </w:r>
    </w:p>
    <w:p w14:paraId="38FE012C" w14:textId="77777777" w:rsidR="00A5221C" w:rsidRPr="00F21896" w:rsidRDefault="00A5221C" w:rsidP="00A5221C">
      <w:pPr>
        <w:rPr>
          <w:rFonts w:asciiTheme="minorHAnsi" w:hAnsiTheme="minorHAnsi"/>
          <w:bCs/>
          <w:noProof/>
        </w:rPr>
      </w:pPr>
    </w:p>
    <w:p w14:paraId="037FC935" w14:textId="77777777" w:rsidR="00A5221C" w:rsidRPr="00F21896" w:rsidRDefault="00A5221C" w:rsidP="00A5221C">
      <w:pPr>
        <w:rPr>
          <w:rFonts w:asciiTheme="minorHAnsi" w:hAnsiTheme="minorHAnsi"/>
          <w:bCs/>
          <w:noProof/>
        </w:rPr>
      </w:pPr>
      <w:r w:rsidRPr="00F21896">
        <w:rPr>
          <w:rFonts w:asciiTheme="minorHAnsi" w:hAnsiTheme="minorHAnsi"/>
          <w:bCs/>
          <w:noProof/>
        </w:rPr>
        <w:lastRenderedPageBreak/>
        <w:drawing>
          <wp:inline distT="0" distB="0" distL="0" distR="0" wp14:anchorId="7748FF62" wp14:editId="467A4E4F">
            <wp:extent cx="6521570" cy="2812472"/>
            <wp:effectExtent l="0" t="0" r="0" b="0"/>
            <wp:docPr id="508525216" name="Picture 508525216" descr="A group of images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5216" name="Picture 11" descr="A group of images of different colored circles&#10;&#10;Description automatically generated"/>
                    <pic:cNvPicPr/>
                  </pic:nvPicPr>
                  <pic:blipFill rotWithShape="1">
                    <a:blip r:embed="rId24">
                      <a:extLst>
                        <a:ext uri="{28A0092B-C50C-407E-A947-70E740481C1C}">
                          <a14:useLocalDpi xmlns:a14="http://schemas.microsoft.com/office/drawing/2010/main" val="0"/>
                        </a:ext>
                      </a:extLst>
                    </a:blip>
                    <a:srcRect t="17714" b="17597"/>
                    <a:stretch/>
                  </pic:blipFill>
                  <pic:spPr bwMode="auto">
                    <a:xfrm>
                      <a:off x="0" y="0"/>
                      <a:ext cx="6538236" cy="2819659"/>
                    </a:xfrm>
                    <a:prstGeom prst="rect">
                      <a:avLst/>
                    </a:prstGeom>
                    <a:ln>
                      <a:noFill/>
                    </a:ln>
                    <a:extLst>
                      <a:ext uri="{53640926-AAD7-44D8-BBD7-CCE9431645EC}">
                        <a14:shadowObscured xmlns:a14="http://schemas.microsoft.com/office/drawing/2010/main"/>
                      </a:ext>
                    </a:extLst>
                  </pic:spPr>
                </pic:pic>
              </a:graphicData>
            </a:graphic>
          </wp:inline>
        </w:drawing>
      </w:r>
    </w:p>
    <w:p w14:paraId="5856B006" w14:textId="77777777" w:rsidR="00A5221C" w:rsidRPr="00F21896" w:rsidRDefault="00A5221C" w:rsidP="00A5221C">
      <w:pPr>
        <w:rPr>
          <w:rFonts w:asciiTheme="minorHAnsi" w:hAnsiTheme="minorHAnsi"/>
          <w:bCs/>
        </w:rPr>
      </w:pPr>
      <w:r w:rsidRPr="00F21896">
        <w:rPr>
          <w:rFonts w:asciiTheme="minorHAnsi" w:hAnsiTheme="minorHAnsi"/>
          <w:bCs/>
          <w:noProof/>
        </w:rPr>
        <w:drawing>
          <wp:inline distT="0" distB="0" distL="0" distR="0" wp14:anchorId="5D1B0257" wp14:editId="7035B50B">
            <wp:extent cx="6625478" cy="2763982"/>
            <wp:effectExtent l="0" t="0" r="0" b="0"/>
            <wp:docPr id="1025539569" name="Picture 102553956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9569" name="Picture 7" descr="A screenshot of a graph&#10;&#10;Description automatically generated"/>
                    <pic:cNvPicPr/>
                  </pic:nvPicPr>
                  <pic:blipFill rotWithShape="1">
                    <a:blip r:embed="rId25">
                      <a:extLst>
                        <a:ext uri="{28A0092B-C50C-407E-A947-70E740481C1C}">
                          <a14:useLocalDpi xmlns:a14="http://schemas.microsoft.com/office/drawing/2010/main" val="0"/>
                        </a:ext>
                      </a:extLst>
                    </a:blip>
                    <a:srcRect t="19990" b="17434"/>
                    <a:stretch/>
                  </pic:blipFill>
                  <pic:spPr bwMode="auto">
                    <a:xfrm>
                      <a:off x="0" y="0"/>
                      <a:ext cx="6637135" cy="2768845"/>
                    </a:xfrm>
                    <a:prstGeom prst="rect">
                      <a:avLst/>
                    </a:prstGeom>
                    <a:ln>
                      <a:noFill/>
                    </a:ln>
                    <a:extLst>
                      <a:ext uri="{53640926-AAD7-44D8-BBD7-CCE9431645EC}">
                        <a14:shadowObscured xmlns:a14="http://schemas.microsoft.com/office/drawing/2010/main"/>
                      </a:ext>
                    </a:extLst>
                  </pic:spPr>
                </pic:pic>
              </a:graphicData>
            </a:graphic>
          </wp:inline>
        </w:drawing>
      </w:r>
    </w:p>
    <w:p w14:paraId="10ABB1BF" w14:textId="77777777" w:rsidR="00A5221C" w:rsidRPr="00F21896" w:rsidRDefault="00A5221C" w:rsidP="00A5221C">
      <w:pPr>
        <w:pStyle w:val="Caption"/>
        <w:rPr>
          <w:rFonts w:asciiTheme="minorHAnsi" w:hAnsiTheme="minorHAnsi"/>
        </w:rPr>
      </w:pPr>
      <w:bookmarkStart w:id="14" w:name="_Ref149142841"/>
      <w:r w:rsidRPr="00F21896">
        <w:rPr>
          <w:rFonts w:asciiTheme="minorHAnsi" w:hAnsiTheme="minorHAnsi"/>
        </w:rPr>
        <w:t xml:space="preserve">Figure </w:t>
      </w:r>
      <w:r w:rsidRPr="00F21896">
        <w:rPr>
          <w:rFonts w:asciiTheme="minorHAnsi" w:hAnsiTheme="minorHAnsi"/>
        </w:rPr>
        <w:fldChar w:fldCharType="begin"/>
      </w:r>
      <w:r w:rsidRPr="00F21896">
        <w:rPr>
          <w:rFonts w:asciiTheme="minorHAnsi" w:hAnsiTheme="minorHAnsi"/>
        </w:rPr>
        <w:instrText xml:space="preserve"> SEQ Figure \* ARABIC </w:instrText>
      </w:r>
      <w:r w:rsidRPr="00F21896">
        <w:rPr>
          <w:rFonts w:asciiTheme="minorHAnsi" w:hAnsiTheme="minorHAnsi"/>
        </w:rPr>
        <w:fldChar w:fldCharType="separate"/>
      </w:r>
      <w:r w:rsidRPr="00F21896">
        <w:rPr>
          <w:rFonts w:asciiTheme="minorHAnsi" w:hAnsiTheme="minorHAnsi"/>
          <w:noProof/>
        </w:rPr>
        <w:t>24</w:t>
      </w:r>
      <w:r w:rsidRPr="00F21896">
        <w:rPr>
          <w:rFonts w:asciiTheme="minorHAnsi" w:hAnsiTheme="minorHAnsi"/>
          <w:noProof/>
        </w:rPr>
        <w:fldChar w:fldCharType="end"/>
      </w:r>
      <w:bookmarkEnd w:id="14"/>
      <w:r w:rsidRPr="00F21896">
        <w:rPr>
          <w:rFonts w:asciiTheme="minorHAnsi" w:hAnsiTheme="minorHAnsi"/>
        </w:rPr>
        <w:t>. Distribution maps for calanoid copepods using relative read abundance (RRA) normalized to median counts, PCR-bias mitigated relative abundance (middle), and Zooscan pipeline (bottom). The Zooscan data include all calanoid taxa, whereas the relative read abundance PCR-bias mitigated data only includes those meeting the criteria outline in section 4.3.</w:t>
      </w:r>
    </w:p>
    <w:p w14:paraId="25CE9E84" w14:textId="3D701E08" w:rsidR="00A5221C" w:rsidRPr="00F21896" w:rsidRDefault="00A61B42" w:rsidP="00A5221C">
      <w:pPr>
        <w:pStyle w:val="Heading2"/>
        <w:rPr>
          <w:rFonts w:asciiTheme="minorHAnsi" w:hAnsiTheme="minorHAnsi"/>
        </w:rPr>
      </w:pPr>
      <w:bookmarkStart w:id="15" w:name="_Toc150372311"/>
      <w:r>
        <w:rPr>
          <w:rFonts w:asciiTheme="minorHAnsi" w:hAnsiTheme="minorHAnsi"/>
          <w:b/>
        </w:rPr>
        <w:t>Discussion</w:t>
      </w:r>
      <w:bookmarkEnd w:id="15"/>
      <w:r w:rsidR="00A5221C" w:rsidRPr="00F21896">
        <w:rPr>
          <w:rFonts w:asciiTheme="minorHAnsi" w:hAnsiTheme="minorHAnsi"/>
        </w:rPr>
        <w:t xml:space="preserve"> </w:t>
      </w:r>
    </w:p>
    <w:p w14:paraId="02A3F54A" w14:textId="77777777" w:rsidR="00A5221C" w:rsidRPr="00F21896" w:rsidRDefault="00A5221C" w:rsidP="00A5221C">
      <w:pPr>
        <w:rPr>
          <w:rFonts w:asciiTheme="minorHAnsi" w:hAnsiTheme="minorHAnsi"/>
        </w:rPr>
      </w:pPr>
      <w:r w:rsidRPr="00F21896">
        <w:rPr>
          <w:rFonts w:asciiTheme="minorHAnsi" w:hAnsiTheme="minorHAnsi"/>
        </w:rPr>
        <w:tab/>
        <w:t xml:space="preserve">As molecular methods become more widely adopted, it is important to not only compare results of modern diversity surveys with morphological assessments on replicates but also to place them in the context of historical distributions. </w:t>
      </w:r>
      <w:r w:rsidRPr="00F21896">
        <w:rPr>
          <w:rFonts w:asciiTheme="minorHAnsi" w:hAnsiTheme="minorHAnsi"/>
        </w:rPr>
        <w:fldChar w:fldCharType="begin"/>
      </w:r>
      <w:r w:rsidRPr="00F21896">
        <w:rPr>
          <w:rFonts w:asciiTheme="minorHAnsi" w:hAnsiTheme="minorHAnsi"/>
        </w:rPr>
        <w:instrText xml:space="preserve"> ADDIN ZOTERO_ITEM CSL_CITATION {"citationID":"p4moQMwx","properties":{"formattedCitation":"(Pitz {\\i{}et al.}, 2020)","plainCitation":"(Pitz et al., 2020)","noteIndex":0},"citationItems":[{"id":669,"uris":["http://zotero.org/groups/5151425/items/FFMJYU3D"],"itemData":{"id":669,"type":"article-journal","abstract":"Within the southern California Current ecosystem there are two well-documented breaks in marine community structure at Point Conception and Punta Eugenia. We explored the presence of similar breaks in a diverse zooplankton community through metabarcoding of mixed net tow tissue samples collected during an expedition from Monterey to Baja California in February of 2012. We recovered a high diversity of species as well as patterns of species presence that align with their previously documented ranges in this region. We found a clear break at Punta Eugenia in overall zooplankton community structure, while Point Conception was weakly linked to changes in community structure. We analyzed this dataset through two parallel bioinformatic pipelines to examine the robustness of these results. Our overall conclusions were consistent across both pipelines, however there were differences in species detection. This study illustrates the utility of metabarcoding analysis on mixed tissue samples for recovering known patterns of diversity, as well as allowing elucidation of broad patterns of community differentiation across many groups of organisms.","container-title":"PLOS ONE","DOI":"10.1371/journal.pone.0235159","ISSN":"1932-6203","issue":"6","journalAbbreviation":"PLOS ONE","language":"en","note":"publisher: Public Library of Science","page":"e0235159","source":"PLoS Journals","title":"Zooplankton biogeographic boundaries in the California Current System as determined from metabarcoding","volume":"15","author":[{"family":"Pitz","given":"Kathleen J."},{"family":"Guo","given":"Jinchen"},{"family":"Johnson","given":"Shannon B."},{"family":"Campbell","given":"Tracy L."},{"family":"Zhang","given":"Haibin"},{"family":"Vrijenhoek","given":"Robert C."},{"family":"Chavez","given":"Francisco P."},{"family":"Geller","given":"Jonathan"}],"issued":{"date-parts":[["2020",6,25]]}}}],"schema":"https://github.com/citation-style-language/schema/raw/master/csl-citation.json"} </w:instrText>
      </w:r>
      <w:r w:rsidRPr="00F21896">
        <w:rPr>
          <w:rFonts w:asciiTheme="minorHAnsi" w:hAnsiTheme="minorHAnsi"/>
        </w:rPr>
        <w:fldChar w:fldCharType="separate"/>
      </w:r>
      <w:r w:rsidRPr="00F21896">
        <w:rPr>
          <w:rFonts w:asciiTheme="minorHAnsi" w:hAnsiTheme="minorHAnsi"/>
          <w:szCs w:val="24"/>
        </w:rPr>
        <w:t xml:space="preserve">(Pitz </w:t>
      </w:r>
      <w:r w:rsidRPr="00F21896">
        <w:rPr>
          <w:rFonts w:asciiTheme="minorHAnsi" w:hAnsiTheme="minorHAnsi"/>
          <w:i/>
          <w:iCs/>
          <w:szCs w:val="24"/>
        </w:rPr>
        <w:t>et al.</w:t>
      </w:r>
      <w:r w:rsidRPr="00F21896">
        <w:rPr>
          <w:rFonts w:asciiTheme="minorHAnsi" w:hAnsiTheme="minorHAnsi"/>
          <w:szCs w:val="24"/>
        </w:rPr>
        <w:t>, 2020)</w:t>
      </w:r>
      <w:r w:rsidRPr="00F21896">
        <w:rPr>
          <w:rFonts w:asciiTheme="minorHAnsi" w:hAnsiTheme="minorHAnsi"/>
        </w:rPr>
        <w:fldChar w:fldCharType="end"/>
      </w:r>
      <w:r w:rsidRPr="00F21896">
        <w:rPr>
          <w:rFonts w:asciiTheme="minorHAnsi" w:hAnsiTheme="minorHAnsi"/>
        </w:rPr>
        <w:t xml:space="preserve"> began this process by comparing alongshore DNA metabarcoding-identified species distributions with copepod and euphausiid taxa documented and enumerated by the CalCOFI program. Determining </w:t>
      </w:r>
      <w:r w:rsidRPr="00F21896">
        <w:rPr>
          <w:rFonts w:asciiTheme="minorHAnsi" w:hAnsiTheme="minorHAnsi"/>
        </w:rPr>
        <w:lastRenderedPageBreak/>
        <w:t xml:space="preserve">whether historically documented taxa are detected by metabarcoding further aids in constraining innate biases in this method and illustrates how these independent assessments may be complementary. I will examine distributions of selected taxa detected in our dataset (those that met the </w:t>
      </w:r>
      <w:r w:rsidRPr="00F21896">
        <w:rPr>
          <w:rFonts w:asciiTheme="minorHAnsi" w:hAnsiTheme="minorHAnsi"/>
          <w:i/>
          <w:iCs/>
        </w:rPr>
        <w:t xml:space="preserve">fido </w:t>
      </w:r>
      <w:r w:rsidRPr="00F21896">
        <w:rPr>
          <w:rFonts w:asciiTheme="minorHAnsi" w:hAnsiTheme="minorHAnsi"/>
        </w:rPr>
        <w:t xml:space="preserve">filtering criteria) and compare them with distributions and occurrences presented in the CalCOFI atlas and other literature sources. Finally, I will determine the environmental habitat and biogeographic ranges of the most consistently detected species within the dataset. These results will aid the interpretation of current and future programs that incorporate DNA metabarcoding as a monitoring tool to determine biological responses to environmental perturbations. </w:t>
      </w:r>
    </w:p>
    <w:p w14:paraId="493073F6" w14:textId="77777777" w:rsidR="00C34297" w:rsidRDefault="00C34297"/>
    <w:p w14:paraId="6902E906" w14:textId="77777777" w:rsidR="00A61B42" w:rsidRDefault="00A61B42"/>
    <w:p w14:paraId="7F0EBAF7" w14:textId="6E6D3B67" w:rsidR="00A61B42" w:rsidRDefault="00A61B42" w:rsidP="00A61B42">
      <w:pPr>
        <w:pStyle w:val="Heading2"/>
      </w:pPr>
      <w:r>
        <w:t xml:space="preserve">Acknowledgements </w:t>
      </w:r>
    </w:p>
    <w:p w14:paraId="121A5F10" w14:textId="7F76790C" w:rsidR="00A61B42" w:rsidRDefault="00A61B42" w:rsidP="00A61B42">
      <w:pPr>
        <w:pStyle w:val="Heading2"/>
      </w:pPr>
      <w:r>
        <w:t>References</w:t>
      </w:r>
    </w:p>
    <w:p w14:paraId="05EAEB8C" w14:textId="72AFBFFB" w:rsidR="00D22AD9" w:rsidRDefault="00D22AD9" w:rsidP="00D22AD9">
      <w:pPr>
        <w:pStyle w:val="Heading2"/>
      </w:pPr>
      <w:r>
        <w:t>Supplemental</w:t>
      </w:r>
    </w:p>
    <w:p w14:paraId="088EF6C0" w14:textId="77777777" w:rsidR="000B20DD" w:rsidRDefault="000B20DD" w:rsidP="000B20DD"/>
    <w:p w14:paraId="72077A90" w14:textId="3310ECDE" w:rsidR="000B20DD" w:rsidRDefault="000B20DD" w:rsidP="000B20DD">
      <w:pPr>
        <w:pStyle w:val="Heading2"/>
      </w:pPr>
      <w:r>
        <w:t>Working Outline</w:t>
      </w:r>
    </w:p>
    <w:p w14:paraId="7B52FC2D" w14:textId="77777777" w:rsidR="000B20DD" w:rsidRDefault="000B20DD" w:rsidP="000B20DD"/>
    <w:p w14:paraId="7C9EAA6A" w14:textId="6ECA5F25" w:rsidR="000B20DD" w:rsidRDefault="00A62DFB" w:rsidP="00A62DFB">
      <w:pPr>
        <w:pStyle w:val="ListParagraph"/>
        <w:numPr>
          <w:ilvl w:val="0"/>
          <w:numId w:val="4"/>
        </w:numPr>
      </w:pPr>
      <w:r>
        <w:t>Characterize physical, chemical and biological environment</w:t>
      </w:r>
    </w:p>
    <w:p w14:paraId="777D4268" w14:textId="26318FA7" w:rsidR="00A62DFB" w:rsidRDefault="00A62DFB" w:rsidP="00A62DFB">
      <w:pPr>
        <w:pStyle w:val="ListParagraph"/>
        <w:numPr>
          <w:ilvl w:val="1"/>
          <w:numId w:val="4"/>
        </w:numPr>
      </w:pPr>
      <w:r>
        <w:t>Correlations+basic EDA</w:t>
      </w:r>
    </w:p>
    <w:p w14:paraId="5923B07A" w14:textId="0C90214F" w:rsidR="00A62DFB" w:rsidRDefault="00A62DFB" w:rsidP="00A62DFB">
      <w:pPr>
        <w:pStyle w:val="ListParagraph"/>
        <w:numPr>
          <w:ilvl w:val="1"/>
          <w:numId w:val="4"/>
        </w:numPr>
      </w:pPr>
      <w:r>
        <w:t>PCA, clustering</w:t>
      </w:r>
    </w:p>
    <w:p w14:paraId="7D56ABA0" w14:textId="43DE9442" w:rsidR="00A62DFB" w:rsidRDefault="00A62DFB" w:rsidP="00A62DFB">
      <w:pPr>
        <w:pStyle w:val="ListParagraph"/>
        <w:numPr>
          <w:ilvl w:val="0"/>
          <w:numId w:val="4"/>
        </w:numPr>
      </w:pPr>
      <w:r>
        <w:t>Diversity across environment</w:t>
      </w:r>
    </w:p>
    <w:p w14:paraId="46FFADC3" w14:textId="01997310" w:rsidR="002F5A6C" w:rsidRDefault="002F5A6C" w:rsidP="002F5A6C">
      <w:pPr>
        <w:pStyle w:val="ListParagraph"/>
        <w:numPr>
          <w:ilvl w:val="1"/>
          <w:numId w:val="4"/>
        </w:numPr>
      </w:pPr>
      <w:r>
        <w:t>Remake PC1 vs. shannon for sizes</w:t>
      </w:r>
    </w:p>
    <w:p w14:paraId="5C8E5492" w14:textId="0127C94F" w:rsidR="00A62DFB" w:rsidRDefault="00A62DFB" w:rsidP="00A62DFB">
      <w:pPr>
        <w:pStyle w:val="ListParagraph"/>
        <w:numPr>
          <w:ilvl w:val="0"/>
          <w:numId w:val="4"/>
        </w:numPr>
      </w:pPr>
      <w:r>
        <w:t>Relationships between taxa and environment</w:t>
      </w:r>
    </w:p>
    <w:p w14:paraId="54EA9492" w14:textId="03801CA0" w:rsidR="00A62DFB" w:rsidRDefault="00A62DFB" w:rsidP="00A62DFB">
      <w:pPr>
        <w:pStyle w:val="ListParagraph"/>
        <w:numPr>
          <w:ilvl w:val="1"/>
          <w:numId w:val="4"/>
        </w:numPr>
      </w:pPr>
      <w:r>
        <w:t>DESEQ2, fido</w:t>
      </w:r>
    </w:p>
    <w:p w14:paraId="22BCCB3B" w14:textId="22A6BD54" w:rsidR="00A62DFB" w:rsidRDefault="002F5A6C" w:rsidP="002F5A6C">
      <w:pPr>
        <w:pStyle w:val="ListParagraph"/>
        <w:numPr>
          <w:ilvl w:val="0"/>
          <w:numId w:val="4"/>
        </w:numPr>
      </w:pPr>
      <w:r>
        <w:t>Biomass estimates for PCR-bias mitigated taxa</w:t>
      </w:r>
    </w:p>
    <w:p w14:paraId="091B6460" w14:textId="37A4E86B" w:rsidR="002F5A6C" w:rsidRDefault="002F5A6C" w:rsidP="002F5A6C">
      <w:pPr>
        <w:pStyle w:val="ListParagraph"/>
        <w:numPr>
          <w:ilvl w:val="1"/>
          <w:numId w:val="4"/>
        </w:numPr>
      </w:pPr>
      <w:r>
        <w:t>Pool by size</w:t>
      </w:r>
    </w:p>
    <w:p w14:paraId="563B2D18" w14:textId="710A5978" w:rsidR="00A62DFB" w:rsidRDefault="00A62DFB" w:rsidP="00A62DFB">
      <w:pPr>
        <w:pStyle w:val="ListParagraph"/>
        <w:numPr>
          <w:ilvl w:val="0"/>
          <w:numId w:val="4"/>
        </w:numPr>
      </w:pPr>
      <w:r>
        <w:t>Methods comparison for calanoid copepods</w:t>
      </w:r>
    </w:p>
    <w:p w14:paraId="4CCCB37B" w14:textId="14E46B44" w:rsidR="00E562E4" w:rsidRDefault="00E562E4" w:rsidP="00E562E4">
      <w:pPr>
        <w:pStyle w:val="ListParagraph"/>
        <w:numPr>
          <w:ilvl w:val="1"/>
          <w:numId w:val="4"/>
        </w:numPr>
      </w:pPr>
      <w:r>
        <w:t xml:space="preserve">Zooscan data </w:t>
      </w:r>
    </w:p>
    <w:p w14:paraId="380C47F4" w14:textId="77777777" w:rsidR="00E562E4" w:rsidRDefault="00E562E4" w:rsidP="00E562E4">
      <w:pPr>
        <w:pStyle w:val="ListParagraph"/>
        <w:numPr>
          <w:ilvl w:val="1"/>
          <w:numId w:val="4"/>
        </w:numPr>
      </w:pPr>
    </w:p>
    <w:p w14:paraId="58784B64" w14:textId="77777777" w:rsidR="00A62DFB" w:rsidRPr="000B20DD" w:rsidRDefault="00A62DFB" w:rsidP="00A62DFB">
      <w:pPr>
        <w:pStyle w:val="ListParagraph"/>
        <w:numPr>
          <w:ilvl w:val="0"/>
          <w:numId w:val="4"/>
        </w:numPr>
      </w:pPr>
    </w:p>
    <w:sectPr w:rsidR="00A62DFB" w:rsidRPr="000B2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30AA"/>
    <w:multiLevelType w:val="hybridMultilevel"/>
    <w:tmpl w:val="7D34D26C"/>
    <w:lvl w:ilvl="0" w:tplc="5A0631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5387F"/>
    <w:multiLevelType w:val="multilevel"/>
    <w:tmpl w:val="3B92B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74D8F"/>
    <w:multiLevelType w:val="multilevel"/>
    <w:tmpl w:val="3CF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1171B"/>
    <w:multiLevelType w:val="hybridMultilevel"/>
    <w:tmpl w:val="BFE2D33C"/>
    <w:lvl w:ilvl="0" w:tplc="9F60C72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750430">
    <w:abstractNumId w:val="1"/>
  </w:num>
  <w:num w:numId="2" w16cid:durableId="1375427205">
    <w:abstractNumId w:val="2"/>
  </w:num>
  <w:num w:numId="3" w16cid:durableId="1983342513">
    <w:abstractNumId w:val="0"/>
  </w:num>
  <w:num w:numId="4" w16cid:durableId="14640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3FF4"/>
    <w:rsid w:val="00054ADC"/>
    <w:rsid w:val="000701F0"/>
    <w:rsid w:val="00075788"/>
    <w:rsid w:val="000835E7"/>
    <w:rsid w:val="000B20DD"/>
    <w:rsid w:val="000C2D07"/>
    <w:rsid w:val="000D0E29"/>
    <w:rsid w:val="000D70B5"/>
    <w:rsid w:val="000F042E"/>
    <w:rsid w:val="000F089C"/>
    <w:rsid w:val="000F2BB0"/>
    <w:rsid w:val="00101430"/>
    <w:rsid w:val="00146489"/>
    <w:rsid w:val="001563C0"/>
    <w:rsid w:val="001B6C4C"/>
    <w:rsid w:val="001E1005"/>
    <w:rsid w:val="001E31E0"/>
    <w:rsid w:val="001F3DDE"/>
    <w:rsid w:val="0023154E"/>
    <w:rsid w:val="00232776"/>
    <w:rsid w:val="00236745"/>
    <w:rsid w:val="002405E1"/>
    <w:rsid w:val="00290FD2"/>
    <w:rsid w:val="002B0FE3"/>
    <w:rsid w:val="002C4C69"/>
    <w:rsid w:val="002F0698"/>
    <w:rsid w:val="002F4A05"/>
    <w:rsid w:val="002F5A6C"/>
    <w:rsid w:val="003140DE"/>
    <w:rsid w:val="00345323"/>
    <w:rsid w:val="003610B3"/>
    <w:rsid w:val="0038524D"/>
    <w:rsid w:val="003B774D"/>
    <w:rsid w:val="004001BB"/>
    <w:rsid w:val="00412DB4"/>
    <w:rsid w:val="00414CEE"/>
    <w:rsid w:val="00434112"/>
    <w:rsid w:val="00447C19"/>
    <w:rsid w:val="004505F6"/>
    <w:rsid w:val="004624A5"/>
    <w:rsid w:val="00497D44"/>
    <w:rsid w:val="004A1927"/>
    <w:rsid w:val="00530B5C"/>
    <w:rsid w:val="0053671A"/>
    <w:rsid w:val="00557DB7"/>
    <w:rsid w:val="00575FB0"/>
    <w:rsid w:val="005819F1"/>
    <w:rsid w:val="005B7CF6"/>
    <w:rsid w:val="005C010E"/>
    <w:rsid w:val="005C2CBA"/>
    <w:rsid w:val="005F2A32"/>
    <w:rsid w:val="005F711A"/>
    <w:rsid w:val="00604BAD"/>
    <w:rsid w:val="00611795"/>
    <w:rsid w:val="00612B41"/>
    <w:rsid w:val="00635333"/>
    <w:rsid w:val="006758D6"/>
    <w:rsid w:val="006A34C0"/>
    <w:rsid w:val="006F668F"/>
    <w:rsid w:val="006F7552"/>
    <w:rsid w:val="00723856"/>
    <w:rsid w:val="00742570"/>
    <w:rsid w:val="00786507"/>
    <w:rsid w:val="007869B8"/>
    <w:rsid w:val="007B12F8"/>
    <w:rsid w:val="00852FE0"/>
    <w:rsid w:val="008541E2"/>
    <w:rsid w:val="00897692"/>
    <w:rsid w:val="008B0E10"/>
    <w:rsid w:val="008C1338"/>
    <w:rsid w:val="008C6CBD"/>
    <w:rsid w:val="008F52D6"/>
    <w:rsid w:val="0090644E"/>
    <w:rsid w:val="00921ADA"/>
    <w:rsid w:val="00927835"/>
    <w:rsid w:val="00993F16"/>
    <w:rsid w:val="009A0C49"/>
    <w:rsid w:val="009A7650"/>
    <w:rsid w:val="009E0DC1"/>
    <w:rsid w:val="009F2E8A"/>
    <w:rsid w:val="00A447A6"/>
    <w:rsid w:val="00A5221C"/>
    <w:rsid w:val="00A55263"/>
    <w:rsid w:val="00A61B42"/>
    <w:rsid w:val="00A62DFB"/>
    <w:rsid w:val="00A948F3"/>
    <w:rsid w:val="00AC3C13"/>
    <w:rsid w:val="00B20AD1"/>
    <w:rsid w:val="00B46008"/>
    <w:rsid w:val="00B53C20"/>
    <w:rsid w:val="00B72C14"/>
    <w:rsid w:val="00B846C8"/>
    <w:rsid w:val="00BB714F"/>
    <w:rsid w:val="00BD2A04"/>
    <w:rsid w:val="00BF3FF4"/>
    <w:rsid w:val="00C036C7"/>
    <w:rsid w:val="00C22D4A"/>
    <w:rsid w:val="00C24BAE"/>
    <w:rsid w:val="00C34297"/>
    <w:rsid w:val="00C41822"/>
    <w:rsid w:val="00C6645D"/>
    <w:rsid w:val="00C955AF"/>
    <w:rsid w:val="00C97F0A"/>
    <w:rsid w:val="00D00E1B"/>
    <w:rsid w:val="00D01C1D"/>
    <w:rsid w:val="00D22AD9"/>
    <w:rsid w:val="00D315E4"/>
    <w:rsid w:val="00D62F3A"/>
    <w:rsid w:val="00D76155"/>
    <w:rsid w:val="00D951B6"/>
    <w:rsid w:val="00DA13CD"/>
    <w:rsid w:val="00DA30EC"/>
    <w:rsid w:val="00DA7DF7"/>
    <w:rsid w:val="00DB3A00"/>
    <w:rsid w:val="00DC59FD"/>
    <w:rsid w:val="00DF0F8E"/>
    <w:rsid w:val="00DF7688"/>
    <w:rsid w:val="00E030B4"/>
    <w:rsid w:val="00E562E4"/>
    <w:rsid w:val="00E8489A"/>
    <w:rsid w:val="00EB351B"/>
    <w:rsid w:val="00EC3AE2"/>
    <w:rsid w:val="00EF399F"/>
    <w:rsid w:val="00EF6D52"/>
    <w:rsid w:val="00F023B8"/>
    <w:rsid w:val="00F32A62"/>
    <w:rsid w:val="00F32E57"/>
    <w:rsid w:val="00F34946"/>
    <w:rsid w:val="00F35C35"/>
    <w:rsid w:val="00F82B4D"/>
    <w:rsid w:val="00FA2061"/>
    <w:rsid w:val="00FF0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2162"/>
  <w15:docId w15:val="{E2063F9E-6047-4E28-BFC1-C3BF04FBA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21C"/>
    <w:pPr>
      <w:spacing w:after="0" w:line="276" w:lineRule="auto"/>
    </w:pPr>
    <w:rPr>
      <w:rFonts w:ascii="Arial" w:eastAsia="Arial" w:hAnsi="Arial" w:cs="Arial"/>
      <w:kern w:val="0"/>
      <w:sz w:val="24"/>
      <w:lang w:val="en"/>
      <w14:ligatures w14:val="none"/>
    </w:rPr>
  </w:style>
  <w:style w:type="paragraph" w:styleId="Heading1">
    <w:name w:val="heading 1"/>
    <w:basedOn w:val="Normal"/>
    <w:next w:val="Normal"/>
    <w:link w:val="Heading1Char"/>
    <w:uiPriority w:val="9"/>
    <w:qFormat/>
    <w:rsid w:val="00A5221C"/>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A5221C"/>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21C"/>
    <w:rPr>
      <w:rFonts w:ascii="Arial" w:eastAsia="Arial" w:hAnsi="Arial" w:cs="Arial"/>
      <w:kern w:val="0"/>
      <w:sz w:val="40"/>
      <w:szCs w:val="40"/>
      <w:lang w:val="en"/>
      <w14:ligatures w14:val="none"/>
    </w:rPr>
  </w:style>
  <w:style w:type="character" w:customStyle="1" w:styleId="Heading2Char">
    <w:name w:val="Heading 2 Char"/>
    <w:basedOn w:val="DefaultParagraphFont"/>
    <w:link w:val="Heading2"/>
    <w:uiPriority w:val="9"/>
    <w:rsid w:val="00A5221C"/>
    <w:rPr>
      <w:rFonts w:ascii="Arial" w:eastAsia="Arial" w:hAnsi="Arial" w:cs="Arial"/>
      <w:kern w:val="0"/>
      <w:sz w:val="32"/>
      <w:szCs w:val="32"/>
      <w:lang w:val="en"/>
      <w14:ligatures w14:val="none"/>
    </w:rPr>
  </w:style>
  <w:style w:type="paragraph" w:styleId="ListParagraph">
    <w:name w:val="List Paragraph"/>
    <w:basedOn w:val="Normal"/>
    <w:uiPriority w:val="34"/>
    <w:qFormat/>
    <w:rsid w:val="00A5221C"/>
    <w:pPr>
      <w:ind w:left="720"/>
      <w:contextualSpacing/>
    </w:pPr>
  </w:style>
  <w:style w:type="paragraph" w:styleId="Caption">
    <w:name w:val="caption"/>
    <w:basedOn w:val="Normal"/>
    <w:next w:val="Normal"/>
    <w:autoRedefine/>
    <w:uiPriority w:val="35"/>
    <w:unhideWhenUsed/>
    <w:qFormat/>
    <w:rsid w:val="00A5221C"/>
    <w:pPr>
      <w:spacing w:after="200" w:line="240" w:lineRule="auto"/>
    </w:pPr>
    <w:rPr>
      <w:i/>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867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E103B-03C0-45C4-8E62-A6DDB74AA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22953</TotalTime>
  <Pages>25</Pages>
  <Words>16580</Words>
  <Characters>94509</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Capone</dc:creator>
  <cp:keywords/>
  <dc:description/>
  <cp:lastModifiedBy>Dante Capone</cp:lastModifiedBy>
  <cp:revision>1</cp:revision>
  <dcterms:created xsi:type="dcterms:W3CDTF">2023-12-12T21:34:00Z</dcterms:created>
  <dcterms:modified xsi:type="dcterms:W3CDTF">2024-01-18T23:34:00Z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id="VtG8nL6i"/&gt;&lt;style id="" hasBibliography="0" bibliographyStyleHasBeenSet="0"/&gt;&lt;prefs/&gt;&lt;/data&gt;</vt:lpwstr>
  </property>
</Properties>
</file>