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pPr>
      <w:r>
        <w:rPr>
          <w:rFonts w:ascii="Calibri" w:hAnsi="Calibri"/>
          <w:b/>
          <w:color w:val="243447"/>
          <w:sz w:val="50"/>
        </w:rPr>
        <w:t>Website upgrade - implementation slices</w:t>
      </w:r>
    </w:p>
    <w:p>
      <w:pPr>
        <w:spacing w:after="280"/>
      </w:pPr>
      <w:r>
        <w:rPr>
          <w:rFonts w:ascii="Calibri" w:hAnsi="Calibri"/>
          <w:color w:val="5E6B78"/>
          <w:sz w:val="26"/>
        </w:rPr>
        <w:t>A bounded, sequential handoff for Sol</w:t>
      </w:r>
    </w:p>
    <w:p>
      <w:pPr>
        <w:spacing w:after="40"/>
      </w:pPr>
      <w:r>
        <w:rPr>
          <w:rFonts w:ascii="Calibri" w:hAnsi="Calibri"/>
          <w:b/>
          <w:color w:val="1F4D78"/>
          <w:sz w:val="21"/>
        </w:rPr>
        <w:t xml:space="preserve">Project: </w:t>
      </w:r>
      <w:r>
        <w:rPr>
          <w:rFonts w:ascii="Calibri" w:hAnsi="Calibri"/>
          <w:sz w:val="21"/>
        </w:rPr>
        <w:t>DantesRoleplay web experience</w:t>
      </w:r>
    </w:p>
    <w:p>
      <w:pPr>
        <w:spacing w:after="40"/>
      </w:pPr>
      <w:r>
        <w:rPr>
          <w:rFonts w:ascii="Calibri" w:hAnsi="Calibri"/>
          <w:b/>
          <w:color w:val="1F4D78"/>
          <w:sz w:val="21"/>
        </w:rPr>
        <w:t xml:space="preserve">Prepared for: </w:t>
      </w:r>
      <w:r>
        <w:rPr>
          <w:rFonts w:ascii="Calibri" w:hAnsi="Calibri"/>
          <w:sz w:val="21"/>
        </w:rPr>
        <w:t>Sol</w:t>
      </w:r>
    </w:p>
    <w:p>
      <w:pPr>
        <w:spacing w:after="40"/>
      </w:pPr>
      <w:r>
        <w:rPr>
          <w:rFonts w:ascii="Calibri" w:hAnsi="Calibri"/>
          <w:b/>
          <w:color w:val="1F4D78"/>
          <w:sz w:val="21"/>
        </w:rPr>
        <w:t xml:space="preserve">Date: </w:t>
      </w:r>
      <w:r>
        <w:rPr>
          <w:rFonts w:ascii="Calibri" w:hAnsi="Calibri"/>
          <w:sz w:val="21"/>
        </w:rPr>
        <w:t>3 September 2026</w:t>
      </w:r>
    </w:p>
    <w:p>
      <w:pPr>
        <w:spacing w:after="40"/>
      </w:pPr>
      <w:r>
        <w:rPr>
          <w:rFonts w:ascii="Calibri" w:hAnsi="Calibri"/>
          <w:b/>
          <w:color w:val="1F4D78"/>
          <w:sz w:val="21"/>
        </w:rPr>
        <w:t xml:space="preserve">Objective: </w:t>
      </w:r>
      <w:r>
        <w:rPr>
          <w:rFonts w:ascii="Calibri" w:hAnsi="Calibri"/>
          <w:sz w:val="21"/>
        </w:rPr>
        <w:t>Make the website reliable, faster, clearer, and ready for tactical combat</w:t>
      </w:r>
    </w:p>
    <w:p>
      <w:pPr>
        <w:pStyle w:val="Heading1"/>
      </w:pPr>
      <w:r>
        <w:t>Instructions to Sol</w:t>
      </w:r>
    </w:p>
    <w:p>
      <w:pPr>
        <w:pStyle w:val="ListBullet"/>
      </w:pPr>
      <w:r>
        <w:rPr>
          <w:rFonts w:ascii="Calibri" w:hAnsi="Calibri"/>
        </w:rPr>
        <w:t>Implement one slice at a time, in order. While the user is away, do not ask any questions, including preference, continuation, or confirmation questions. At each slice boundary, report changed files, test results, screenshots or live-response evidence, and remaining risks; then continue with the next queued instruction.</w:t>
      </w:r>
    </w:p>
    <w:p>
      <w:pPr>
        <w:pStyle w:val="ListBullet"/>
      </w:pPr>
      <w:r>
        <w:rPr>
          <w:rFonts w:ascii="Calibri" w:hAnsi="Calibri"/>
        </w:rPr>
        <w:t>Preserve unrelated worktree changes. Find and extend the current owner before adding a new abstraction or permanent ID.</w:t>
      </w:r>
    </w:p>
    <w:p>
      <w:pPr>
        <w:pStyle w:val="ListBullet"/>
      </w:pPr>
      <w:r>
        <w:rPr>
          <w:rFonts w:ascii="Calibri" w:hAnsi="Calibri"/>
        </w:rPr>
        <w:t>Do not edit the live SQLite database directly. Export first, review file changes, and import only at an explicit synchronization boundary.</w:t>
      </w:r>
    </w:p>
    <w:p>
      <w:pPr>
        <w:pStyle w:val="ListBullet"/>
      </w:pPr>
      <w:r>
        <w:rPr>
          <w:rFonts w:ascii="Calibri" w:hAnsi="Calibri"/>
        </w:rPr>
        <w:t>Never bypass confirmation for a new permanent ID, schema-meaning change, migration, public-surface change, destructive action, or cross-owner semantic change, and do not request it while the user is away. Postpone only that gated subchange, record the exact decision needed, and continue all independent safe work.</w:t>
      </w:r>
    </w:p>
    <w:p>
      <w:pPr>
        <w:pStyle w:val="ListBullet"/>
      </w:pPr>
      <w:r>
        <w:rPr>
          <w:rFonts w:ascii="Calibri" w:hAnsi="Calibri"/>
        </w:rPr>
        <w:t>Keep generic hosting and projection behavior in C#. Keep D&amp;D-specific calculations, eligibility, and outcomes in catalog data or JavaScript mechanics.</w:t>
      </w:r>
    </w:p>
    <w:p>
      <w:pPr>
        <w:pStyle w:val="ListBullet"/>
      </w:pPr>
      <w:r>
        <w:rPr>
          <w:rFonts w:ascii="Calibri" w:hAnsi="Calibri"/>
        </w:rPr>
        <w:t>Run focused tests while iterating. Run the full solution suite for feature acceptance. Run the protocol walk only if the MCP surface or dependency registration changes.</w:t>
      </w:r>
    </w:p>
    <w:p>
      <w:pPr>
        <w:pStyle w:val="Heading1"/>
      </w:pPr>
      <w:r>
        <w:t>Delivery order</w:t>
      </w:r>
    </w:p>
    <w:tbl>
      <w:tblPr>
        <w:tblStyle w:val="TableGrid"/>
        <w:tblW w:type="dxa" w:w="9360"/>
        <w:jc w:val="left"/>
        <w:tblLayout w:type="fixed"/>
        <w:tblLook w:firstColumn="1" w:firstRow="1" w:lastColumn="0" w:lastRow="0" w:noHBand="0" w:noVBand="1" w:val="04A0"/>
        <w:tblInd w:w="120" w:type="dxa"/>
      </w:tblPr>
      <w:tblGrid>
        <w:gridCol w:w="720"/>
        <w:gridCol w:w="2700"/>
        <w:gridCol w:w="3060"/>
        <w:gridCol w:w="2880"/>
      </w:tblGrid>
      <w:tr>
        <w:trPr>
          <w:tblHeader w:val="true"/>
          <w:cantSplit w:val="true"/>
        </w:trPr>
        <w:tc>
          <w:tcPr>
            <w:tcW w:type="dxa" w:w="720"/>
            <w:shd w:fill="E8EEF5"/>
            <w:vAlign w:val="center"/>
            <w:tcMar>
              <w:top w:w="80" w:type="dxa"/>
              <w:bottom w:w="80" w:type="dxa"/>
              <w:start w:w="120" w:type="dxa"/>
              <w:end w:w="120" w:type="dxa"/>
            </w:tcMar>
          </w:tcPr>
          <w:p>
            <w:pPr>
              <w:spacing w:after="0"/>
              <w:jc w:val="center"/>
            </w:pPr>
            <w:r>
              <w:rPr>
                <w:rFonts w:ascii="Calibri" w:hAnsi="Calibri"/>
                <w:b/>
                <w:color w:val="1F4D78"/>
                <w:sz w:val="19"/>
              </w:rPr>
              <w:t>#</w:t>
            </w:r>
          </w:p>
        </w:tc>
        <w:tc>
          <w:tcPr>
            <w:tcW w:type="dxa" w:w="2700"/>
            <w:shd w:fill="E8EEF5"/>
            <w:vAlign w:val="center"/>
            <w:tcMar>
              <w:top w:w="80" w:type="dxa"/>
              <w:bottom w:w="80" w:type="dxa"/>
              <w:start w:w="120" w:type="dxa"/>
              <w:end w:w="120" w:type="dxa"/>
            </w:tcMar>
          </w:tcPr>
          <w:p>
            <w:pPr>
              <w:spacing w:after="0"/>
              <w:jc w:val="left"/>
            </w:pPr>
            <w:r>
              <w:rPr>
                <w:rFonts w:ascii="Calibri" w:hAnsi="Calibri"/>
                <w:b/>
                <w:color w:val="1F4D78"/>
                <w:sz w:val="19"/>
              </w:rPr>
              <w:t>Outcome</w:t>
            </w:r>
          </w:p>
        </w:tc>
        <w:tc>
          <w:tcPr>
            <w:tcW w:type="dxa" w:w="3060"/>
            <w:shd w:fill="E8EEF5"/>
            <w:vAlign w:val="center"/>
            <w:tcMar>
              <w:top w:w="80" w:type="dxa"/>
              <w:bottom w:w="80" w:type="dxa"/>
              <w:start w:w="120" w:type="dxa"/>
              <w:end w:w="120" w:type="dxa"/>
            </w:tcMar>
          </w:tcPr>
          <w:p>
            <w:pPr>
              <w:spacing w:after="0"/>
              <w:jc w:val="left"/>
            </w:pPr>
            <w:r>
              <w:rPr>
                <w:rFonts w:ascii="Calibri" w:hAnsi="Calibri"/>
                <w:b/>
                <w:color w:val="1F4D78"/>
                <w:sz w:val="19"/>
              </w:rPr>
              <w:t>Depends on</w:t>
            </w:r>
          </w:p>
        </w:tc>
        <w:tc>
          <w:tcPr>
            <w:tcW w:type="dxa" w:w="2880"/>
            <w:shd w:fill="E8EEF5"/>
            <w:vAlign w:val="center"/>
            <w:tcMar>
              <w:top w:w="80" w:type="dxa"/>
              <w:bottom w:w="80" w:type="dxa"/>
              <w:start w:w="120" w:type="dxa"/>
              <w:end w:w="120" w:type="dxa"/>
            </w:tcMar>
          </w:tcPr>
          <w:p>
            <w:pPr>
              <w:spacing w:after="0"/>
              <w:jc w:val="left"/>
            </w:pPr>
            <w:r>
              <w:rPr>
                <w:rFonts w:ascii="Calibri" w:hAnsi="Calibri"/>
                <w:b/>
                <w:color w:val="1F4D78"/>
                <w:sz w:val="19"/>
              </w:rPr>
              <w:t>Proof</w:t>
            </w:r>
          </w:p>
        </w:tc>
      </w:tr>
      <w:tr>
        <w:trPr>
          <w:cantSplit w:val="true"/>
        </w:trPr>
        <w:tc>
          <w:tcPr>
            <w:tcW w:type="dxa" w:w="720"/>
            <w:vAlign w:val="center"/>
            <w:tcMar>
              <w:top w:w="80" w:type="dxa"/>
              <w:bottom w:w="80" w:type="dxa"/>
              <w:start w:w="120" w:type="dxa"/>
              <w:end w:w="120" w:type="dxa"/>
            </w:tcMar>
          </w:tcPr>
          <w:p>
            <w:pPr>
              <w:spacing w:after="0" w:line="264" w:lineRule="auto"/>
              <w:jc w:val="center"/>
            </w:pPr>
            <w:r>
              <w:rPr>
                <w:rFonts w:ascii="Calibri" w:hAnsi="Calibri"/>
                <w:sz w:val="18"/>
              </w:rPr>
              <w:t>1</w:t>
            </w:r>
          </w:p>
        </w:tc>
        <w:tc>
          <w:tcPr>
            <w:tcW w:type="dxa" w:w="2700"/>
            <w:vAlign w:val="center"/>
            <w:tcMar>
              <w:top w:w="80" w:type="dxa"/>
              <w:bottom w:w="80" w:type="dxa"/>
              <w:start w:w="120" w:type="dxa"/>
              <w:end w:w="120" w:type="dxa"/>
            </w:tcMar>
          </w:tcPr>
          <w:p>
            <w:pPr>
              <w:spacing w:after="0" w:line="264" w:lineRule="auto"/>
              <w:jc w:val="left"/>
            </w:pPr>
            <w:r>
              <w:rPr>
                <w:rFonts w:ascii="Calibri" w:hAnsi="Calibri"/>
                <w:sz w:val="18"/>
              </w:rPr>
              <w:t>Reliable page states and reproducible defects</w:t>
            </w:r>
          </w:p>
        </w:tc>
        <w:tc>
          <w:tcPr>
            <w:tcW w:type="dxa" w:w="3060"/>
            <w:vAlign w:val="center"/>
            <w:tcMar>
              <w:top w:w="80" w:type="dxa"/>
              <w:bottom w:w="80" w:type="dxa"/>
              <w:start w:w="120" w:type="dxa"/>
              <w:end w:w="120" w:type="dxa"/>
            </w:tcMar>
          </w:tcPr>
          <w:p>
            <w:pPr>
              <w:spacing w:after="0" w:line="264" w:lineRule="auto"/>
              <w:jc w:val="left"/>
            </w:pPr>
            <w:r>
              <w:rPr>
                <w:rFonts w:ascii="Calibri" w:hAnsi="Calibri"/>
                <w:sz w:val="18"/>
              </w:rPr>
              <w:t>None</w:t>
            </w:r>
          </w:p>
        </w:tc>
        <w:tc>
          <w:tcPr>
            <w:tcW w:type="dxa" w:w="2880"/>
            <w:vAlign w:val="center"/>
            <w:tcMar>
              <w:top w:w="80" w:type="dxa"/>
              <w:bottom w:w="80" w:type="dxa"/>
              <w:start w:w="120" w:type="dxa"/>
              <w:end w:w="120" w:type="dxa"/>
            </w:tcMar>
          </w:tcPr>
          <w:p>
            <w:pPr>
              <w:spacing w:after="0" w:line="264" w:lineRule="auto"/>
              <w:jc w:val="left"/>
            </w:pPr>
            <w:r>
              <w:rPr>
                <w:rFonts w:ascii="Calibri" w:hAnsi="Calibri"/>
                <w:sz w:val="18"/>
              </w:rPr>
              <w:t>Loading, empty, error, stale and success states are tested</w:t>
            </w:r>
          </w:p>
        </w:tc>
      </w:tr>
      <w:tr>
        <w:trPr>
          <w:cantSplit w:val="true"/>
        </w:trPr>
        <w:tc>
          <w:tcPr>
            <w:tcW w:type="dxa" w:w="720"/>
            <w:vAlign w:val="center"/>
            <w:tcMar>
              <w:top w:w="80" w:type="dxa"/>
              <w:bottom w:w="80" w:type="dxa"/>
              <w:start w:w="120" w:type="dxa"/>
              <w:end w:w="120" w:type="dxa"/>
            </w:tcMar>
          </w:tcPr>
          <w:p>
            <w:pPr>
              <w:spacing w:after="0" w:line="264" w:lineRule="auto"/>
              <w:jc w:val="center"/>
            </w:pPr>
            <w:r>
              <w:rPr>
                <w:rFonts w:ascii="Calibri" w:hAnsi="Calibri"/>
                <w:sz w:val="18"/>
              </w:rPr>
              <w:t>2</w:t>
            </w:r>
          </w:p>
        </w:tc>
        <w:tc>
          <w:tcPr>
            <w:tcW w:type="dxa" w:w="2700"/>
            <w:vAlign w:val="center"/>
            <w:tcMar>
              <w:top w:w="80" w:type="dxa"/>
              <w:bottom w:w="80" w:type="dxa"/>
              <w:start w:w="120" w:type="dxa"/>
              <w:end w:w="120" w:type="dxa"/>
            </w:tcMar>
          </w:tcPr>
          <w:p>
            <w:pPr>
              <w:spacing w:after="0" w:line="264" w:lineRule="auto"/>
              <w:jc w:val="left"/>
            </w:pPr>
            <w:r>
              <w:rPr>
                <w:rFonts w:ascii="Calibri" w:hAnsi="Calibri"/>
                <w:sz w:val="18"/>
              </w:rPr>
              <w:t>Button-only map zoom</w:t>
            </w:r>
          </w:p>
        </w:tc>
        <w:tc>
          <w:tcPr>
            <w:tcW w:type="dxa" w:w="3060"/>
            <w:vAlign w:val="center"/>
            <w:tcMar>
              <w:top w:w="80" w:type="dxa"/>
              <w:bottom w:w="80" w:type="dxa"/>
              <w:start w:w="120" w:type="dxa"/>
              <w:end w:w="120" w:type="dxa"/>
            </w:tcMar>
          </w:tcPr>
          <w:p>
            <w:pPr>
              <w:spacing w:after="0" w:line="264" w:lineRule="auto"/>
              <w:jc w:val="left"/>
            </w:pPr>
            <w:r>
              <w:rPr>
                <w:rFonts w:ascii="Calibri" w:hAnsi="Calibri"/>
                <w:sz w:val="18"/>
              </w:rPr>
              <w:t>Slice 1</w:t>
            </w:r>
          </w:p>
        </w:tc>
        <w:tc>
          <w:tcPr>
            <w:tcW w:type="dxa" w:w="2880"/>
            <w:vAlign w:val="center"/>
            <w:tcMar>
              <w:top w:w="80" w:type="dxa"/>
              <w:bottom w:w="80" w:type="dxa"/>
              <w:start w:w="120" w:type="dxa"/>
              <w:end w:w="120" w:type="dxa"/>
            </w:tcMar>
          </w:tcPr>
          <w:p>
            <w:pPr>
              <w:spacing w:after="0" w:line="264" w:lineRule="auto"/>
              <w:jc w:val="left"/>
            </w:pPr>
            <w:r>
              <w:rPr>
                <w:rFonts w:ascii="Calibri" w:hAnsi="Calibri"/>
                <w:sz w:val="18"/>
              </w:rPr>
              <w:t>Wheel, trackpad and pinch do not zoom</w:t>
            </w:r>
          </w:p>
        </w:tc>
      </w:tr>
      <w:tr>
        <w:trPr>
          <w:cantSplit w:val="true"/>
        </w:trPr>
        <w:tc>
          <w:tcPr>
            <w:tcW w:type="dxa" w:w="720"/>
            <w:vAlign w:val="center"/>
            <w:tcMar>
              <w:top w:w="80" w:type="dxa"/>
              <w:bottom w:w="80" w:type="dxa"/>
              <w:start w:w="120" w:type="dxa"/>
              <w:end w:w="120" w:type="dxa"/>
            </w:tcMar>
          </w:tcPr>
          <w:p>
            <w:pPr>
              <w:spacing w:after="0" w:line="264" w:lineRule="auto"/>
              <w:jc w:val="center"/>
            </w:pPr>
            <w:r>
              <w:rPr>
                <w:rFonts w:ascii="Calibri" w:hAnsi="Calibri"/>
                <w:sz w:val="18"/>
              </w:rPr>
              <w:t>3</w:t>
            </w:r>
          </w:p>
        </w:tc>
        <w:tc>
          <w:tcPr>
            <w:tcW w:type="dxa" w:w="2700"/>
            <w:vAlign w:val="center"/>
            <w:tcMar>
              <w:top w:w="80" w:type="dxa"/>
              <w:bottom w:w="80" w:type="dxa"/>
              <w:start w:w="120" w:type="dxa"/>
              <w:end w:w="120" w:type="dxa"/>
            </w:tcMar>
          </w:tcPr>
          <w:p>
            <w:pPr>
              <w:spacing w:after="0" w:line="264" w:lineRule="auto"/>
              <w:jc w:val="left"/>
            </w:pPr>
            <w:r>
              <w:rPr>
                <w:rFonts w:ascii="Calibri" w:hAnsi="Calibri"/>
                <w:sz w:val="18"/>
              </w:rPr>
              <w:t>Faster initial page and navigation</w:t>
            </w:r>
          </w:p>
        </w:tc>
        <w:tc>
          <w:tcPr>
            <w:tcW w:type="dxa" w:w="3060"/>
            <w:vAlign w:val="center"/>
            <w:tcMar>
              <w:top w:w="80" w:type="dxa"/>
              <w:bottom w:w="80" w:type="dxa"/>
              <w:start w:w="120" w:type="dxa"/>
              <w:end w:w="120" w:type="dxa"/>
            </w:tcMar>
          </w:tcPr>
          <w:p>
            <w:pPr>
              <w:spacing w:after="0" w:line="264" w:lineRule="auto"/>
              <w:jc w:val="left"/>
            </w:pPr>
            <w:r>
              <w:rPr>
                <w:rFonts w:ascii="Calibri" w:hAnsi="Calibri"/>
                <w:sz w:val="18"/>
              </w:rPr>
              <w:t>Slice 1</w:t>
            </w:r>
          </w:p>
        </w:tc>
        <w:tc>
          <w:tcPr>
            <w:tcW w:type="dxa" w:w="2880"/>
            <w:vAlign w:val="center"/>
            <w:tcMar>
              <w:top w:w="80" w:type="dxa"/>
              <w:bottom w:w="80" w:type="dxa"/>
              <w:start w:w="120" w:type="dxa"/>
              <w:end w:w="120" w:type="dxa"/>
            </w:tcMar>
          </w:tcPr>
          <w:p>
            <w:pPr>
              <w:spacing w:after="0" w:line="264" w:lineRule="auto"/>
              <w:jc w:val="left"/>
            </w:pPr>
            <w:r>
              <w:rPr>
                <w:rFonts w:ascii="Calibri" w:hAnsi="Calibri"/>
                <w:sz w:val="18"/>
              </w:rPr>
              <w:t>Measured before/after timings and no stale overwrite</w:t>
            </w:r>
          </w:p>
        </w:tc>
      </w:tr>
      <w:tr>
        <w:trPr>
          <w:cantSplit w:val="true"/>
        </w:trPr>
        <w:tc>
          <w:tcPr>
            <w:tcW w:type="dxa" w:w="720"/>
            <w:vAlign w:val="center"/>
            <w:tcMar>
              <w:top w:w="80" w:type="dxa"/>
              <w:bottom w:w="80" w:type="dxa"/>
              <w:start w:w="120" w:type="dxa"/>
              <w:end w:w="120" w:type="dxa"/>
            </w:tcMar>
          </w:tcPr>
          <w:p>
            <w:pPr>
              <w:spacing w:after="0" w:line="264" w:lineRule="auto"/>
              <w:jc w:val="center"/>
            </w:pPr>
            <w:r>
              <w:rPr>
                <w:rFonts w:ascii="Calibri" w:hAnsi="Calibri"/>
                <w:sz w:val="18"/>
              </w:rPr>
              <w:t>4</w:t>
            </w:r>
          </w:p>
        </w:tc>
        <w:tc>
          <w:tcPr>
            <w:tcW w:type="dxa" w:w="2700"/>
            <w:vAlign w:val="center"/>
            <w:tcMar>
              <w:top w:w="80" w:type="dxa"/>
              <w:bottom w:w="80" w:type="dxa"/>
              <w:start w:w="120" w:type="dxa"/>
              <w:end w:w="120" w:type="dxa"/>
            </w:tcMar>
          </w:tcPr>
          <w:p>
            <w:pPr>
              <w:spacing w:after="0" w:line="264" w:lineRule="auto"/>
              <w:jc w:val="left"/>
            </w:pPr>
            <w:r>
              <w:rPr>
                <w:rFonts w:ascii="Calibri" w:hAnsi="Calibri"/>
                <w:sz w:val="18"/>
              </w:rPr>
              <w:t>Stable character projection and correct labels</w:t>
            </w:r>
          </w:p>
        </w:tc>
        <w:tc>
          <w:tcPr>
            <w:tcW w:type="dxa" w:w="3060"/>
            <w:vAlign w:val="center"/>
            <w:tcMar>
              <w:top w:w="80" w:type="dxa"/>
              <w:bottom w:w="80" w:type="dxa"/>
              <w:start w:w="120" w:type="dxa"/>
              <w:end w:w="120" w:type="dxa"/>
            </w:tcMar>
          </w:tcPr>
          <w:p>
            <w:pPr>
              <w:spacing w:after="0" w:line="264" w:lineRule="auto"/>
              <w:jc w:val="left"/>
            </w:pPr>
            <w:r>
              <w:rPr>
                <w:rFonts w:ascii="Calibri" w:hAnsi="Calibri"/>
                <w:sz w:val="18"/>
              </w:rPr>
              <w:t>Slices 1, 3</w:t>
            </w:r>
          </w:p>
        </w:tc>
        <w:tc>
          <w:tcPr>
            <w:tcW w:type="dxa" w:w="2880"/>
            <w:vAlign w:val="center"/>
            <w:tcMar>
              <w:top w:w="80" w:type="dxa"/>
              <w:bottom w:w="80" w:type="dxa"/>
              <w:start w:w="120" w:type="dxa"/>
              <w:end w:w="120" w:type="dxa"/>
            </w:tcMar>
          </w:tcPr>
          <w:p>
            <w:pPr>
              <w:spacing w:after="0" w:line="264" w:lineRule="auto"/>
              <w:jc w:val="left"/>
            </w:pPr>
            <w:r>
              <w:rPr>
                <w:rFonts w:ascii="Calibri" w:hAnsi="Calibri"/>
                <w:sz w:val="18"/>
              </w:rPr>
              <w:t>No intermittent sections and no V1 labels</w:t>
            </w:r>
          </w:p>
        </w:tc>
      </w:tr>
      <w:tr>
        <w:trPr>
          <w:cantSplit w:val="true"/>
        </w:trPr>
        <w:tc>
          <w:tcPr>
            <w:tcW w:type="dxa" w:w="720"/>
            <w:vAlign w:val="center"/>
            <w:tcMar>
              <w:top w:w="80" w:type="dxa"/>
              <w:bottom w:w="80" w:type="dxa"/>
              <w:start w:w="120" w:type="dxa"/>
              <w:end w:w="120" w:type="dxa"/>
            </w:tcMar>
          </w:tcPr>
          <w:p>
            <w:pPr>
              <w:spacing w:after="0" w:line="264" w:lineRule="auto"/>
              <w:jc w:val="center"/>
            </w:pPr>
            <w:r>
              <w:rPr>
                <w:rFonts w:ascii="Calibri" w:hAnsi="Calibri"/>
                <w:sz w:val="18"/>
              </w:rPr>
              <w:t>5</w:t>
            </w:r>
          </w:p>
        </w:tc>
        <w:tc>
          <w:tcPr>
            <w:tcW w:type="dxa" w:w="2700"/>
            <w:vAlign w:val="center"/>
            <w:tcMar>
              <w:top w:w="80" w:type="dxa"/>
              <w:bottom w:w="80" w:type="dxa"/>
              <w:start w:w="120" w:type="dxa"/>
              <w:end w:w="120" w:type="dxa"/>
            </w:tcMar>
          </w:tcPr>
          <w:p>
            <w:pPr>
              <w:spacing w:after="0" w:line="264" w:lineRule="auto"/>
              <w:jc w:val="left"/>
            </w:pPr>
            <w:r>
              <w:rPr>
                <w:rFonts w:ascii="Calibri" w:hAnsi="Calibri"/>
                <w:sz w:val="18"/>
              </w:rPr>
              <w:t>BG3-inspired character page</w:t>
            </w:r>
          </w:p>
        </w:tc>
        <w:tc>
          <w:tcPr>
            <w:tcW w:type="dxa" w:w="3060"/>
            <w:vAlign w:val="center"/>
            <w:tcMar>
              <w:top w:w="80" w:type="dxa"/>
              <w:bottom w:w="80" w:type="dxa"/>
              <w:start w:w="120" w:type="dxa"/>
              <w:end w:w="120" w:type="dxa"/>
            </w:tcMar>
          </w:tcPr>
          <w:p>
            <w:pPr>
              <w:spacing w:after="0" w:line="264" w:lineRule="auto"/>
              <w:jc w:val="left"/>
            </w:pPr>
            <w:r>
              <w:rPr>
                <w:rFonts w:ascii="Calibri" w:hAnsi="Calibri"/>
                <w:sz w:val="18"/>
              </w:rPr>
              <w:t>Slice 4</w:t>
            </w:r>
          </w:p>
        </w:tc>
        <w:tc>
          <w:tcPr>
            <w:tcW w:type="dxa" w:w="2880"/>
            <w:vAlign w:val="center"/>
            <w:tcMar>
              <w:top w:w="80" w:type="dxa"/>
              <w:bottom w:w="80" w:type="dxa"/>
              <w:start w:w="120" w:type="dxa"/>
              <w:end w:w="120" w:type="dxa"/>
            </w:tcMar>
          </w:tcPr>
          <w:p>
            <w:pPr>
              <w:spacing w:after="0" w:line="264" w:lineRule="auto"/>
              <w:jc w:val="left"/>
            </w:pPr>
            <w:r>
              <w:rPr>
                <w:rFonts w:ascii="Calibri" w:hAnsi="Calibri"/>
                <w:sz w:val="18"/>
              </w:rPr>
              <w:t>Responsive, accessible character layout</w:t>
            </w:r>
          </w:p>
        </w:tc>
      </w:tr>
      <w:tr>
        <w:trPr>
          <w:cantSplit w:val="true"/>
        </w:trPr>
        <w:tc>
          <w:tcPr>
            <w:tcW w:type="dxa" w:w="720"/>
            <w:vAlign w:val="center"/>
            <w:tcMar>
              <w:top w:w="80" w:type="dxa"/>
              <w:bottom w:w="80" w:type="dxa"/>
              <w:start w:w="120" w:type="dxa"/>
              <w:end w:w="120" w:type="dxa"/>
            </w:tcMar>
          </w:tcPr>
          <w:p>
            <w:pPr>
              <w:spacing w:after="0" w:line="264" w:lineRule="auto"/>
              <w:jc w:val="center"/>
            </w:pPr>
            <w:r>
              <w:rPr>
                <w:rFonts w:ascii="Calibri" w:hAnsi="Calibri"/>
                <w:sz w:val="18"/>
              </w:rPr>
              <w:t>6</w:t>
            </w:r>
          </w:p>
        </w:tc>
        <w:tc>
          <w:tcPr>
            <w:tcW w:type="dxa" w:w="2700"/>
            <w:vAlign w:val="center"/>
            <w:tcMar>
              <w:top w:w="80" w:type="dxa"/>
              <w:bottom w:w="80" w:type="dxa"/>
              <w:start w:w="120" w:type="dxa"/>
              <w:end w:w="120" w:type="dxa"/>
            </w:tcMar>
          </w:tcPr>
          <w:p>
            <w:pPr>
              <w:spacing w:after="0" w:line="264" w:lineRule="auto"/>
              <w:jc w:val="left"/>
            </w:pPr>
            <w:r>
              <w:rPr>
                <w:rFonts w:ascii="Calibri" w:hAnsi="Calibri"/>
                <w:sz w:val="18"/>
              </w:rPr>
              <w:t>Nested inventory and gold</w:t>
            </w:r>
          </w:p>
        </w:tc>
        <w:tc>
          <w:tcPr>
            <w:tcW w:type="dxa" w:w="3060"/>
            <w:vAlign w:val="center"/>
            <w:tcMar>
              <w:top w:w="80" w:type="dxa"/>
              <w:bottom w:w="80" w:type="dxa"/>
              <w:start w:w="120" w:type="dxa"/>
              <w:end w:w="120" w:type="dxa"/>
            </w:tcMar>
          </w:tcPr>
          <w:p>
            <w:pPr>
              <w:spacing w:after="0" w:line="264" w:lineRule="auto"/>
              <w:jc w:val="left"/>
            </w:pPr>
            <w:r>
              <w:rPr>
                <w:rFonts w:ascii="Calibri" w:hAnsi="Calibri"/>
                <w:sz w:val="18"/>
              </w:rPr>
              <w:t>Slices 4, 5</w:t>
            </w:r>
          </w:p>
        </w:tc>
        <w:tc>
          <w:tcPr>
            <w:tcW w:type="dxa" w:w="2880"/>
            <w:vAlign w:val="center"/>
            <w:tcMar>
              <w:top w:w="80" w:type="dxa"/>
              <w:bottom w:w="80" w:type="dxa"/>
              <w:start w:w="120" w:type="dxa"/>
              <w:end w:w="120" w:type="dxa"/>
            </w:tcMar>
          </w:tcPr>
          <w:p>
            <w:pPr>
              <w:spacing w:after="0" w:line="264" w:lineRule="auto"/>
              <w:jc w:val="left"/>
            </w:pPr>
            <w:r>
              <w:rPr>
                <w:rFonts w:ascii="Calibri" w:hAnsi="Calibri"/>
                <w:sz w:val="18"/>
              </w:rPr>
              <w:t>Containers expand recursively; gold is visible</w:t>
            </w:r>
          </w:p>
        </w:tc>
      </w:tr>
      <w:tr>
        <w:trPr>
          <w:cantSplit w:val="true"/>
        </w:trPr>
        <w:tc>
          <w:tcPr>
            <w:tcW w:type="dxa" w:w="720"/>
            <w:vAlign w:val="center"/>
            <w:tcMar>
              <w:top w:w="80" w:type="dxa"/>
              <w:bottom w:w="80" w:type="dxa"/>
              <w:start w:w="120" w:type="dxa"/>
              <w:end w:w="120" w:type="dxa"/>
            </w:tcMar>
          </w:tcPr>
          <w:p>
            <w:pPr>
              <w:spacing w:after="0" w:line="264" w:lineRule="auto"/>
              <w:jc w:val="center"/>
            </w:pPr>
            <w:r>
              <w:rPr>
                <w:rFonts w:ascii="Calibri" w:hAnsi="Calibri"/>
                <w:sz w:val="18"/>
              </w:rPr>
              <w:t>7</w:t>
            </w:r>
          </w:p>
        </w:tc>
        <w:tc>
          <w:tcPr>
            <w:tcW w:type="dxa" w:w="2700"/>
            <w:vAlign w:val="center"/>
            <w:tcMar>
              <w:top w:w="80" w:type="dxa"/>
              <w:bottom w:w="80" w:type="dxa"/>
              <w:start w:w="120" w:type="dxa"/>
              <w:end w:w="120" w:type="dxa"/>
            </w:tcMar>
          </w:tcPr>
          <w:p>
            <w:pPr>
              <w:spacing w:after="0" w:line="264" w:lineRule="auto"/>
              <w:jc w:val="left"/>
            </w:pPr>
            <w:r>
              <w:rPr>
                <w:rFonts w:ascii="Calibri" w:hAnsi="Calibri"/>
                <w:sz w:val="18"/>
              </w:rPr>
              <w:t>Deterministic tactical combat board</w:t>
            </w:r>
          </w:p>
        </w:tc>
        <w:tc>
          <w:tcPr>
            <w:tcW w:type="dxa" w:w="3060"/>
            <w:vAlign w:val="center"/>
            <w:tcMar>
              <w:top w:w="80" w:type="dxa"/>
              <w:bottom w:w="80" w:type="dxa"/>
              <w:start w:w="120" w:type="dxa"/>
              <w:end w:w="120" w:type="dxa"/>
            </w:tcMar>
          </w:tcPr>
          <w:p>
            <w:pPr>
              <w:spacing w:after="0" w:line="264" w:lineRule="auto"/>
              <w:jc w:val="left"/>
            </w:pPr>
            <w:r>
              <w:rPr>
                <w:rFonts w:ascii="Calibri" w:hAnsi="Calibri"/>
                <w:sz w:val="18"/>
              </w:rPr>
              <w:t>Slices 1, 3</w:t>
            </w:r>
          </w:p>
        </w:tc>
        <w:tc>
          <w:tcPr>
            <w:tcW w:type="dxa" w:w="2880"/>
            <w:vAlign w:val="center"/>
            <w:tcMar>
              <w:top w:w="80" w:type="dxa"/>
              <w:bottom w:w="80" w:type="dxa"/>
              <w:start w:w="120" w:type="dxa"/>
              <w:end w:w="120" w:type="dxa"/>
            </w:tcMar>
          </w:tcPr>
          <w:p>
            <w:pPr>
              <w:spacing w:after="0" w:line="264" w:lineRule="auto"/>
              <w:jc w:val="left"/>
            </w:pPr>
            <w:r>
              <w:rPr>
                <w:rFonts w:ascii="Calibri" w:hAnsi="Calibri"/>
                <w:sz w:val="18"/>
              </w:rPr>
              <w:t>Grid, obstacles and tokens work without generated art</w:t>
            </w:r>
          </w:p>
        </w:tc>
      </w:tr>
      <w:tr>
        <w:trPr>
          <w:cantSplit w:val="true"/>
        </w:trPr>
        <w:tc>
          <w:tcPr>
            <w:tcW w:type="dxa" w:w="720"/>
            <w:vAlign w:val="center"/>
            <w:tcMar>
              <w:top w:w="80" w:type="dxa"/>
              <w:bottom w:w="80" w:type="dxa"/>
              <w:start w:w="120" w:type="dxa"/>
              <w:end w:w="120" w:type="dxa"/>
            </w:tcMar>
          </w:tcPr>
          <w:p>
            <w:pPr>
              <w:spacing w:after="0" w:line="264" w:lineRule="auto"/>
              <w:jc w:val="center"/>
            </w:pPr>
            <w:r>
              <w:rPr>
                <w:rFonts w:ascii="Calibri" w:hAnsi="Calibri"/>
                <w:sz w:val="18"/>
              </w:rPr>
              <w:t>8</w:t>
            </w:r>
          </w:p>
        </w:tc>
        <w:tc>
          <w:tcPr>
            <w:tcW w:type="dxa" w:w="2700"/>
            <w:vAlign w:val="center"/>
            <w:tcMar>
              <w:top w:w="80" w:type="dxa"/>
              <w:bottom w:w="80" w:type="dxa"/>
              <w:start w:w="120" w:type="dxa"/>
              <w:end w:w="120" w:type="dxa"/>
            </w:tcMar>
          </w:tcPr>
          <w:p>
            <w:pPr>
              <w:spacing w:after="0" w:line="264" w:lineRule="auto"/>
              <w:jc w:val="left"/>
            </w:pPr>
            <w:r>
              <w:rPr>
                <w:rFonts w:ascii="Calibri" w:hAnsi="Calibri"/>
                <w:sz w:val="18"/>
              </w:rPr>
              <w:t>Generated combat-map background</w:t>
            </w:r>
          </w:p>
        </w:tc>
        <w:tc>
          <w:tcPr>
            <w:tcW w:type="dxa" w:w="3060"/>
            <w:vAlign w:val="center"/>
            <w:tcMar>
              <w:top w:w="80" w:type="dxa"/>
              <w:bottom w:w="80" w:type="dxa"/>
              <w:start w:w="120" w:type="dxa"/>
              <w:end w:w="120" w:type="dxa"/>
            </w:tcMar>
          </w:tcPr>
          <w:p>
            <w:pPr>
              <w:spacing w:after="0" w:line="264" w:lineRule="auto"/>
              <w:jc w:val="left"/>
            </w:pPr>
            <w:r>
              <w:rPr>
                <w:rFonts w:ascii="Calibri" w:hAnsi="Calibri"/>
                <w:sz w:val="18"/>
              </w:rPr>
              <w:t>Slice 7</w:t>
            </w:r>
          </w:p>
        </w:tc>
        <w:tc>
          <w:tcPr>
            <w:tcW w:type="dxa" w:w="2880"/>
            <w:vAlign w:val="center"/>
            <w:tcMar>
              <w:top w:w="80" w:type="dxa"/>
              <w:bottom w:w="80" w:type="dxa"/>
              <w:start w:w="120" w:type="dxa"/>
              <w:end w:w="120" w:type="dxa"/>
            </w:tcMar>
          </w:tcPr>
          <w:p>
            <w:pPr>
              <w:spacing w:after="0" w:line="264" w:lineRule="auto"/>
              <w:jc w:val="left"/>
            </w:pPr>
            <w:r>
              <w:rPr>
                <w:rFonts w:ascii="Calibri" w:hAnsi="Calibri"/>
                <w:sz w:val="18"/>
              </w:rPr>
              <w:t>Preview/accept workflow with safe fallback</w:t>
            </w:r>
          </w:p>
        </w:tc>
      </w:tr>
      <w:tr>
        <w:trPr>
          <w:cantSplit w:val="true"/>
        </w:trPr>
        <w:tc>
          <w:tcPr>
            <w:tcW w:type="dxa" w:w="720"/>
            <w:vAlign w:val="center"/>
            <w:tcMar>
              <w:top w:w="80" w:type="dxa"/>
              <w:bottom w:w="80" w:type="dxa"/>
              <w:start w:w="120" w:type="dxa"/>
              <w:end w:w="120" w:type="dxa"/>
            </w:tcMar>
          </w:tcPr>
          <w:p>
            <w:pPr>
              <w:spacing w:after="0" w:line="264" w:lineRule="auto"/>
              <w:jc w:val="center"/>
            </w:pPr>
            <w:r>
              <w:rPr>
                <w:rFonts w:ascii="Calibri" w:hAnsi="Calibri"/>
                <w:sz w:val="18"/>
              </w:rPr>
              <w:t>9</w:t>
            </w:r>
          </w:p>
        </w:tc>
        <w:tc>
          <w:tcPr>
            <w:tcW w:type="dxa" w:w="2700"/>
            <w:vAlign w:val="center"/>
            <w:tcMar>
              <w:top w:w="80" w:type="dxa"/>
              <w:bottom w:w="80" w:type="dxa"/>
              <w:start w:w="120" w:type="dxa"/>
              <w:end w:w="120" w:type="dxa"/>
            </w:tcMar>
          </w:tcPr>
          <w:p>
            <w:pPr>
              <w:spacing w:after="0" w:line="264" w:lineRule="auto"/>
              <w:jc w:val="left"/>
            </w:pPr>
            <w:r>
              <w:rPr>
                <w:rFonts w:ascii="Calibri" w:hAnsi="Calibri"/>
                <w:sz w:val="18"/>
              </w:rPr>
              <w:t>Acceptance, accessibility and release</w:t>
            </w:r>
          </w:p>
        </w:tc>
        <w:tc>
          <w:tcPr>
            <w:tcW w:type="dxa" w:w="3060"/>
            <w:vAlign w:val="center"/>
            <w:tcMar>
              <w:top w:w="80" w:type="dxa"/>
              <w:bottom w:w="80" w:type="dxa"/>
              <w:start w:w="120" w:type="dxa"/>
              <w:end w:w="120" w:type="dxa"/>
            </w:tcMar>
          </w:tcPr>
          <w:p>
            <w:pPr>
              <w:spacing w:after="0" w:line="264" w:lineRule="auto"/>
              <w:jc w:val="left"/>
            </w:pPr>
            <w:r>
              <w:rPr>
                <w:rFonts w:ascii="Calibri" w:hAnsi="Calibri"/>
                <w:sz w:val="18"/>
              </w:rPr>
              <w:t>Slices 1-8</w:t>
            </w:r>
          </w:p>
        </w:tc>
        <w:tc>
          <w:tcPr>
            <w:tcW w:type="dxa" w:w="2880"/>
            <w:vAlign w:val="center"/>
            <w:tcMar>
              <w:top w:w="80" w:type="dxa"/>
              <w:bottom w:w="80" w:type="dxa"/>
              <w:start w:w="120" w:type="dxa"/>
              <w:end w:w="120" w:type="dxa"/>
            </w:tcMar>
          </w:tcPr>
          <w:p>
            <w:pPr>
              <w:spacing w:after="0" w:line="264" w:lineRule="auto"/>
              <w:jc w:val="left"/>
            </w:pPr>
            <w:r>
              <w:rPr>
                <w:rFonts w:ascii="Calibri" w:hAnsi="Calibri"/>
                <w:sz w:val="18"/>
              </w:rPr>
              <w:t>Full suite plus live listener evidence</w:t>
            </w:r>
          </w:p>
        </w:tc>
      </w:tr>
    </w:tbl>
    <w:p>
      <w:pPr>
        <w:spacing w:after="20"/>
      </w:pPr>
    </w:p>
    <w:p>
      <w:pPr>
        <w:pStyle w:val="Heading2"/>
      </w:pPr>
      <w:r>
        <w:t>Slice 1 - Stabilize the web quality gate and page states</w:t>
      </w:r>
    </w:p>
    <w:p>
      <w:pPr>
        <w:pStyle w:val="ListBullet"/>
      </w:pPr>
      <w:r>
        <w:rPr>
          <w:rFonts w:ascii="Calibri" w:hAnsi="Calibri"/>
          <w:b/>
          <w:color w:val="1F4D78"/>
        </w:rPr>
        <w:t xml:space="preserve">Goal: </w:t>
      </w:r>
      <w:r>
        <w:rPr>
          <w:rFonts w:ascii="Calibri" w:hAnsi="Calibri"/>
        </w:rPr>
        <w:t>Turn intermittent missing data into explicit, testable loading, empty, error, stale and success states.</w:t>
      </w:r>
    </w:p>
    <w:p>
      <w:pPr>
        <w:pStyle w:val="ListBullet"/>
      </w:pPr>
      <w:r>
        <w:rPr>
          <w:rFonts w:ascii="Calibri" w:hAnsi="Calibri"/>
          <w:b/>
          <w:color w:val="1F4D78"/>
        </w:rPr>
        <w:t xml:space="preserve">Build: </w:t>
      </w:r>
      <w:r>
        <w:rPr>
          <w:rFonts w:ascii="Calibri" w:hAnsi="Calibri"/>
        </w:rPr>
        <w:t>Reproduce character and map failures against the exact configured listener. Add request cancellation or revision guards so late responses cannot overwrite current navigation. Centralize page-state handling, log a correlation ID for failed projections, and add focused tests for rapid character switching, refresh, empty inventory, partial media and server errors.</w:t>
      </w:r>
    </w:p>
    <w:p>
      <w:pPr>
        <w:pStyle w:val="ListBullet"/>
      </w:pPr>
      <w:r>
        <w:rPr>
          <w:rFonts w:ascii="Calibri" w:hAnsi="Calibri"/>
          <w:b/>
          <w:color w:val="1F4D78"/>
        </w:rPr>
        <w:t xml:space="preserve">Primary owners: </w:t>
      </w:r>
      <w:r>
        <w:rPr>
          <w:rFonts w:ascii="Calibri" w:hAnsi="Calibri"/>
        </w:rPr>
        <w:t>The existing web data-fetch layer, route/page state owners, character and map page tests, and the existing web verification script. Do not invent a parallel state store.</w:t>
      </w:r>
    </w:p>
    <w:p>
      <w:pPr>
        <w:pStyle w:val="ListBullet"/>
      </w:pPr>
      <w:r>
        <w:rPr>
          <w:rFonts w:ascii="Calibri" w:hAnsi="Calibri"/>
          <w:b/>
          <w:color w:val="1F4D78"/>
        </w:rPr>
        <w:t xml:space="preserve">Done when: </w:t>
      </w:r>
      <w:r>
        <w:rPr>
          <w:rFonts w:ascii="Calibri" w:hAnsi="Calibri"/>
        </w:rPr>
        <w:t>Twenty repeated navigations and rapid actor switches show the correct actor every time; failures display a useful retry state; the current web verification command passes.</w:t>
      </w:r>
    </w:p>
    <w:p>
      <w:pPr>
        <w:pStyle w:val="ListBullet"/>
      </w:pPr>
      <w:r>
        <w:rPr>
          <w:rFonts w:ascii="Calibri" w:hAnsi="Calibri"/>
          <w:b/>
          <w:color w:val="1F4D78"/>
        </w:rPr>
        <w:t xml:space="preserve">Stop gate / rollback: </w:t>
      </w:r>
      <w:r>
        <w:rPr>
          <w:rFonts w:ascii="Calibri" w:hAnsi="Calibri"/>
        </w:rPr>
        <w:t>If reliable reproduction is impossible, record listener, request/response, timing and browser evidence, then continue independent work. Roll back by reverting only the page-state/request-guard change.</w:t>
      </w:r>
    </w:p>
    <w:p>
      <w:pPr>
        <w:pStyle w:val="Heading2"/>
      </w:pPr>
      <w:r>
        <w:t>Slice 2 - Make map zoom button-only</w:t>
      </w:r>
    </w:p>
    <w:p>
      <w:pPr>
        <w:pStyle w:val="ListBullet"/>
      </w:pPr>
      <w:r>
        <w:rPr>
          <w:rFonts w:ascii="Calibri" w:hAnsi="Calibri"/>
          <w:b/>
          <w:color w:val="1F4D78"/>
        </w:rPr>
        <w:t xml:space="preserve">Goal: </w:t>
      </w:r>
      <w:r>
        <w:rPr>
          <w:rFonts w:ascii="Calibri" w:hAnsi="Calibri"/>
        </w:rPr>
        <w:t>Remove accidental scroll zoom while preserving deliberate navigation.</w:t>
      </w:r>
    </w:p>
    <w:p>
      <w:pPr>
        <w:pStyle w:val="ListBullet"/>
      </w:pPr>
      <w:r>
        <w:rPr>
          <w:rFonts w:ascii="Calibri" w:hAnsi="Calibri"/>
          <w:b/>
          <w:color w:val="1F4D78"/>
        </w:rPr>
        <w:t xml:space="preserve">Build: </w:t>
      </w:r>
      <w:r>
        <w:rPr>
          <w:rFonts w:ascii="Calibri" w:hAnsi="Calibri"/>
        </w:rPr>
        <w:t>Disable wheel, trackpad-scroll and pinch-to-zoom handlers on the maps page. Keep visible zoom-in, zoom-out and reset buttons with a displayed zoom level. Preserve drag and keyboard panning where already supported. Prevent the map from trapping normal page scrolling and add accessible names, focus states and disabled limits to the controls.</w:t>
      </w:r>
    </w:p>
    <w:p>
      <w:pPr>
        <w:pStyle w:val="ListBullet"/>
      </w:pPr>
      <w:r>
        <w:rPr>
          <w:rFonts w:ascii="Calibri" w:hAnsi="Calibri"/>
          <w:b/>
          <w:color w:val="1F4D78"/>
        </w:rPr>
        <w:t xml:space="preserve">Primary owners: </w:t>
      </w:r>
      <w:r>
        <w:rPr>
          <w:rFonts w:ascii="Calibri" w:hAnsi="Calibri"/>
        </w:rPr>
        <w:t>The existing map page/viewer component, its input hooks, styles and focused interaction tests.</w:t>
      </w:r>
    </w:p>
    <w:p>
      <w:pPr>
        <w:pStyle w:val="ListBullet"/>
      </w:pPr>
      <w:r>
        <w:rPr>
          <w:rFonts w:ascii="Calibri" w:hAnsi="Calibri"/>
          <w:b/>
          <w:color w:val="1F4D78"/>
        </w:rPr>
        <w:t xml:space="preserve">Done when: </w:t>
      </w:r>
      <w:r>
        <w:rPr>
          <w:rFonts w:ascii="Calibri" w:hAnsi="Calibri"/>
        </w:rPr>
        <w:t>Mouse wheel and trackpad scroll move the page but never change map scale; pinch does not zoom; buttons work at min/max; keyboard and touch behavior are tested.</w:t>
      </w:r>
    </w:p>
    <w:p>
      <w:pPr>
        <w:pStyle w:val="ListBullet"/>
      </w:pPr>
      <w:r>
        <w:rPr>
          <w:rFonts w:ascii="Calibri" w:hAnsi="Calibri"/>
          <w:b/>
          <w:color w:val="1F4D78"/>
        </w:rPr>
        <w:t xml:space="preserve">Stop gate / rollback: </w:t>
      </w:r>
      <w:r>
        <w:rPr>
          <w:rFonts w:ascii="Calibri" w:hAnsi="Calibri"/>
        </w:rPr>
        <w:t>Do not replace the map renderer in this slice. Roll back to the previous input-handler revision if panning or page scrolling regresses.</w:t>
      </w:r>
    </w:p>
    <w:p>
      <w:pPr>
        <w:pStyle w:val="Heading2"/>
      </w:pPr>
      <w:r>
        <w:t>Slice 3 - Speed up initial load and navigation</w:t>
      </w:r>
    </w:p>
    <w:p>
      <w:pPr>
        <w:pStyle w:val="ListBullet"/>
      </w:pPr>
      <w:r>
        <w:rPr>
          <w:rFonts w:ascii="Calibri" w:hAnsi="Calibri"/>
          <w:b/>
          <w:color w:val="1F4D78"/>
        </w:rPr>
        <w:t xml:space="preserve">Goal: </w:t>
      </w:r>
      <w:r>
        <w:rPr>
          <w:rFonts w:ascii="Calibri" w:hAnsi="Calibri"/>
        </w:rPr>
        <w:t>Make useful content appear quickly without weakening correctness.</w:t>
      </w:r>
    </w:p>
    <w:p>
      <w:pPr>
        <w:pStyle w:val="ListBullet"/>
      </w:pPr>
      <w:r>
        <w:rPr>
          <w:rFonts w:ascii="Calibri" w:hAnsi="Calibri"/>
          <w:b/>
          <w:color w:val="1F4D78"/>
        </w:rPr>
        <w:t xml:space="preserve">Build: </w:t>
      </w:r>
      <w:r>
        <w:rPr>
          <w:rFonts w:ascii="Calibri" w:hAnsi="Calibri"/>
        </w:rPr>
        <w:t>Measure server projection time, payload size, browser scripting time and render count before changing code. Render a lightweight shell first, request only the view data needed by the active page, cancel superseded requests, remove N+1 media lookups, cache immutable projection inputs by fingerprint, and lazy-load expensive secondary panels and images. Add timing diagnostics and a repeatable performance test.</w:t>
      </w:r>
    </w:p>
    <w:p>
      <w:pPr>
        <w:pStyle w:val="ListBullet"/>
      </w:pPr>
      <w:r>
        <w:rPr>
          <w:rFonts w:ascii="Calibri" w:hAnsi="Calibri"/>
          <w:b/>
          <w:color w:val="1F4D78"/>
        </w:rPr>
        <w:t xml:space="preserve">Primary owners: </w:t>
      </w:r>
      <w:r>
        <w:rPr>
          <w:rFonts w:ascii="Calibri" w:hAnsi="Calibri"/>
        </w:rPr>
        <w:t>Existing audience-context/projection endpoints, web fetch/query layer, media resolution owner, route-level rendering and performance tests. Keep rules out of the web client.</w:t>
      </w:r>
    </w:p>
    <w:p>
      <w:pPr>
        <w:pStyle w:val="ListBullet"/>
      </w:pPr>
      <w:r>
        <w:rPr>
          <w:rFonts w:ascii="Calibri" w:hAnsi="Calibri"/>
          <w:b/>
          <w:color w:val="1F4D78"/>
        </w:rPr>
        <w:t xml:space="preserve">Done when: </w:t>
      </w:r>
      <w:r>
        <w:rPr>
          <w:rFonts w:ascii="Calibri" w:hAnsi="Calibri"/>
        </w:rPr>
        <w:t>Record a before/after benchmark on the same campaign and listener. Initial useful content and character-to-character navigation improve materially, duplicate calls disappear, and correctness tests remain green.</w:t>
      </w:r>
    </w:p>
    <w:p>
      <w:pPr>
        <w:pStyle w:val="ListBullet"/>
      </w:pPr>
      <w:r>
        <w:rPr>
          <w:rFonts w:ascii="Calibri" w:hAnsi="Calibri"/>
          <w:b/>
          <w:color w:val="1F4D78"/>
        </w:rPr>
        <w:t xml:space="preserve">Stop gate / rollback: </w:t>
      </w:r>
      <w:r>
        <w:rPr>
          <w:rFonts w:ascii="Calibri" w:hAnsi="Calibri"/>
        </w:rPr>
        <w:t>No speculative rewrite. If the slow step cannot be attributed, report the measured bottleneck and continue independent work. Every cache must have an explicit key, invalidation rule and bypass for diagnostics.</w:t>
      </w:r>
    </w:p>
    <w:p>
      <w:pPr>
        <w:pStyle w:val="Heading2"/>
      </w:pPr>
      <w:r>
        <w:t>Slice 4 - Fix the character projection and V1 labels</w:t>
      </w:r>
    </w:p>
    <w:p>
      <w:pPr>
        <w:pStyle w:val="ListBullet"/>
      </w:pPr>
      <w:r>
        <w:rPr>
          <w:rFonts w:ascii="Calibri" w:hAnsi="Calibri"/>
          <w:b/>
          <w:color w:val="1F4D78"/>
        </w:rPr>
        <w:t xml:space="preserve">Goal: </w:t>
      </w:r>
      <w:r>
        <w:rPr>
          <w:rFonts w:ascii="Calibri" w:hAnsi="Calibri"/>
        </w:rPr>
        <w:t>Provide one stable character read model with human-readable names, explicit nesting and wallet data.</w:t>
      </w:r>
    </w:p>
    <w:p>
      <w:pPr>
        <w:pStyle w:val="ListBullet"/>
      </w:pPr>
      <w:r>
        <w:rPr>
          <w:rFonts w:ascii="Calibri" w:hAnsi="Calibri"/>
          <w:b/>
          <w:color w:val="1F4D78"/>
        </w:rPr>
        <w:t xml:space="preserve">Build: </w:t>
      </w:r>
      <w:r>
        <w:rPr>
          <w:rFonts w:ascii="Calibri" w:hAnsi="Calibri"/>
        </w:rPr>
        <w:t>Trace every character section to its authoritative component. Replace order-dependent or optional joins with a deterministic projection. Resolve display labels from schema/catalog metadata, with a safe readable fallback, so raw tokens such as V1 never appear as attribute names. Include loading provenance, parent-container relationships, quantities and currency in the read model. Add fixtures for missing optional components, renamed labels and nested items.</w:t>
      </w:r>
    </w:p>
    <w:p>
      <w:pPr>
        <w:pStyle w:val="ListBullet"/>
      </w:pPr>
      <w:r>
        <w:rPr>
          <w:rFonts w:ascii="Calibri" w:hAnsi="Calibri"/>
          <w:b/>
          <w:color w:val="1F4D78"/>
        </w:rPr>
        <w:t xml:space="preserve">Primary owners: </w:t>
      </w:r>
      <w:r>
        <w:rPr>
          <w:rFonts w:ascii="Calibri" w:hAnsi="Calibri"/>
        </w:rPr>
        <w:t>The current character projection/query owner, component-schema metadata, catalog fixtures and projection contract tests. D&amp;D-specific derivation remains in catalog mechanics.</w:t>
      </w:r>
    </w:p>
    <w:p>
      <w:pPr>
        <w:pStyle w:val="ListBullet"/>
      </w:pPr>
      <w:r>
        <w:rPr>
          <w:rFonts w:ascii="Calibri" w:hAnsi="Calibri"/>
          <w:b/>
          <w:color w:val="1F4D78"/>
        </w:rPr>
        <w:t xml:space="preserve">Done when: </w:t>
      </w:r>
      <w:r>
        <w:rPr>
          <w:rFonts w:ascii="Calibri" w:hAnsi="Calibri"/>
        </w:rPr>
        <w:t>Repeated reads are byte-for-byte stable for the same revision; partial characters show intentional empty states; all six attributes use their real labels; unknown fields fail visibly in diagnostics, not as V1 in the UI.</w:t>
      </w:r>
    </w:p>
    <w:p>
      <w:pPr>
        <w:pStyle w:val="ListBullet"/>
      </w:pPr>
      <w:r>
        <w:rPr>
          <w:rFonts w:ascii="Calibri" w:hAnsi="Calibri"/>
          <w:b/>
          <w:color w:val="1F4D78"/>
        </w:rPr>
        <w:t xml:space="preserve">Stop gate / rollback: </w:t>
      </w:r>
      <w:r>
        <w:rPr>
          <w:rFonts w:ascii="Calibri" w:hAnsi="Calibri"/>
        </w:rPr>
        <w:t>A projection contract or schema-meaning change requires confirmation before implementation. Keep the prior projection version available until the new page passes acceptance.</w:t>
      </w:r>
    </w:p>
    <w:p>
      <w:pPr>
        <w:pStyle w:val="Heading2"/>
      </w:pPr>
      <w:r>
        <w:t>Slice 5 - Rebuild the character page in a BG3-inspired layout</w:t>
      </w:r>
    </w:p>
    <w:p>
      <w:pPr>
        <w:pStyle w:val="ListBullet"/>
      </w:pPr>
      <w:r>
        <w:rPr>
          <w:rFonts w:ascii="Calibri" w:hAnsi="Calibri"/>
          <w:b/>
          <w:color w:val="1F4D78"/>
        </w:rPr>
        <w:t xml:space="preserve">Goal: </w:t>
      </w:r>
      <w:r>
        <w:rPr>
          <w:rFonts w:ascii="Calibri" w:hAnsi="Calibri"/>
        </w:rPr>
        <w:t>Create a strong RPG character sheet hierarchy without copying Baldur's Gate 3 assets or trade dress.</w:t>
      </w:r>
    </w:p>
    <w:p>
      <w:pPr>
        <w:pStyle w:val="ListBullet"/>
      </w:pPr>
      <w:r>
        <w:rPr>
          <w:rFonts w:ascii="Calibri" w:hAnsi="Calibri"/>
          <w:b/>
          <w:color w:val="1F4D78"/>
        </w:rPr>
        <w:t xml:space="preserve">Build: </w:t>
      </w:r>
      <w:r>
        <w:rPr>
          <w:rFonts w:ascii="Calibri" w:hAnsi="Calibri"/>
        </w:rPr>
        <w:t>Build a responsive composition with portrait and identity header; health, armor class, movement, initiative and proficiency summary; prominent six-attribute cards with modifiers; tabbed or sectioned abilities, actions, spells, equipment and biography; and a compact status area for conditions and resources. Use the project's visual tokens, preserve semantic HTML, provide keyboard navigation and make loading/empty/error states visually consistent.</w:t>
      </w:r>
    </w:p>
    <w:p>
      <w:pPr>
        <w:pStyle w:val="ListBullet"/>
      </w:pPr>
      <w:r>
        <w:rPr>
          <w:rFonts w:ascii="Calibri" w:hAnsi="Calibri"/>
          <w:b/>
          <w:color w:val="1F4D78"/>
        </w:rPr>
        <w:t xml:space="preserve">Primary owners: </w:t>
      </w:r>
      <w:r>
        <w:rPr>
          <w:rFonts w:ascii="Calibri" w:hAnsi="Calibri"/>
        </w:rPr>
        <w:t>The existing character route, page components, design tokens/styles and focused component/accessibility tests. Consume Slice 4's read model; do not calculate rules in the UI.</w:t>
      </w:r>
    </w:p>
    <w:p>
      <w:pPr>
        <w:pStyle w:val="ListBullet"/>
      </w:pPr>
      <w:r>
        <w:rPr>
          <w:rFonts w:ascii="Calibri" w:hAnsi="Calibri"/>
          <w:b/>
          <w:color w:val="1F4D78"/>
        </w:rPr>
        <w:t xml:space="preserve">Done when: </w:t>
      </w:r>
      <w:r>
        <w:rPr>
          <w:rFonts w:ascii="Calibri" w:hAnsi="Calibri"/>
        </w:rPr>
        <w:t>Desktop and narrow-width screenshots show a coherent hierarchy; all controls work by keyboard; attributes, combat summary and section data match the projection; no layout shift when optional sections are absent.</w:t>
      </w:r>
    </w:p>
    <w:p>
      <w:pPr>
        <w:pStyle w:val="ListBullet"/>
      </w:pPr>
      <w:r>
        <w:rPr>
          <w:rFonts w:ascii="Calibri" w:hAnsi="Calibri"/>
          <w:b/>
          <w:color w:val="1F4D78"/>
        </w:rPr>
        <w:t xml:space="preserve">Stop gate / rollback: </w:t>
      </w:r>
      <w:r>
        <w:rPr>
          <w:rFonts w:ascii="Calibri" w:hAnsi="Calibri"/>
        </w:rPr>
        <w:t>Keep the old character view behind a reversible route/feature boundary until acceptance. A new public route or permanent UI preference needs confirmation.</w:t>
      </w:r>
    </w:p>
    <w:p>
      <w:pPr>
        <w:pStyle w:val="Heading2"/>
      </w:pPr>
      <w:r>
        <w:t>Slice 6 - Add nested inventory and gold</w:t>
      </w:r>
    </w:p>
    <w:p>
      <w:pPr>
        <w:pStyle w:val="ListBullet"/>
      </w:pPr>
      <w:r>
        <w:rPr>
          <w:rFonts w:ascii="Calibri" w:hAnsi="Calibri"/>
          <w:b/>
          <w:color w:val="1F4D78"/>
        </w:rPr>
        <w:t xml:space="preserve">Goal: </w:t>
      </w:r>
      <w:r>
        <w:rPr>
          <w:rFonts w:ascii="Calibri" w:hAnsi="Calibri"/>
        </w:rPr>
        <w:t>Make containers readable as collapsible list headers and expose currency in the same inventory experience.</w:t>
      </w:r>
    </w:p>
    <w:p>
      <w:pPr>
        <w:pStyle w:val="ListBullet"/>
      </w:pPr>
      <w:r>
        <w:rPr>
          <w:rFonts w:ascii="Calibri" w:hAnsi="Calibri"/>
          <w:b/>
          <w:color w:val="1F4D78"/>
        </w:rPr>
        <w:t xml:space="preserve">Build: </w:t>
      </w:r>
      <w:r>
        <w:rPr>
          <w:rFonts w:ascii="Calibri" w:hAnsi="Calibri"/>
        </w:rPr>
        <w:t>Render inventory as a recursive tree. A container is a collapsible header followed by its child list; ordinary items remain rows. Show quantity, equipped state, weight and value only when authoritative data exists. Persist expansion state only for the current page session unless a durable preference is approved. Show gold and other supported denominations from the character wallet, with a clear zero state. Detect cycles and orphaned parent references and surface them in diagnostics.</w:t>
      </w:r>
    </w:p>
    <w:p>
      <w:pPr>
        <w:pStyle w:val="ListBullet"/>
      </w:pPr>
      <w:r>
        <w:rPr>
          <w:rFonts w:ascii="Calibri" w:hAnsi="Calibri"/>
          <w:b/>
          <w:color w:val="1F4D78"/>
        </w:rPr>
        <w:t xml:space="preserve">Primary owners: </w:t>
      </w:r>
      <w:r>
        <w:rPr>
          <w:rFonts w:ascii="Calibri" w:hAnsi="Calibri"/>
        </w:rPr>
        <w:t>Slice 4's character read model, the existing inventory component, accessibility styles and inventory fixtures/tests.</w:t>
      </w:r>
    </w:p>
    <w:p>
      <w:pPr>
        <w:pStyle w:val="ListBullet"/>
      </w:pPr>
      <w:r>
        <w:rPr>
          <w:rFonts w:ascii="Calibri" w:hAnsi="Calibri"/>
          <w:b/>
          <w:color w:val="1F4D78"/>
        </w:rPr>
        <w:t xml:space="preserve">Done when: </w:t>
      </w:r>
      <w:r>
        <w:rPr>
          <w:rFonts w:ascii="Calibri" w:hAnsi="Calibri"/>
        </w:rPr>
        <w:t>Three-level nesting expands and collapses correctly; keyboard and screen-reader semantics are valid; empty containers, deep nesting, cycles and orphaned items are covered; gold is correct and visible; no item is duplicated or lost.</w:t>
      </w:r>
    </w:p>
    <w:p>
      <w:pPr>
        <w:pStyle w:val="ListBullet"/>
      </w:pPr>
      <w:r>
        <w:rPr>
          <w:rFonts w:ascii="Calibri" w:hAnsi="Calibri"/>
          <w:b/>
          <w:color w:val="1F4D78"/>
        </w:rPr>
        <w:t xml:space="preserve">Stop gate / rollback: </w:t>
      </w:r>
      <w:r>
        <w:rPr>
          <w:rFonts w:ascii="Calibri" w:hAnsi="Calibri"/>
        </w:rPr>
        <w:t>Do not infer container contents from display order. Roll back the recursive renderer independently while preserving the projection improvements.</w:t>
      </w:r>
    </w:p>
    <w:p>
      <w:pPr>
        <w:pStyle w:val="Heading2"/>
      </w:pPr>
      <w:r>
        <w:t>Slice 7 - Create the deterministic tactical combat board</w:t>
      </w:r>
    </w:p>
    <w:p>
      <w:pPr>
        <w:pStyle w:val="ListBullet"/>
      </w:pPr>
      <w:r>
        <w:rPr>
          <w:rFonts w:ascii="Calibri" w:hAnsi="Calibri"/>
          <w:b/>
          <w:color w:val="1F4D78"/>
        </w:rPr>
        <w:t xml:space="preserve">Goal: </w:t>
      </w:r>
      <w:r>
        <w:rPr>
          <w:rFonts w:ascii="Calibri" w:hAnsi="Calibri"/>
        </w:rPr>
        <w:t>Provide a playable square-grid encounter map before adding generated artwork.</w:t>
      </w:r>
    </w:p>
    <w:p>
      <w:pPr>
        <w:pStyle w:val="ListBullet"/>
      </w:pPr>
      <w:r>
        <w:rPr>
          <w:rFonts w:ascii="Calibri" w:hAnsi="Calibri"/>
          <w:b/>
          <w:color w:val="1F4D78"/>
        </w:rPr>
        <w:t xml:space="preserve">Build: </w:t>
      </w:r>
      <w:r>
        <w:rPr>
          <w:rFonts w:ascii="Calibri" w:hAnsi="Calibri"/>
        </w:rPr>
        <w:t>Define or reuse an encounter-board projection containing grid size, cell scale, terrain/obstacles, token positions, visibility metadata and a revision. Render a square grid with obstacle layers, allies, enemies and selectable cells. Use button-only zoom, drag or keyboard pan, token selection and clear movement/range highlighting. Seed a deterministic fallback layout from encounter identity so tests and replays are stable.</w:t>
      </w:r>
    </w:p>
    <w:p>
      <w:pPr>
        <w:pStyle w:val="ListBullet"/>
      </w:pPr>
      <w:r>
        <w:rPr>
          <w:rFonts w:ascii="Calibri" w:hAnsi="Calibri"/>
          <w:b/>
          <w:color w:val="1F4D78"/>
        </w:rPr>
        <w:t xml:space="preserve">Primary owners: </w:t>
      </w:r>
      <w:r>
        <w:rPr>
          <w:rFonts w:ascii="Calibri" w:hAnsi="Calibri"/>
        </w:rPr>
        <w:t>The current encounter/combat application owner, generic effect/event storage, web combat route, catalog encounter mechanics and focused replay/UI tests. New persistent IDs or schemas require confirmation.</w:t>
      </w:r>
    </w:p>
    <w:p>
      <w:pPr>
        <w:pStyle w:val="ListBullet"/>
      </w:pPr>
      <w:r>
        <w:rPr>
          <w:rFonts w:ascii="Calibri" w:hAnsi="Calibri"/>
          <w:b/>
          <w:color w:val="1F4D78"/>
        </w:rPr>
        <w:t xml:space="preserve">Done when: </w:t>
      </w:r>
      <w:r>
        <w:rPr>
          <w:rFonts w:ascii="Calibri" w:hAnsi="Calibri"/>
        </w:rPr>
        <w:t>A sample encounter loads the same board on replay; tokens and obstacles align to cells; audience-safe visibility is enforced; the board remains usable with no image service; pointer and keyboard interaction pass focused tests.</w:t>
      </w:r>
    </w:p>
    <w:p>
      <w:pPr>
        <w:pStyle w:val="ListBullet"/>
      </w:pPr>
      <w:r>
        <w:rPr>
          <w:rFonts w:ascii="Calibri" w:hAnsi="Calibri"/>
          <w:b/>
          <w:color w:val="1F4D78"/>
        </w:rPr>
        <w:t xml:space="preserve">Stop gate / rollback: </w:t>
      </w:r>
      <w:r>
        <w:rPr>
          <w:rFonts w:ascii="Calibri" w:hAnsi="Calibri"/>
        </w:rPr>
        <w:t>Do not let the image generator own grid truth, collision, cover, movement or visibility. If persistence is not approved, leave the board behind a non-persistent preview boundary, record the gate, and continue safe work.</w:t>
      </w:r>
    </w:p>
    <w:p>
      <w:pPr>
        <w:pStyle w:val="Heading2"/>
      </w:pPr>
      <w:r>
        <w:t>Slice 8 - Add generated combat-map backgrounds</w:t>
      </w:r>
    </w:p>
    <w:p>
      <w:pPr>
        <w:pStyle w:val="ListBullet"/>
      </w:pPr>
      <w:r>
        <w:rPr>
          <w:rFonts w:ascii="Calibri" w:hAnsi="Calibri"/>
          <w:b/>
          <w:color w:val="1F4D78"/>
        </w:rPr>
        <w:t xml:space="preserve">Goal: </w:t>
      </w:r>
      <w:r>
        <w:rPr>
          <w:rFonts w:ascii="Calibri" w:hAnsi="Calibri"/>
        </w:rPr>
        <w:t>Enrich the tactical board with generated art while keeping structured state authoritative.</w:t>
      </w:r>
    </w:p>
    <w:p>
      <w:pPr>
        <w:pStyle w:val="ListBullet"/>
      </w:pPr>
      <w:r>
        <w:rPr>
          <w:rFonts w:ascii="Calibri" w:hAnsi="Calibri"/>
          <w:b/>
          <w:color w:val="1F4D78"/>
        </w:rPr>
        <w:t xml:space="preserve">Build: </w:t>
      </w:r>
      <w:r>
        <w:rPr>
          <w:rFonts w:ascii="Calibri" w:hAnsi="Calibri"/>
        </w:rPr>
        <w:t>Generate a top-down background from a sanitized encounter brief and the structured obstacle plan. Store provenance, prompt version, dimensions and the encounter-board revision used. Overlay the authoritative grid, tokens and obstacle geometry in the client. Provide GM preview, regenerate, accept and reject actions. While generation is pending or failed, keep the deterministic fallback board playable. Cache accepted assets and avoid regenerating unchanged encounters.</w:t>
      </w:r>
    </w:p>
    <w:p>
      <w:pPr>
        <w:pStyle w:val="ListBullet"/>
      </w:pPr>
      <w:r>
        <w:rPr>
          <w:rFonts w:ascii="Calibri" w:hAnsi="Calibri"/>
          <w:b/>
          <w:color w:val="1F4D78"/>
        </w:rPr>
        <w:t xml:space="preserve">Primary owners: </w:t>
      </w:r>
      <w:r>
        <w:rPr>
          <w:rFonts w:ascii="Calibri" w:hAnsi="Calibri"/>
        </w:rPr>
        <w:t>Existing visual-media capability, audience-safe media projection, encounter board from Slice 7, GM controls and media lifecycle tests.</w:t>
      </w:r>
    </w:p>
    <w:p>
      <w:pPr>
        <w:pStyle w:val="ListBullet"/>
      </w:pPr>
      <w:r>
        <w:rPr>
          <w:rFonts w:ascii="Calibri" w:hAnsi="Calibri"/>
          <w:b/>
          <w:color w:val="1F4D78"/>
        </w:rPr>
        <w:t xml:space="preserve">Done when: </w:t>
      </w:r>
      <w:r>
        <w:rPr>
          <w:rFonts w:ascii="Calibri" w:hAnsi="Calibri"/>
        </w:rPr>
        <w:t>Generation never blocks combat; accepted art aligns with the grid; stale images are rejected on revision mismatch; players cannot see GM-only prompt details; failures fall back cleanly; accepted media can be reproduced or audited.</w:t>
      </w:r>
    </w:p>
    <w:p>
      <w:pPr>
        <w:pStyle w:val="ListBullet"/>
      </w:pPr>
      <w:r>
        <w:rPr>
          <w:rFonts w:ascii="Calibri" w:hAnsi="Calibri"/>
          <w:b/>
          <w:color w:val="1F4D78"/>
        </w:rPr>
        <w:t xml:space="preserve">Stop gate / rollback: </w:t>
      </w:r>
      <w:r>
        <w:rPr>
          <w:rFonts w:ascii="Calibri" w:hAnsi="Calibri"/>
        </w:rPr>
        <w:t>AI output cannot self-confirm canon or game state. New media kind, persistent workflow state or external-provider contract requires confirmation. Rejecting an image must not change the encounter board.</w:t>
      </w:r>
    </w:p>
    <w:p>
      <w:pPr>
        <w:pStyle w:val="Heading2"/>
      </w:pPr>
      <w:r>
        <w:t>Slice 9 - Run full acceptance and release safely</w:t>
      </w:r>
    </w:p>
    <w:p>
      <w:pPr>
        <w:pStyle w:val="ListBullet"/>
      </w:pPr>
      <w:r>
        <w:rPr>
          <w:rFonts w:ascii="Calibri" w:hAnsi="Calibri"/>
          <w:b/>
          <w:color w:val="1F4D78"/>
        </w:rPr>
        <w:t xml:space="preserve">Goal: </w:t>
      </w:r>
      <w:r>
        <w:rPr>
          <w:rFonts w:ascii="Calibri" w:hAnsi="Calibri"/>
        </w:rPr>
        <w:t>Prove the complete upgrade on real data, then publish it with a clear rollback boundary.</w:t>
      </w:r>
    </w:p>
    <w:p>
      <w:pPr>
        <w:pStyle w:val="ListBullet"/>
      </w:pPr>
      <w:r>
        <w:rPr>
          <w:rFonts w:ascii="Calibri" w:hAnsi="Calibri"/>
          <w:b/>
          <w:color w:val="1F4D78"/>
        </w:rPr>
        <w:t xml:space="preserve">Build: </w:t>
      </w:r>
      <w:r>
        <w:rPr>
          <w:rFonts w:ascii="Calibri" w:hAnsi="Calibri"/>
        </w:rPr>
        <w:t>Run an exploratory pass for remaining problems: broken links, console errors, duplicate network calls, inaccessible controls, layout overflow, stale data after navigation, oversized payloads, unsafe audience leakage and missing mobile states. Fix only release-blocking findings inside the approved slices; record larger discoveries as follow-up slices. Run focused tests, catalog validation when catalog files changed, the full solution suite, and the protocol walk only when MCP surface or registration changed. Verify the exact configured live listener and capture character, inventory, maps and combat evidence.</w:t>
      </w:r>
    </w:p>
    <w:p>
      <w:pPr>
        <w:pStyle w:val="ListBullet"/>
      </w:pPr>
      <w:r>
        <w:rPr>
          <w:rFonts w:ascii="Calibri" w:hAnsi="Calibri"/>
          <w:b/>
          <w:color w:val="1F4D78"/>
        </w:rPr>
        <w:t xml:space="preserve">Primary owners: </w:t>
      </w:r>
      <w:r>
        <w:rPr>
          <w:rFonts w:ascii="Calibri" w:hAnsi="Calibri"/>
        </w:rPr>
        <w:t>All owners touched by Slices 1-8, end-to-end browser checks, catalog validator, solution test suite and the existing deployment/run instructions.</w:t>
      </w:r>
    </w:p>
    <w:p>
      <w:pPr>
        <w:pStyle w:val="ListBullet"/>
      </w:pPr>
      <w:r>
        <w:rPr>
          <w:rFonts w:ascii="Calibri" w:hAnsi="Calibri"/>
          <w:b/>
          <w:color w:val="1F4D78"/>
        </w:rPr>
        <w:t xml:space="preserve">Done when: </w:t>
      </w:r>
      <w:r>
        <w:rPr>
          <w:rFonts w:ascii="Calibri" w:hAnsi="Calibri"/>
        </w:rPr>
        <w:t>No V1 attribute labels; character data is stable; nested inventory and gold work; map zoom is button-only; measured performance is improved; combat fallback and generated-art workflow both work; accessibility and audience checks pass; all required suites report their exit summaries.</w:t>
      </w:r>
    </w:p>
    <w:p>
      <w:pPr>
        <w:pStyle w:val="ListBullet"/>
      </w:pPr>
      <w:r>
        <w:rPr>
          <w:rFonts w:ascii="Calibri" w:hAnsi="Calibri"/>
          <w:b/>
          <w:color w:val="1F4D78"/>
        </w:rPr>
        <w:t xml:space="preserve">Stop gate / rollback: </w:t>
      </w:r>
      <w:r>
        <w:rPr>
          <w:rFonts w:ascii="Calibri" w:hAnsi="Calibri"/>
        </w:rPr>
        <w:t>Do not call the release complete when only focused tests pass. Preserve the previous deployable website revision and data backup. On regression, restore the previous web revision without rolling back authoritative live game data.</w:t>
      </w:r>
    </w:p>
    <w:p>
      <w:pPr>
        <w:pStyle w:val="Heading1"/>
      </w:pPr>
      <w:r>
        <w:t>Completion response format</w:t>
      </w:r>
    </w:p>
    <w:p>
      <w:pPr>
        <w:pStyle w:val="ListBullet"/>
      </w:pPr>
      <w:r>
        <w:rPr>
          <w:rFonts w:ascii="Calibri" w:hAnsi="Calibri"/>
        </w:rPr>
        <w:t>Slice completed and delivered boundary.</w:t>
      </w:r>
    </w:p>
    <w:p>
      <w:pPr>
        <w:pStyle w:val="ListBullet"/>
      </w:pPr>
      <w:r>
        <w:rPr>
          <w:rFonts w:ascii="Calibri" w:hAnsi="Calibri"/>
        </w:rPr>
        <w:t>Files changed and why.</w:t>
      </w:r>
    </w:p>
    <w:p>
      <w:pPr>
        <w:pStyle w:val="ListBullet"/>
      </w:pPr>
      <w:r>
        <w:rPr>
          <w:rFonts w:ascii="Calibri" w:hAnsi="Calibri"/>
        </w:rPr>
        <w:t>Focused test commands and exit results.</w:t>
      </w:r>
    </w:p>
    <w:p>
      <w:pPr>
        <w:pStyle w:val="ListBullet"/>
      </w:pPr>
      <w:r>
        <w:rPr>
          <w:rFonts w:ascii="Calibri" w:hAnsi="Calibri"/>
        </w:rPr>
        <w:t>Live listener or screenshot evidence.</w:t>
      </w:r>
    </w:p>
    <w:p>
      <w:pPr>
        <w:pStyle w:val="ListBullet"/>
      </w:pPr>
      <w:r>
        <w:rPr>
          <w:rFonts w:ascii="Calibri" w:hAnsi="Calibri"/>
        </w:rPr>
        <w:t>Deliberate exclusions, remaining risks and rollback point.</w:t>
      </w:r>
    </w:p>
    <w:p>
      <w:pPr>
        <w:pStyle w:val="ListBullet"/>
      </w:pPr>
      <w:r>
        <w:rPr>
          <w:rFonts w:ascii="Calibri" w:hAnsi="Calibri"/>
        </w:rPr>
        <w:t>Any confirmation-gated subchange postponed while the remaining safe work continued.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B78"/>
        <w:sz w:val="18"/>
      </w:rPr>
      <w:t xml:space="preserve">Page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DANTESROLEPLAY  |  SOL IMPLEMENTATION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