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center"/>
      </w:pPr>
      <w:r>
        <w:rPr>
          <w:rFonts w:ascii="Arial" w:hAnsi="Arial" w:eastAsia="Arial"/>
          <w:b/>
          <w:color w:val="17365D"/>
          <w:sz w:val="36"/>
        </w:rPr>
        <w:t>SIEMPRE CERCA</w:t>
      </w:r>
    </w:p>
    <w:p>
      <w:pPr>
        <w:spacing w:after="40"/>
        <w:jc w:val="center"/>
      </w:pPr>
      <w:r>
        <w:rPr>
          <w:rFonts w:ascii="Arial" w:hAnsi="Arial" w:eastAsia="Arial"/>
          <w:b/>
          <w:color w:val="2F5597"/>
          <w:sz w:val="30"/>
        </w:rPr>
        <w:t>REGISTRO DAILY MEETING — SPRINT 2</w:t>
      </w:r>
    </w:p>
    <w:p>
      <w:pPr>
        <w:spacing w:after="200"/>
        <w:jc w:val="center"/>
      </w:pPr>
      <w:r>
        <w:rPr>
          <w:rFonts w:ascii="Arial" w:hAnsi="Arial" w:eastAsia="Arial"/>
          <w:b w:val="0"/>
          <w:color w:val="666666"/>
          <w:sz w:val="19"/>
        </w:rPr>
        <w:t>Proyecto Capstone | Ingeniería en Informática | Duoc UC</w:t>
      </w:r>
    </w:p>
    <w:p>
      <w:pPr>
        <w:spacing w:before="160" w:after="100"/>
      </w:pPr>
      <w:r>
        <w:rPr>
          <w:rFonts w:ascii="Arial" w:hAnsi="Arial" w:eastAsia="Arial"/>
          <w:b/>
          <w:color w:val="17365D"/>
          <w:sz w:val="26"/>
        </w:rPr>
        <w:t>1. Antecedentes del Sprint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D9EAF7"/>
          </w:tcPr>
          <w:p>
            <w:r>
              <w:rPr>
                <w:rFonts w:ascii="Arial" w:hAnsi="Arial" w:eastAsia="Arial"/>
                <w:b/>
                <w:color w:val="17365D"/>
                <w:sz w:val="19"/>
              </w:rPr>
              <w:t>Proyecto</w:t>
            </w:r>
          </w:p>
        </w:tc>
        <w:tc>
          <w:tcPr>
            <w:tcW w:type="dxa" w:w="82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222222"/>
                <w:sz w:val="19"/>
              </w:rPr>
              <w:t>Siempre Cerca</w:t>
            </w:r>
          </w:p>
        </w:tc>
      </w:tr>
      <w:tr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D9EAF7"/>
          </w:tcPr>
          <w:p>
            <w:r>
              <w:rPr>
                <w:rFonts w:ascii="Arial" w:hAnsi="Arial" w:eastAsia="Arial"/>
                <w:b/>
                <w:color w:val="17365D"/>
                <w:sz w:val="19"/>
              </w:rPr>
              <w:t>Sprint</w:t>
            </w:r>
          </w:p>
        </w:tc>
        <w:tc>
          <w:tcPr>
            <w:tcW w:type="dxa" w:w="82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222222"/>
                <w:sz w:val="19"/>
              </w:rPr>
              <w:t>Sprint 2</w:t>
            </w:r>
          </w:p>
        </w:tc>
      </w:tr>
      <w:tr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D9EAF7"/>
          </w:tcPr>
          <w:p>
            <w:r>
              <w:rPr>
                <w:rFonts w:ascii="Arial" w:hAnsi="Arial" w:eastAsia="Arial"/>
                <w:b/>
                <w:color w:val="17365D"/>
                <w:sz w:val="19"/>
              </w:rPr>
              <w:t>Foco</w:t>
            </w:r>
          </w:p>
        </w:tc>
        <w:tc>
          <w:tcPr>
            <w:tcW w:type="dxa" w:w="82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222222"/>
                <w:sz w:val="19"/>
              </w:rPr>
              <w:t>Vinculación entre adulto mayor y cuidador, geolocalización y visualización de ubicación.</w:t>
            </w:r>
          </w:p>
        </w:tc>
      </w:tr>
      <w:tr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D9EAF7"/>
          </w:tcPr>
          <w:p>
            <w:r>
              <w:rPr>
                <w:rFonts w:ascii="Arial" w:hAnsi="Arial" w:eastAsia="Arial"/>
                <w:b/>
                <w:color w:val="17365D"/>
                <w:sz w:val="19"/>
              </w:rPr>
              <w:t>Fecha</w:t>
            </w:r>
          </w:p>
        </w:tc>
        <w:tc>
          <w:tcPr>
            <w:tcW w:type="dxa" w:w="82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222222"/>
                <w:sz w:val="19"/>
              </w:rPr>
              <w:t>La fecha exacta de cada Daily Meeting no se encuentra registrada en el informe. El informe general registra el Sprint Planning del Sprint 2 para el 29 de septiembre de 2026.</w:t>
            </w:r>
          </w:p>
        </w:tc>
      </w:tr>
      <w:tr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D9EAF7"/>
          </w:tcPr>
          <w:p>
            <w:r>
              <w:rPr>
                <w:rFonts w:ascii="Arial" w:hAnsi="Arial" w:eastAsia="Arial"/>
                <w:b/>
                <w:color w:val="17365D"/>
                <w:sz w:val="19"/>
              </w:rPr>
              <w:t>Modalidad</w:t>
            </w:r>
          </w:p>
        </w:tc>
        <w:tc>
          <w:tcPr>
            <w:tcW w:type="dxa" w:w="82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222222"/>
                <w:sz w:val="19"/>
              </w:rPr>
              <w:t>El informe indica reuniones de seguimiento, pero no especifica el medio o plataforma utilizada para estas Daily Meetings.</w:t>
            </w:r>
          </w:p>
        </w:tc>
      </w:tr>
      <w:tr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D9EAF7"/>
          </w:tcPr>
          <w:p>
            <w:r>
              <w:rPr>
                <w:rFonts w:ascii="Arial" w:hAnsi="Arial" w:eastAsia="Arial"/>
                <w:b/>
                <w:color w:val="17365D"/>
                <w:sz w:val="19"/>
              </w:rPr>
              <w:t>Horas</w:t>
            </w:r>
          </w:p>
        </w:tc>
        <w:tc>
          <w:tcPr>
            <w:tcW w:type="dxa" w:w="82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222222"/>
                <w:sz w:val="19"/>
              </w:rPr>
              <w:t>50 horas estimadas y distribuidas retrospectivamente en las Daily Meetings.</w:t>
            </w:r>
          </w:p>
        </w:tc>
      </w:tr>
    </w:tbl>
    <w:p>
      <w:pPr>
        <w:spacing w:after="20"/>
      </w:pPr>
    </w:p>
    <w:p>
      <w:pPr>
        <w:spacing w:before="160" w:after="100"/>
      </w:pPr>
      <w:r>
        <w:rPr>
          <w:rFonts w:ascii="Arial" w:hAnsi="Arial" w:eastAsia="Arial"/>
          <w:b/>
          <w:color w:val="17365D"/>
          <w:sz w:val="26"/>
        </w:rPr>
        <w:t>2. Participantes</w:t>
      </w:r>
    </w:p>
    <w:p>
      <w:pPr>
        <w:pStyle w:val="ListBullet"/>
        <w:spacing w:after="40"/>
        <w:ind w:left="288"/>
      </w:pPr>
      <w:r>
        <w:rPr>
          <w:rFonts w:ascii="Arial" w:hAnsi="Arial" w:eastAsia="Arial"/>
          <w:b w:val="0"/>
          <w:color w:val="222222"/>
          <w:sz w:val="19"/>
        </w:rPr>
        <w:t>Melanie Scarlett Ortiz Fernández — Product Owner</w:t>
      </w:r>
    </w:p>
    <w:p>
      <w:pPr>
        <w:pStyle w:val="ListBullet"/>
        <w:spacing w:after="40"/>
        <w:ind w:left="288"/>
      </w:pPr>
      <w:r>
        <w:rPr>
          <w:rFonts w:ascii="Arial" w:hAnsi="Arial" w:eastAsia="Arial"/>
          <w:b w:val="0"/>
          <w:color w:val="222222"/>
          <w:sz w:val="19"/>
        </w:rPr>
        <w:t>Paul Andrés Hidalgo Vásquez — Scrum Master / Development Team</w:t>
      </w:r>
    </w:p>
    <w:p>
      <w:pPr>
        <w:pStyle w:val="ListBullet"/>
        <w:spacing w:after="40"/>
        <w:ind w:left="288"/>
      </w:pPr>
      <w:r>
        <w:rPr>
          <w:rFonts w:ascii="Arial" w:hAnsi="Arial" w:eastAsia="Arial"/>
          <w:b w:val="0"/>
          <w:color w:val="222222"/>
          <w:sz w:val="19"/>
        </w:rPr>
        <w:t>Héctor Patricio Cornejo Moya — Development Team</w:t>
      </w:r>
    </w:p>
    <w:p>
      <w:pPr>
        <w:pStyle w:val="ListBullet"/>
        <w:spacing w:after="40"/>
        <w:ind w:left="288"/>
      </w:pPr>
      <w:r>
        <w:rPr>
          <w:rFonts w:ascii="Arial" w:hAnsi="Arial" w:eastAsia="Arial"/>
          <w:b w:val="0"/>
          <w:color w:val="222222"/>
          <w:sz w:val="19"/>
        </w:rPr>
        <w:t>Angel Gabriel Rengifo Blanco — Development Team</w:t>
      </w:r>
    </w:p>
    <w:p>
      <w:pPr>
        <w:spacing w:after="140"/>
      </w:pPr>
      <w:r>
        <w:rPr>
          <w:rFonts w:ascii="Arial" w:hAnsi="Arial" w:eastAsia="Arial"/>
          <w:b/>
          <w:color w:val="17365D"/>
          <w:sz w:val="19"/>
        </w:rPr>
        <w:t xml:space="preserve">Objetivo de las reuniones: </w:t>
      </w:r>
      <w:r>
        <w:rPr>
          <w:rFonts w:ascii="Arial" w:hAnsi="Arial" w:eastAsia="Arial"/>
          <w:b w:val="0"/>
          <w:color w:val="222222"/>
          <w:sz w:val="19"/>
        </w:rPr>
        <w:t>revisar el avance de las actividades del Sprint, identificar impedimentos y mantener coordinado al equipo respecto del trabajo en curso.</w:t>
      </w:r>
    </w:p>
    <w:p>
      <w:pPr>
        <w:spacing w:before="160" w:after="100"/>
      </w:pPr>
      <w:r>
        <w:rPr>
          <w:rFonts w:ascii="Arial" w:hAnsi="Arial" w:eastAsia="Arial"/>
          <w:b/>
          <w:color w:val="17365D"/>
          <w:sz w:val="26"/>
        </w:rPr>
        <w:t>3. Registro de Daily Meetings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556"/>
            <w:shd w:fill="2F5597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Jornada</w:t>
            </w:r>
          </w:p>
        </w:tc>
        <w:tc>
          <w:tcPr>
            <w:tcW w:type="dxa" w:w="2556"/>
            <w:shd w:fill="2F5597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Trabajo realizado / avance revisado</w:t>
            </w:r>
          </w:p>
        </w:tc>
        <w:tc>
          <w:tcPr>
            <w:tcW w:type="dxa" w:w="2556"/>
            <w:shd w:fill="2F5597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Horas</w:t>
            </w:r>
          </w:p>
        </w:tc>
        <w:tc>
          <w:tcPr>
            <w:tcW w:type="dxa" w:w="2556"/>
            <w:shd w:fill="2F5597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Impedimentos / observaciones</w:t>
            </w:r>
          </w:p>
        </w:tc>
      </w:tr>
      <w:tr>
        <w:trPr>
          <w:cantSplit/>
        </w:trPr>
        <w:tc>
          <w:tcPr>
            <w:tcW w:type="dxa" w:w="1037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222222"/>
                <w:sz w:val="17"/>
              </w:rPr>
              <w:t>Día 1</w:t>
            </w:r>
          </w:p>
        </w:tc>
        <w:tc>
          <w:tcPr>
            <w:tcW w:type="dxa" w:w="5688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rFonts w:ascii="Arial" w:hAnsi="Arial" w:eastAsia="Arial"/>
                <w:b w:val="0"/>
                <w:color w:val="222222"/>
                <w:sz w:val="17"/>
              </w:rPr>
              <w:t>Diseño del flujo de vinculación, implementación del código/QR, validación de datos e inicio del registro de la vinculación entre cuidador y adulto mayor.</w:t>
            </w:r>
          </w:p>
        </w:tc>
        <w:tc>
          <w:tcPr>
            <w:tcW w:type="dxa" w:w="936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222222"/>
                <w:sz w:val="17"/>
              </w:rPr>
              <w:t>9</w:t>
            </w:r>
          </w:p>
        </w:tc>
        <w:tc>
          <w:tcPr>
            <w:tcW w:type="dxa" w:w="3096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rFonts w:ascii="Arial" w:hAnsi="Arial" w:eastAsia="Arial"/>
                <w:b w:val="0"/>
                <w:color w:val="222222"/>
                <w:sz w:val="17"/>
              </w:rPr>
              <w:t>Ninguno</w:t>
            </w:r>
          </w:p>
        </w:tc>
      </w:tr>
      <w:tr>
        <w:trPr>
          <w:cantSplit/>
        </w:trPr>
        <w:tc>
          <w:tcPr>
            <w:tcW w:type="dxa" w:w="1037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  <w:shd w:fill="F7F9FC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222222"/>
                <w:sz w:val="17"/>
              </w:rPr>
              <w:t>Día 2</w:t>
            </w:r>
          </w:p>
        </w:tc>
        <w:tc>
          <w:tcPr>
            <w:tcW w:type="dxa" w:w="5688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  <w:shd w:fill="F7F9FC"/>
          </w:tcPr>
          <w:p>
            <w:r>
              <w:rPr>
                <w:rFonts w:ascii="Arial" w:hAnsi="Arial" w:eastAsia="Arial"/>
                <w:b w:val="0"/>
                <w:color w:val="222222"/>
                <w:sz w:val="17"/>
              </w:rPr>
              <w:t>Finalización del registro de vinculación, pruebas del proceso, diseño e implementación de la solicitud de vinculación y validación de la asociación entre usuarios.</w:t>
            </w:r>
          </w:p>
        </w:tc>
        <w:tc>
          <w:tcPr>
            <w:tcW w:type="dxa" w:w="936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  <w:shd w:fill="F7F9FC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222222"/>
                <w:sz w:val="17"/>
              </w:rPr>
              <w:t>11</w:t>
            </w:r>
          </w:p>
        </w:tc>
        <w:tc>
          <w:tcPr>
            <w:tcW w:type="dxa" w:w="3096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  <w:shd w:fill="F7F9FC"/>
          </w:tcPr>
          <w:p>
            <w:r>
              <w:rPr>
                <w:rFonts w:ascii="Arial" w:hAnsi="Arial" w:eastAsia="Arial"/>
                <w:b w:val="0"/>
                <w:color w:val="222222"/>
                <w:sz w:val="17"/>
              </w:rPr>
              <w:t>Ninguno</w:t>
            </w:r>
          </w:p>
        </w:tc>
      </w:tr>
      <w:tr>
        <w:trPr>
          <w:cantSplit/>
        </w:trPr>
        <w:tc>
          <w:tcPr>
            <w:tcW w:type="dxa" w:w="1037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222222"/>
                <w:sz w:val="17"/>
              </w:rPr>
              <w:t>Día 3</w:t>
            </w:r>
          </w:p>
        </w:tc>
        <w:tc>
          <w:tcPr>
            <w:tcW w:type="dxa" w:w="5688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rFonts w:ascii="Arial" w:hAnsi="Arial" w:eastAsia="Arial"/>
                <w:b w:val="0"/>
                <w:color w:val="222222"/>
                <w:sz w:val="17"/>
              </w:rPr>
              <w:t>Finalización de pruebas de vinculación, solicitud de permisos de ubicación, obtención de latitud y longitud, visualización de ubicación actual e inicio de la funcionalidad para compartir ubicación.</w:t>
            </w:r>
          </w:p>
        </w:tc>
        <w:tc>
          <w:tcPr>
            <w:tcW w:type="dxa" w:w="936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222222"/>
                <w:sz w:val="17"/>
              </w:rPr>
              <w:t>12</w:t>
            </w:r>
          </w:p>
        </w:tc>
        <w:tc>
          <w:tcPr>
            <w:tcW w:type="dxa" w:w="3096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rFonts w:ascii="Arial" w:hAnsi="Arial" w:eastAsia="Arial"/>
                <w:b w:val="0"/>
                <w:color w:val="222222"/>
                <w:sz w:val="17"/>
              </w:rPr>
              <w:t>Se observaron diferencias de precisión en algunas coordenadas obtenidas.</w:t>
            </w:r>
          </w:p>
        </w:tc>
      </w:tr>
      <w:tr>
        <w:trPr>
          <w:cantSplit/>
        </w:trPr>
        <w:tc>
          <w:tcPr>
            <w:tcW w:type="dxa" w:w="1037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  <w:shd w:fill="F7F9FC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222222"/>
                <w:sz w:val="17"/>
              </w:rPr>
              <w:t>Día 4</w:t>
            </w:r>
          </w:p>
        </w:tc>
        <w:tc>
          <w:tcPr>
            <w:tcW w:type="dxa" w:w="5688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  <w:shd w:fill="F7F9FC"/>
          </w:tcPr>
          <w:p>
            <w:r>
              <w:rPr>
                <w:rFonts w:ascii="Arial" w:hAnsi="Arial" w:eastAsia="Arial"/>
                <w:b w:val="0"/>
                <w:color w:val="222222"/>
                <w:sz w:val="17"/>
              </w:rPr>
              <w:t>Validación de permisos para compartir ubicación, actualización de coordenadas, pruebas de ubicación compartida y obtención de la ubicación del adulto mayor vinculado.</w:t>
            </w:r>
          </w:p>
        </w:tc>
        <w:tc>
          <w:tcPr>
            <w:tcW w:type="dxa" w:w="936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  <w:shd w:fill="F7F9FC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222222"/>
                <w:sz w:val="17"/>
              </w:rPr>
              <w:t>10</w:t>
            </w:r>
          </w:p>
        </w:tc>
        <w:tc>
          <w:tcPr>
            <w:tcW w:type="dxa" w:w="3096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  <w:shd w:fill="F7F9FC"/>
          </w:tcPr>
          <w:p>
            <w:r>
              <w:rPr>
                <w:rFonts w:ascii="Arial" w:hAnsi="Arial" w:eastAsia="Arial"/>
                <w:b w:val="0"/>
                <w:color w:val="222222"/>
                <w:sz w:val="17"/>
              </w:rPr>
              <w:t>Se continuó verificando la precisión de la geolocalización.</w:t>
            </w:r>
          </w:p>
        </w:tc>
      </w:tr>
      <w:tr>
        <w:trPr>
          <w:cantSplit/>
        </w:trPr>
        <w:tc>
          <w:tcPr>
            <w:tcW w:type="dxa" w:w="1037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222222"/>
                <w:sz w:val="17"/>
              </w:rPr>
              <w:t>Día 5</w:t>
            </w:r>
          </w:p>
        </w:tc>
        <w:tc>
          <w:tcPr>
            <w:tcW w:type="dxa" w:w="5688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rFonts w:ascii="Arial" w:hAnsi="Arial" w:eastAsia="Arial"/>
                <w:b w:val="0"/>
                <w:color w:val="222222"/>
                <w:sz w:val="17"/>
              </w:rPr>
              <w:t>Integración de la ubicación del adulto mayor con el mapa y pruebas de visualización y actualización desde el perfil del cuidador. Cierre de las actividades planificadas.</w:t>
            </w:r>
          </w:p>
        </w:tc>
        <w:tc>
          <w:tcPr>
            <w:tcW w:type="dxa" w:w="936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222222"/>
                <w:sz w:val="17"/>
              </w:rPr>
              <w:t>8</w:t>
            </w:r>
          </w:p>
        </w:tc>
        <w:tc>
          <w:tcPr>
            <w:tcW w:type="dxa" w:w="3096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rFonts w:ascii="Arial" w:hAnsi="Arial" w:eastAsia="Arial"/>
                <w:b w:val="0"/>
                <w:color w:val="222222"/>
                <w:sz w:val="17"/>
              </w:rPr>
              <w:t>La ubicación funciona, manteniéndose la precisión como observación técnica.</w:t>
            </w:r>
          </w:p>
        </w:tc>
      </w:tr>
    </w:tbl>
    <w:p>
      <w:pPr>
        <w:spacing w:after="20"/>
      </w:pPr>
    </w:p>
    <w:p>
      <w:pPr>
        <w:spacing w:before="160" w:after="100"/>
      </w:pPr>
      <w:r>
        <w:rPr>
          <w:rFonts w:ascii="Arial" w:hAnsi="Arial" w:eastAsia="Arial"/>
          <w:b/>
          <w:color w:val="17365D"/>
          <w:sz w:val="26"/>
        </w:rPr>
        <w:t>4. Síntesis del seguimiento</w:t>
      </w:r>
    </w:p>
    <w:p>
      <w:pPr>
        <w:pStyle w:val="ListBullet"/>
        <w:spacing w:after="40"/>
        <w:ind w:left="288"/>
      </w:pPr>
      <w:r>
        <w:rPr>
          <w:rFonts w:ascii="Arial" w:hAnsi="Arial" w:eastAsia="Arial"/>
          <w:b w:val="0"/>
          <w:color w:val="222222"/>
          <w:sz w:val="19"/>
        </w:rPr>
        <w:t>El seguimiento diario se concentró primero en la vinculación y luego en la obtención, compartición y visualización de la ubicación.</w:t>
      </w:r>
    </w:p>
    <w:p>
      <w:pPr>
        <w:pStyle w:val="ListBullet"/>
        <w:spacing w:after="40"/>
        <w:ind w:left="288"/>
      </w:pPr>
      <w:r>
        <w:rPr>
          <w:rFonts w:ascii="Arial" w:hAnsi="Arial" w:eastAsia="Arial"/>
          <w:b w:val="0"/>
          <w:color w:val="222222"/>
          <w:sz w:val="19"/>
        </w:rPr>
        <w:t>Las 20 tareas definidas para el Sprint fueron completadas y quedaron en estado Terminado.</w:t>
      </w:r>
    </w:p>
    <w:p>
      <w:pPr>
        <w:pStyle w:val="ListBullet"/>
        <w:spacing w:after="40"/>
        <w:ind w:left="288"/>
      </w:pPr>
      <w:r>
        <w:rPr>
          <w:rFonts w:ascii="Arial" w:hAnsi="Arial" w:eastAsia="Arial"/>
          <w:b w:val="0"/>
          <w:color w:val="222222"/>
          <w:sz w:val="19"/>
        </w:rPr>
        <w:t>Se identificó como principal observación técnica la precisión variable de la geolocalización.</w:t>
      </w:r>
    </w:p>
    <w:p>
      <w:pPr>
        <w:pStyle w:val="ListBullet"/>
        <w:spacing w:after="40"/>
        <w:ind w:left="288"/>
      </w:pPr>
      <w:r>
        <w:rPr>
          <w:rFonts w:ascii="Arial" w:hAnsi="Arial" w:eastAsia="Arial"/>
          <w:b w:val="0"/>
          <w:color w:val="222222"/>
          <w:sz w:val="19"/>
        </w:rPr>
        <w:t>La observación de precisión no bloqueó el funcionamiento principal ni el cierre de las tareas planificadas.</w:t>
      </w:r>
    </w:p>
    <w:p>
      <w:pPr>
        <w:spacing w:before="160" w:after="100"/>
      </w:pPr>
      <w:r>
        <w:rPr>
          <w:rFonts w:ascii="Arial" w:hAnsi="Arial" w:eastAsia="Arial"/>
          <w:b/>
          <w:color w:val="17365D"/>
          <w:sz w:val="26"/>
        </w:rPr>
        <w:t>5. Acuerdos y continuidad</w:t>
      </w:r>
    </w:p>
    <w:p>
      <w:pPr>
        <w:spacing w:after="140"/>
      </w:pPr>
      <w:r>
        <w:rPr>
          <w:rFonts w:ascii="Arial" w:hAnsi="Arial" w:eastAsia="Arial"/>
          <w:b w:val="0"/>
          <w:color w:val="222222"/>
          <w:sz w:val="19"/>
        </w:rPr>
        <w:t>Continuar realizando pruebas sobre la precisión de la geolocalización y mantener el registro de la observación técnica IMP-01 en las siguientes etapas.</w:t>
      </w:r>
    </w:p>
    <w:p>
      <w:pPr>
        <w:spacing w:before="80" w:after="0"/>
      </w:pPr>
      <w:r>
        <w:rPr>
          <w:rFonts w:ascii="Arial" w:hAnsi="Arial" w:eastAsia="Arial"/>
          <w:b/>
          <w:color w:val="666666"/>
          <w:sz w:val="17"/>
        </w:rPr>
        <w:t xml:space="preserve">Nota de respaldo: </w:t>
      </w:r>
      <w:r>
        <w:rPr>
          <w:rFonts w:ascii="Arial" w:hAnsi="Arial" w:eastAsia="Arial"/>
          <w:b w:val="0"/>
          <w:color w:val="666666"/>
          <w:sz w:val="17"/>
        </w:rPr>
        <w:t>Este documento consolida únicamente la información registrada en el informe general de Siempre Cerca. No se incorporan fechas, plataformas, actividades ni acuerdos que no estén respaldados por dicho registro.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 w:before="0" w:line="252" w:lineRule="auto"/>
      <w:jc w:val="center"/>
    </w:pPr>
    <w:r>
      <w:rPr>
        <w:rFonts w:ascii="Arial" w:hAnsi="Arial" w:eastAsia="Arial"/>
        <w:b w:val="0"/>
        <w:color w:val="7F7F7F"/>
        <w:sz w:val="16"/>
      </w:rPr>
      <w:t>Daily Meeting — Sprint 2 | Duoc UC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before="0" w:line="252" w:lineRule="auto"/>
      <w:jc w:val="right"/>
    </w:pPr>
    <w:r>
      <w:rPr>
        <w:rFonts w:ascii="Arial" w:hAnsi="Arial" w:eastAsia="Arial"/>
        <w:b/>
        <w:color w:val="6B7280"/>
        <w:sz w:val="17"/>
      </w:rPr>
      <w:t>Proyecto Capstone — Siempre Cerca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