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60"/>
          <w:szCs w:val="6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60"/>
          <w:szCs w:val="60"/>
          <w:rtl w:val="0"/>
        </w:rPr>
        <w:t xml:space="preserve">Documento de Gestión De Alcance</w:t>
      </w:r>
    </w:p>
    <w:p w:rsidR="00000000" w:rsidDel="00000000" w:rsidP="00000000" w:rsidRDefault="00000000" w:rsidRPr="00000000" w14:paraId="0000000F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i w:val="1"/>
          <w:iCs w:val="1"/>
          <w:color w:val="00b050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i w:val="1"/>
          <w:iCs w:val="1"/>
          <w:color w:val="00b050"/>
          <w:sz w:val="60"/>
          <w:szCs w:val="6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color w:val="00b050"/>
          <w:sz w:val="60"/>
          <w:szCs w:val="60"/>
          <w:rtl w:val="0"/>
        </w:rPr>
        <w:t xml:space="preserve"> Siempre Cerca</w:t>
      </w:r>
    </w:p>
    <w:p w:rsidR="00000000" w:rsidDel="00000000" w:rsidP="00000000" w:rsidRDefault="00000000" w:rsidRPr="00000000" w14:paraId="00000011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i w:val="1"/>
          <w:iCs w:val="1"/>
          <w:color w:val="365f91"/>
          <w:sz w:val="60"/>
          <w:szCs w:val="6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z w:val="60"/>
          <w:szCs w:val="60"/>
          <w:rtl w:val="0"/>
        </w:rPr>
        <w:t xml:space="preserve">Fecha: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color w:val="365f91"/>
          <w:sz w:val="60"/>
          <w:szCs w:val="60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color w:val="00b050"/>
          <w:sz w:val="60"/>
          <w:szCs w:val="60"/>
          <w:rtl w:val="0"/>
        </w:rPr>
        <w:t xml:space="preserve">28/09/2026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i w:val="1"/>
          <w:i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  <w:rtl w:val="0"/>
        </w:rPr>
        <w:t xml:space="preserve">Tabla de contenido</w:t>
      </w:r>
    </w:p>
    <w:p w:rsidR="00000000" w:rsidDel="00000000" w:rsidP="00000000" w:rsidRDefault="00000000" w:rsidRPr="00000000" w14:paraId="0000002A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left"/>
        <w:tblInd w:w="-5.9999999999999964" w:type="dxa"/>
        <w:tblLayout w:type="fixed"/>
        <w:tblLook w:val="0000"/>
      </w:tblPr>
      <w:tblGrid>
        <w:gridCol w:w="8370"/>
        <w:gridCol w:w="1065"/>
        <w:tblGridChange w:id="0">
          <w:tblGrid>
            <w:gridCol w:w="8370"/>
            <w:gridCol w:w="1065"/>
          </w:tblGrid>
        </w:tblGridChange>
      </w:tblGrid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0" w:before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Definición de alcance del proyecto o fase…………………………….………..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before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4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0" w:before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Requerimientos del cliente…………………………………………..…………….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before="0" w:line="240" w:lineRule="auto"/>
              <w:ind w:left="6" w:right="0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0" w:before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Activos de los procesos de la organización……………………………..……….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before="0" w:line="240" w:lineRule="auto"/>
              <w:ind w:left="6" w:right="0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6</w:t>
            </w:r>
          </w:p>
        </w:tc>
      </w:tr>
      <w:tr>
        <w:trPr>
          <w:cantSplit w:val="0"/>
          <w:trHeight w:val="165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0" w:before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Factores ambientales de la empresa………………………………..……………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before="0" w:line="240" w:lineRule="auto"/>
              <w:ind w:left="6" w:right="0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7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before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Estándar para la dirección de proyectos………………………….……………..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before="0" w:line="240" w:lineRule="auto"/>
              <w:ind w:left="6" w:right="0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36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color w:val="365f91"/>
          <w:sz w:val="22"/>
          <w:szCs w:val="22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838.0" w:type="dxa"/>
        <w:jc w:val="left"/>
        <w:tblInd w:w="-115.0" w:type="dxa"/>
        <w:tblLayout w:type="fixed"/>
        <w:tblLook w:val="0400"/>
      </w:tblPr>
      <w:tblGrid>
        <w:gridCol w:w="4419"/>
        <w:gridCol w:w="4419"/>
        <w:tblGridChange w:id="0">
          <w:tblGrid>
            <w:gridCol w:w="4419"/>
            <w:gridCol w:w="44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365f91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Empresa /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9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Duoc UC - Escuela de Informática y Telecomunicaciones, Sede Plaza Norte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365f91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Siempre Cerca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365f91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C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Fecha de preparación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D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28/09/2026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365f91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E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F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Usuarios finales: adultos mayores y familiares/cuidadores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365f91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0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Patrocinador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1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Municipalidad de Huechuraba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365f91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2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Gerente / Líder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3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Melanie Scarlett Ortiz Fernández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365f91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4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5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Osnellys Andrade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365f91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6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Periodo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11/08/2026 al 16/11/2026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80" w:line="24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color w:val="1f1f1f"/>
          <w:sz w:val="22"/>
          <w:szCs w:val="22"/>
          <w:rtl w:val="0"/>
        </w:rPr>
        <w:t xml:space="preserve">Este documento define el alcance actual de Siempre Cerca y establece los límites, requerimientos generales, activos disponibles y condiciones de entorno que deben considerarse durante el desarrollo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color w:val="365f91"/>
          <w:sz w:val="22"/>
          <w:szCs w:val="22"/>
          <w:rtl w:val="0"/>
        </w:rPr>
        <w:t xml:space="preserve">Definición de alcance del proyecto o fase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="24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color w:val="1f1f1f"/>
          <w:sz w:val="22"/>
          <w:szCs w:val="22"/>
          <w:rtl w:val="0"/>
        </w:rPr>
        <w:t xml:space="preserve">Siempre Cerca corresponde al desarrollo de una aplicación móvil orientada al acompañamiento, seguridad y autonomía de adultos mayores, permitiendo la interacción con familiares o cuidadores mediante herramientas de ubicación, asistencia y seguimiento.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8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color w:val="365f91"/>
          <w:sz w:val="22"/>
          <w:szCs w:val="22"/>
          <w:rtl w:val="0"/>
        </w:rPr>
        <w:t xml:space="preserve">Alcance incluido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30" w:line="240" w:lineRule="auto"/>
        <w:ind w:left="259" w:hanging="173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color w:val="365f9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Narrow" w:cs="Arial Narrow" w:eastAsia="Arial Narrow" w:hAnsi="Arial Narrow"/>
          <w:i w:val="0"/>
          <w:iCs w:val="0"/>
          <w:color w:val="1f1f1f"/>
          <w:sz w:val="22"/>
          <w:szCs w:val="22"/>
          <w:rtl w:val="0"/>
        </w:rPr>
        <w:t xml:space="preserve">Aplicación móvil para los roles de adulto mayor y familiar/cuidador, con registro, autenticación, recuperación de acceso y gestión básica de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30" w:line="240" w:lineRule="auto"/>
        <w:ind w:left="259" w:hanging="173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color w:val="365f9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Narrow" w:cs="Arial Narrow" w:eastAsia="Arial Narrow" w:hAnsi="Arial Narrow"/>
          <w:i w:val="0"/>
          <w:iCs w:val="0"/>
          <w:color w:val="1f1f1f"/>
          <w:sz w:val="22"/>
          <w:szCs w:val="22"/>
          <w:rtl w:val="0"/>
        </w:rPr>
        <w:t xml:space="preserve">Vinculación segura entre adulto mayor y familiar/cuidador mediante código, con control de permisos según 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30" w:line="240" w:lineRule="auto"/>
        <w:ind w:left="259" w:hanging="173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color w:val="365f9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Narrow" w:cs="Arial Narrow" w:eastAsia="Arial Narrow" w:hAnsi="Arial Narrow"/>
          <w:i w:val="0"/>
          <w:iCs w:val="0"/>
          <w:color w:val="1f1f1f"/>
          <w:sz w:val="22"/>
          <w:szCs w:val="22"/>
          <w:rtl w:val="0"/>
        </w:rPr>
        <w:t xml:space="preserve">Geolocalización mediante GPS, visualización en mapa, compartición de ubicación y apoyo de navegación hacia el domicilio registrado.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30" w:line="240" w:lineRule="auto"/>
        <w:ind w:left="259" w:hanging="173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color w:val="365f9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Narrow" w:cs="Arial Narrow" w:eastAsia="Arial Narrow" w:hAnsi="Arial Narrow"/>
          <w:i w:val="0"/>
          <w:iCs w:val="0"/>
          <w:color w:val="1f1f1f"/>
          <w:sz w:val="22"/>
          <w:szCs w:val="22"/>
          <w:rtl w:val="0"/>
        </w:rPr>
        <w:t xml:space="preserve">Botón SOS, alertas de emergencia, notificaciones, contactos de emergencia, estados del adulto mayor y seguimiento de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30" w:line="240" w:lineRule="auto"/>
        <w:ind w:left="259" w:hanging="173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color w:val="365f9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Narrow" w:cs="Arial Narrow" w:eastAsia="Arial Narrow" w:hAnsi="Arial Narrow"/>
          <w:i w:val="0"/>
          <w:iCs w:val="0"/>
          <w:color w:val="1f1f1f"/>
          <w:sz w:val="22"/>
          <w:szCs w:val="22"/>
          <w:rtl w:val="0"/>
        </w:rPr>
        <w:t xml:space="preserve">Zonas seguras, historial de eventos o movimientos y visualización de información relevante para usuarios autorizados.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30" w:line="240" w:lineRule="auto"/>
        <w:ind w:left="259" w:hanging="173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color w:val="365f9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Narrow" w:cs="Arial Narrow" w:eastAsia="Arial Narrow" w:hAnsi="Arial Narrow"/>
          <w:i w:val="0"/>
          <w:iCs w:val="0"/>
          <w:color w:val="1f1f1f"/>
          <w:sz w:val="22"/>
          <w:szCs w:val="22"/>
          <w:rtl w:val="0"/>
        </w:rPr>
        <w:t xml:space="preserve">Gestión de recordatorios de medicamentos o actividades, incluyendo creación, visualización, edición, eliminación y activación/desactivación.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30" w:line="240" w:lineRule="auto"/>
        <w:ind w:left="259" w:hanging="173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color w:val="365f9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Narrow" w:cs="Arial Narrow" w:eastAsia="Arial Narrow" w:hAnsi="Arial Narrow"/>
          <w:i w:val="0"/>
          <w:iCs w:val="0"/>
          <w:color w:val="1f1f1f"/>
          <w:sz w:val="22"/>
          <w:szCs w:val="22"/>
          <w:rtl w:val="0"/>
        </w:rPr>
        <w:t xml:space="preserve">Funciones de accesibilidad, incluyendo modo daltónico y modo de voz guiada para apoyar la navegación dentro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30" w:line="240" w:lineRule="auto"/>
        <w:ind w:left="259" w:hanging="173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color w:val="365f9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Narrow" w:cs="Arial Narrow" w:eastAsia="Arial Narrow" w:hAnsi="Arial Narrow"/>
          <w:i w:val="0"/>
          <w:iCs w:val="0"/>
          <w:color w:val="1f1f1f"/>
          <w:sz w:val="22"/>
          <w:szCs w:val="22"/>
          <w:rtl w:val="0"/>
        </w:rPr>
        <w:t xml:space="preserve">Actividades cognitivas y </w:t>
      </w:r>
      <w:r w:rsidDel="00000000" w:rsidR="00000000" w:rsidRPr="00000000">
        <w:rPr>
          <w:rFonts w:ascii="Arial Narrow" w:cs="Arial Narrow" w:eastAsia="Arial Narrow" w:hAnsi="Arial Narrow"/>
          <w:i w:val="0"/>
          <w:iCs w:val="0"/>
          <w:color w:val="1f1f1f"/>
          <w:sz w:val="22"/>
          <w:szCs w:val="22"/>
          <w:rtl w:val="0"/>
        </w:rPr>
        <w:t xml:space="preserve">recreativas</w:t>
      </w:r>
      <w:r w:rsidDel="00000000" w:rsidR="00000000" w:rsidRPr="00000000">
        <w:rPr>
          <w:rFonts w:ascii="Arial Narrow" w:cs="Arial Narrow" w:eastAsia="Arial Narrow" w:hAnsi="Arial Narrow"/>
          <w:i w:val="0"/>
          <w:iCs w:val="0"/>
          <w:color w:val="1f1f1f"/>
          <w:sz w:val="22"/>
          <w:szCs w:val="22"/>
          <w:rtl w:val="0"/>
        </w:rPr>
        <w:t xml:space="preserve"> integradas: memoria, sopa de letras, rompecabezas, tres en línea y memoria de secuencias.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30" w:line="240" w:lineRule="auto"/>
        <w:ind w:left="259" w:hanging="173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color w:val="365f9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Narrow" w:cs="Arial Narrow" w:eastAsia="Arial Narrow" w:hAnsi="Arial Narrow"/>
          <w:i w:val="0"/>
          <w:iCs w:val="0"/>
          <w:color w:val="1f1f1f"/>
          <w:sz w:val="22"/>
          <w:szCs w:val="22"/>
          <w:rtl w:val="0"/>
        </w:rPr>
        <w:t xml:space="preserve">Políticas de privacidad y seguridad disponibles dentro de la aplicación, además de mecanismos de autenticación, autorización y protección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30" w:line="240" w:lineRule="auto"/>
        <w:ind w:left="259" w:hanging="173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color w:val="365f9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Narrow" w:cs="Arial Narrow" w:eastAsia="Arial Narrow" w:hAnsi="Arial Narrow"/>
          <w:i w:val="0"/>
          <w:iCs w:val="0"/>
          <w:color w:val="1f1f1f"/>
          <w:sz w:val="22"/>
          <w:szCs w:val="22"/>
          <w:rtl w:val="0"/>
        </w:rPr>
        <w:t xml:space="preserve">Backend, base de datos centralizada, pruebas, documentación y actividades de validación asociadas a las funcionalidades priorizadas.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8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color w:val="365f91"/>
          <w:sz w:val="22"/>
          <w:szCs w:val="22"/>
          <w:rtl w:val="0"/>
        </w:rPr>
        <w:t xml:space="preserve">Exclusiones del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0" w:line="240" w:lineRule="auto"/>
        <w:ind w:left="259" w:hanging="173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color w:val="365f9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Narrow" w:cs="Arial Narrow" w:eastAsia="Arial Narrow" w:hAnsi="Arial Narrow"/>
          <w:i w:val="0"/>
          <w:iCs w:val="0"/>
          <w:color w:val="1f1f1f"/>
          <w:sz w:val="22"/>
          <w:szCs w:val="22"/>
          <w:rtl w:val="0"/>
        </w:rPr>
        <w:t xml:space="preserve">Prestación de servicios médicos, diagnóstico clínico o reemplazo de profesionales de salud y servicios de emergencia.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30" w:line="240" w:lineRule="auto"/>
        <w:ind w:left="259" w:hanging="173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color w:val="365f9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Narrow" w:cs="Arial Narrow" w:eastAsia="Arial Narrow" w:hAnsi="Arial Narrow"/>
          <w:i w:val="0"/>
          <w:iCs w:val="0"/>
          <w:color w:val="1f1f1f"/>
          <w:sz w:val="22"/>
          <w:szCs w:val="22"/>
          <w:rtl w:val="0"/>
        </w:rPr>
        <w:t xml:space="preserve">Administración de medicamentos, recetas o tratamientos farmacológicos.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30" w:line="240" w:lineRule="auto"/>
        <w:ind w:left="259" w:hanging="173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color w:val="365f9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Narrow" w:cs="Arial Narrow" w:eastAsia="Arial Narrow" w:hAnsi="Arial Narrow"/>
          <w:i w:val="0"/>
          <w:iCs w:val="0"/>
          <w:color w:val="1f1f1f"/>
          <w:sz w:val="22"/>
          <w:szCs w:val="22"/>
          <w:rtl w:val="0"/>
        </w:rPr>
        <w:t xml:space="preserve">Monitoreo permanente de signos vitales e integración con dispositivos médicos especializados.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30" w:line="240" w:lineRule="auto"/>
        <w:ind w:left="259" w:hanging="173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color w:val="365f9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Narrow" w:cs="Arial Narrow" w:eastAsia="Arial Narrow" w:hAnsi="Arial Narrow"/>
          <w:i w:val="0"/>
          <w:iCs w:val="0"/>
          <w:color w:val="1f1f1f"/>
          <w:sz w:val="22"/>
          <w:szCs w:val="22"/>
          <w:rtl w:val="0"/>
        </w:rPr>
        <w:t xml:space="preserve">Desarrollo de hardware propio o dispositivos físicos complementarios.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30" w:line="240" w:lineRule="auto"/>
        <w:ind w:left="259" w:hanging="173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color w:val="365f9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Narrow" w:cs="Arial Narrow" w:eastAsia="Arial Narrow" w:hAnsi="Arial Narrow"/>
          <w:i w:val="0"/>
          <w:iCs w:val="0"/>
          <w:color w:val="1f1f1f"/>
          <w:sz w:val="22"/>
          <w:szCs w:val="22"/>
          <w:rtl w:val="0"/>
        </w:rPr>
        <w:t xml:space="preserve">Reconocimiento automático de caídas, inteligencia artificial predictiva y una plataforma web administrativa institucional en la versión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color w:val="365f91"/>
          <w:sz w:val="22"/>
          <w:szCs w:val="22"/>
          <w:rtl w:val="0"/>
        </w:rPr>
        <w:t xml:space="preserve">Requerimientos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line="24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color w:val="1f1f1f"/>
          <w:sz w:val="22"/>
          <w:szCs w:val="22"/>
          <w:rtl w:val="0"/>
        </w:rPr>
        <w:t xml:space="preserve">Los requerimientos del cliente y de los usuarios se obtienen a partir de la definición del producto, las necesidades identificadas y las instancias de validación realizadas con adultos mayores. Estos requerimientos orientan la priorización del Product Backlog y la evolución de la solución.</w:t>
      </w:r>
      <w:r w:rsidDel="00000000" w:rsidR="00000000" w:rsidRPr="00000000">
        <w:rPr>
          <w:rtl w:val="0"/>
        </w:rPr>
      </w:r>
    </w:p>
    <w:tbl>
      <w:tblPr>
        <w:tblStyle w:val="Table3"/>
        <w:tblW w:w="8838.0" w:type="dxa"/>
        <w:jc w:val="center"/>
        <w:tblLayout w:type="fixed"/>
        <w:tblLook w:val="0400"/>
      </w:tblPr>
      <w:tblGrid>
        <w:gridCol w:w="2946"/>
        <w:gridCol w:w="2946"/>
        <w:gridCol w:w="2946"/>
        <w:tblGridChange w:id="0">
          <w:tblGrid>
            <w:gridCol w:w="2946"/>
            <w:gridCol w:w="2946"/>
            <w:gridCol w:w="29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365f91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365f91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365f91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RC-01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Interfaz simple, legible y fácil de comprender para adultos mayores.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RC-02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Registro, inicio de sesión y acceso diferenciado según 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RC-03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Vinculación segura entre adulto mayor y familiares o cuidadores autorizados.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RC-04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Obtención, visualización y compartición de ubicación mediante GPS y mapas.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RC-05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Botón SOS y mecanismos de alerta para facilitar una respuesta oportuna.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RC-06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Seguimiento mediante estados, zonas seguras, eventos, historial y contactos de emergencia.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RC-07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Recordatorios y herramientas de apoyo a las actividades cotidianas.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RC-08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Opciones de accesibilidad como modo daltónico y voz guiada.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RC-09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Protección de datos personales y de ubicación con acceso solo a usuarios autorizados.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RC-10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Actividades cognitivas y recreativas como apoyo complementario para el adulto mayor.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color w:val="365f91"/>
          <w:sz w:val="22"/>
          <w:szCs w:val="22"/>
          <w:rtl w:val="0"/>
        </w:rPr>
        <w:t xml:space="preserve">Activos de los procesos de la organización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line="24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color w:val="1f1f1f"/>
          <w:sz w:val="22"/>
          <w:szCs w:val="22"/>
          <w:rtl w:val="0"/>
        </w:rPr>
        <w:t xml:space="preserve">Para la gestión del alcance y el desarrollo de Siempre Cerca se utilizan documentos, herramientas y registros generados por el equipo durante el proyecto. Estos activos permiten mantener trazabilidad, organización y continuidad entre las distintas etapas.</w:t>
      </w:r>
      <w:r w:rsidDel="00000000" w:rsidR="00000000" w:rsidRPr="00000000">
        <w:rPr>
          <w:rtl w:val="0"/>
        </w:rPr>
      </w:r>
    </w:p>
    <w:tbl>
      <w:tblPr>
        <w:tblStyle w:val="Table4"/>
        <w:tblW w:w="8838.0" w:type="dxa"/>
        <w:jc w:val="center"/>
        <w:tblLayout w:type="fixed"/>
        <w:tblLook w:val="0400"/>
      </w:tblPr>
      <w:tblGrid>
        <w:gridCol w:w="4419"/>
        <w:gridCol w:w="4419"/>
        <w:tblGridChange w:id="0">
          <w:tblGrid>
            <w:gridCol w:w="4419"/>
            <w:gridCol w:w="44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365f91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365f91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Uso dentro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Acta de constitución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Define propósito, actores, objetivos, restricciones y responsabilidades iniciales.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Informe principal Capstone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Consolida análisis, definición del producto, requisitos, diseño, Sprints, pruebas y validaciones.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Documento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Registra requerimientos funcionales, no funcionales, reglas de negocio e interfaces.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EDT y Carta Gantt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Organizan entregables, actividades, responsables y planificación temporal.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Product Backlog y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Permiten priorizar historias de usuario y realizar seguimiento visual del trabajo por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Repositorio Git /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Mantiene el código fuente y apoya el control de versiones del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Figma y prototipos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Conservan diseños y referencias de interfaz utilizadas durante la definición y ajustes del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Google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Centraliza informes, evidencias, planificaciones y documentos compartidos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Encuestas y 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Recopilan retroalimentación de adultos mayores y respaldan decisiones de usabilidad y accesibilidad.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Registros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Documentan verificaciones funcionales, observaciones técnicas y acciones de mejora.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color w:val="365f91"/>
          <w:sz w:val="22"/>
          <w:szCs w:val="22"/>
          <w:rtl w:val="0"/>
        </w:rPr>
        <w:t xml:space="preserve">Factores ambientales de la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line="24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color w:val="1f1f1f"/>
          <w:sz w:val="22"/>
          <w:szCs w:val="22"/>
          <w:rtl w:val="0"/>
        </w:rPr>
        <w:t xml:space="preserve">El proyecto se desarrolla dentro de un contexto académico y tecnológico que condiciona el alcance, la planificación y las decisiones de implementación. Los principales factores considerados son los siguientes:</w:t>
      </w:r>
      <w:r w:rsidDel="00000000" w:rsidR="00000000" w:rsidRPr="00000000">
        <w:rPr>
          <w:rtl w:val="0"/>
        </w:rPr>
      </w:r>
    </w:p>
    <w:tbl>
      <w:tblPr>
        <w:tblStyle w:val="Table5"/>
        <w:tblW w:w="8838.0" w:type="dxa"/>
        <w:jc w:val="center"/>
        <w:tblLayout w:type="fixed"/>
        <w:tblLook w:val="0400"/>
      </w:tblPr>
      <w:tblGrid>
        <w:gridCol w:w="4419"/>
        <w:gridCol w:w="4419"/>
        <w:tblGridChange w:id="0">
          <w:tblGrid>
            <w:gridCol w:w="4419"/>
            <w:gridCol w:w="44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365f91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365f91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Impacto en el 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Periodo académico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El desarrollo debe completarse dentro del calendario definido para el Capstone, por lo que la prioridad de las funcionalidades condiciona el alcance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Recursos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Se priorizan herramientas gratuitas o de bajo costo y dispositivos disponibles para 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Plataforma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La aplicación se desarrolla y valida principalmente en dispositivos Android.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Conectividad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Las funciones de sincronización, alertas y consulta de información requieren acceso a Internet.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GPS y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La precisión de ubicación depende del hardware, permisos y condiciones del servicio de geolocalización.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Servicios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El funcionamiento depende de servicios como Supabase y componentes de mapas/geolocalización utilizados por la solución.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Privacidad y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La información personal y de ubicación debe mantenerse restringida a usuarios autorizados.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Características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La brecha digital, legibilidad y facilidad de interacción de los adultos mayores influyen en el diseño.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Disponibilidad para 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Las instancias con adultos mayores y actores municipales dependen de coordinación y disponibilidad externa.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6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color w:val="365f91"/>
          <w:sz w:val="22"/>
          <w:szCs w:val="22"/>
          <w:rtl w:val="0"/>
        </w:rPr>
        <w:t xml:space="preserve">Estándar para la dirección de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line="24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color w:val="1f1f1f"/>
          <w:sz w:val="22"/>
          <w:szCs w:val="22"/>
          <w:rtl w:val="0"/>
        </w:rPr>
        <w:t xml:space="preserve">La dirección de Siempre Cerca se organiza principalmente mediante un enfoque ágil basado en Scrum, complementado con los documentos y controles solicitados para el proyecto académico. El alcance se gestiona de forma incremental, priorizando las funcionalidades según su valor, necesidad y factibilidad dentro del periodo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8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color w:val="365f91"/>
          <w:sz w:val="22"/>
          <w:szCs w:val="22"/>
          <w:rtl w:val="0"/>
        </w:rPr>
        <w:t xml:space="preserve">Aplicación del enfoque Scrum</w:t>
      </w:r>
      <w:r w:rsidDel="00000000" w:rsidR="00000000" w:rsidRPr="00000000">
        <w:rPr>
          <w:rtl w:val="0"/>
        </w:rPr>
      </w:r>
    </w:p>
    <w:tbl>
      <w:tblPr>
        <w:tblStyle w:val="Table6"/>
        <w:tblW w:w="8838.0" w:type="dxa"/>
        <w:jc w:val="center"/>
        <w:tblLayout w:type="fixed"/>
        <w:tblLook w:val="0400"/>
      </w:tblPr>
      <w:tblGrid>
        <w:gridCol w:w="4419"/>
        <w:gridCol w:w="4419"/>
        <w:tblGridChange w:id="0">
          <w:tblGrid>
            <w:gridCol w:w="4419"/>
            <w:gridCol w:w="44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365f91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365f91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Aplicación en Siempre Cerca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Melanie Ortiz. Mantiene la visión del producto, apoya la priorización y coordina requerimientos y validaciones.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Paul Hidalgo. Facilita la coordinación del equipo, seguimiento de actividades y resolución de bloqueos.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Development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Paul Hidalgo, Héctor Cornejo y Angel Rengifo, con apoyo colaborativo de Melanie según las necesidades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Product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Concentra y prioriza historias de usuario y funcionalidades del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Sprint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Define las historias y tareas comprometidas para cada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Scrum Board /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shd w:fill="f5f9f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Representa el estado de las actividades mediante Backlog/Pendiente, Por hacer, En progreso, En revisión y Terminado.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Sprint Review y Retrospective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be0" w:space="0" w:sz="4" w:val="single"/>
              <w:left w:color="b8cbe0" w:space="0" w:sz="4" w:val="single"/>
              <w:bottom w:color="b8cbe0" w:space="0" w:sz="4" w:val="single"/>
              <w:right w:color="b8cbe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color w:val="1f1f1f"/>
                <w:sz w:val="22"/>
                <w:szCs w:val="22"/>
                <w:rtl w:val="0"/>
              </w:rPr>
              <w:t xml:space="preserve">Permiten revisar resultados, incorporar retroalimentación y establecer mejoras para la siguiente iteración.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60" w:before="8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color w:val="365f91"/>
          <w:sz w:val="22"/>
          <w:szCs w:val="22"/>
          <w:rtl w:val="0"/>
        </w:rPr>
        <w:t xml:space="preserve">Control del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line="24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color w:val="1f1f1f"/>
          <w:sz w:val="22"/>
          <w:szCs w:val="22"/>
          <w:rtl w:val="0"/>
        </w:rPr>
        <w:t xml:space="preserve">Los cambios relevantes de alcance deben analizarse antes de incorporarse al Product Backlog y a la planificación. Cuando un cambio afecte entregables, prioridades, responsabilidades o compromisos externos, deberá registrarse mediante el mecanismo de control de cambios correspondiente y comunicarse a los participantes involucrados.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</w:t>
    </w:r>
    <w:hyperlink r:id="rId1"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http://www.pmoinformatica.com</w:t>
      </w:r>
    </w:hyperlink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)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</w:p>
  <w:p w:rsidR="00000000" w:rsidDel="00000000" w:rsidP="00000000" w:rsidRDefault="00000000" w:rsidRPr="00000000" w14:paraId="000000C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-85749</wp:posOffset>
              </wp:positionH>
              <wp:positionV relativeFrom="paragraph">
                <wp:posOffset>185395</wp:posOffset>
              </wp:positionV>
              <wp:extent cx="5760770" cy="20071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720" y="3698640"/>
                        <a:ext cx="5722560" cy="16272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5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  <a:effectLst>
                        <a:outerShdw rotWithShape="0" dir="3633274" dist="25630">
                          <a:srgbClr val="243F60">
                            <a:alpha val="50196"/>
                          </a:srgbClr>
                        </a:outerShdw>
                      </a:effectLst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-85749</wp:posOffset>
              </wp:positionH>
              <wp:positionV relativeFrom="paragraph">
                <wp:posOffset>185395</wp:posOffset>
              </wp:positionV>
              <wp:extent cx="5760770" cy="200710"/>
              <wp:effectExtent b="0" l="0" r="0" t="0"/>
              <wp:wrapNone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70" cy="2007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80" w:before="280" w:line="240" w:lineRule="auto"/>
      <w:ind w:left="0" w:firstLine="0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after="280" w:before="280" w:line="240" w:lineRule="auto"/>
      <w:ind w:left="0" w:firstLine="0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firstLine="0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WW8Num1z0">
    <w:name w:val="WW8Num1z0"/>
    <w:qFormat w:val="1"/>
    <w:rPr>
      <w:rFonts w:ascii="Symbol" w:cs="Symbol" w:hAnsi="Symbol"/>
      <w:sz w:val="20"/>
    </w:rPr>
  </w:style>
  <w:style w:type="character" w:styleId="WW8Num1z1">
    <w:name w:val="WW8Num1z1"/>
    <w:qFormat w:val="1"/>
    <w:rPr>
      <w:rFonts w:ascii="Courier New" w:cs="Courier New" w:hAnsi="Courier New"/>
      <w:sz w:val="20"/>
    </w:rPr>
  </w:style>
  <w:style w:type="character" w:styleId="WW8Num1z2">
    <w:name w:val="WW8Num1z2"/>
    <w:qFormat w:val="1"/>
    <w:rPr>
      <w:rFonts w:ascii="Wingdings" w:cs="Wingdings" w:hAnsi="Wingdings"/>
      <w:sz w:val="20"/>
    </w:rPr>
  </w:style>
  <w:style w:type="character" w:styleId="WW8Num2z0">
    <w:name w:val="WW8Num2z0"/>
    <w:qFormat w:val="1"/>
    <w:rPr>
      <w:rFonts w:ascii="Symbol" w:cs="Symbol" w:hAnsi="Symbol"/>
      <w:sz w:val="20"/>
    </w:rPr>
  </w:style>
  <w:style w:type="character" w:styleId="WW8Num2z1">
    <w:name w:val="WW8Num2z1"/>
    <w:qFormat w:val="1"/>
    <w:rPr>
      <w:rFonts w:ascii="Courier New" w:cs="Courier New" w:hAnsi="Courier New"/>
      <w:sz w:val="20"/>
    </w:rPr>
  </w:style>
  <w:style w:type="character" w:styleId="WW8Num2z2">
    <w:name w:val="WW8Num2z2"/>
    <w:qFormat w:val="1"/>
    <w:rPr>
      <w:rFonts w:ascii="Wingdings" w:cs="Wingdings" w:hAnsi="Wingdings"/>
      <w:sz w:val="20"/>
    </w:rPr>
  </w:style>
  <w:style w:type="character" w:styleId="WW8Num4z0">
    <w:name w:val="WW8Num4z0"/>
    <w:qFormat w:val="1"/>
    <w:rPr>
      <w:rFonts w:ascii="Symbol" w:cs="Symbol" w:hAnsi="Symbol"/>
    </w:rPr>
  </w:style>
  <w:style w:type="character" w:styleId="WW8Num4z1">
    <w:name w:val="WW8Num4z1"/>
    <w:qFormat w:val="1"/>
    <w:rPr>
      <w:rFonts w:ascii="Courier New" w:cs="Courier New" w:hAnsi="Courier New"/>
    </w:rPr>
  </w:style>
  <w:style w:type="character" w:styleId="WW8Num4z2">
    <w:name w:val="WW8Num4z2"/>
    <w:qFormat w:val="1"/>
    <w:rPr>
      <w:rFonts w:ascii="Wingdings" w:cs="Wingdings" w:hAnsi="Wingdings"/>
    </w:rPr>
  </w:style>
  <w:style w:type="character" w:styleId="WW8Num5z0">
    <w:name w:val="WW8Num5z0"/>
    <w:qFormat w:val="1"/>
    <w:rPr>
      <w:rFonts w:ascii="Symbol" w:cs="Symbol" w:hAnsi="Symbol"/>
    </w:rPr>
  </w:style>
  <w:style w:type="character" w:styleId="WW8Num5z1">
    <w:name w:val="WW8Num5z1"/>
    <w:qFormat w:val="1"/>
    <w:rPr>
      <w:rFonts w:ascii="Courier New" w:cs="Courier New" w:hAnsi="Courier New"/>
    </w:rPr>
  </w:style>
  <w:style w:type="character" w:styleId="WW8Num5z2">
    <w:name w:val="WW8Num5z2"/>
    <w:qFormat w:val="1"/>
    <w:rPr>
      <w:rFonts w:ascii="Wingdings" w:cs="Wingdings" w:hAnsi="Wingdings"/>
    </w:rPr>
  </w:style>
  <w:style w:type="character" w:styleId="WW8Num6z0">
    <w:name w:val="WW8Num6z0"/>
    <w:qFormat w:val="1"/>
    <w:rPr>
      <w:rFonts w:ascii="Symbol" w:cs="Symbol" w:hAnsi="Symbol"/>
    </w:rPr>
  </w:style>
  <w:style w:type="character" w:styleId="WW8Num6z1">
    <w:name w:val="WW8Num6z1"/>
    <w:qFormat w:val="1"/>
    <w:rPr>
      <w:rFonts w:ascii="Courier New" w:cs="Courier New" w:hAnsi="Courier New"/>
    </w:rPr>
  </w:style>
  <w:style w:type="character" w:styleId="WW8Num6z2">
    <w:name w:val="WW8Num6z2"/>
    <w:qFormat w:val="1"/>
    <w:rPr>
      <w:rFonts w:ascii="Wingdings" w:cs="Wingdings" w:hAnsi="Wingdings"/>
    </w:rPr>
  </w:style>
  <w:style w:type="character" w:styleId="WW8Num7z0">
    <w:name w:val="WW8Num7z0"/>
    <w:qFormat w:val="1"/>
    <w:rPr/>
  </w:style>
  <w:style w:type="character" w:styleId="WW8Num8z0">
    <w:name w:val="WW8Num8z0"/>
    <w:qFormat w:val="1"/>
    <w:rPr>
      <w:rFonts w:ascii="Symbol" w:cs="Symbol" w:hAnsi="Symbol"/>
      <w:sz w:val="20"/>
    </w:rPr>
  </w:style>
  <w:style w:type="character" w:styleId="WW8Num8z1">
    <w:name w:val="WW8Num8z1"/>
    <w:qFormat w:val="1"/>
    <w:rPr>
      <w:rFonts w:ascii="Courier New" w:cs="Courier New" w:hAnsi="Courier New"/>
      <w:sz w:val="20"/>
    </w:rPr>
  </w:style>
  <w:style w:type="character" w:styleId="WW8Num8z2">
    <w:name w:val="WW8Num8z2"/>
    <w:qFormat w:val="1"/>
    <w:rPr>
      <w:rFonts w:ascii="Wingdings" w:cs="Wingdings" w:hAnsi="Wingdings"/>
      <w:sz w:val="20"/>
    </w:rPr>
  </w:style>
  <w:style w:type="character" w:styleId="WW8Num9z0">
    <w:name w:val="WW8Num9z0"/>
    <w:qFormat w:val="1"/>
    <w:rPr>
      <w:rFonts w:ascii="Symbol" w:cs="Symbol" w:hAnsi="Symbol"/>
      <w:sz w:val="20"/>
    </w:rPr>
  </w:style>
  <w:style w:type="character" w:styleId="WW8Num9z1">
    <w:name w:val="WW8Num9z1"/>
    <w:qFormat w:val="1"/>
    <w:rPr>
      <w:rFonts w:ascii="Courier New" w:cs="Courier New" w:hAnsi="Courier New"/>
      <w:sz w:val="20"/>
    </w:rPr>
  </w:style>
  <w:style w:type="character" w:styleId="WW8Num9z2">
    <w:name w:val="WW8Num9z2"/>
    <w:qFormat w:val="1"/>
    <w:rPr>
      <w:rFonts w:ascii="Wingdings" w:cs="Wingdings" w:hAnsi="Wingdings"/>
      <w:sz w:val="20"/>
    </w:rPr>
  </w:style>
  <w:style w:type="character" w:styleId="WW8Num10z0">
    <w:name w:val="WW8Num10z0"/>
    <w:qFormat w:val="1"/>
    <w:rPr>
      <w:rFonts w:ascii="Symbol" w:cs="Symbol" w:hAnsi="Symbol"/>
    </w:rPr>
  </w:style>
  <w:style w:type="character" w:styleId="WW8Num10z1">
    <w:name w:val="WW8Num10z1"/>
    <w:qFormat w:val="1"/>
    <w:rPr>
      <w:rFonts w:ascii="Courier New" w:cs="Courier New" w:hAnsi="Courier New"/>
    </w:rPr>
  </w:style>
  <w:style w:type="character" w:styleId="WW8Num10z2">
    <w:name w:val="WW8Num10z2"/>
    <w:qFormat w:val="1"/>
    <w:rPr>
      <w:rFonts w:ascii="Wingdings" w:cs="Wingdings" w:hAnsi="Wingdings"/>
    </w:rPr>
  </w:style>
  <w:style w:type="character" w:styleId="WW8Num12z0">
    <w:name w:val="WW8Num12z0"/>
    <w:qFormat w:val="1"/>
    <w:rPr>
      <w:rFonts w:ascii="Symbol" w:cs="Symbol" w:hAnsi="Symbol"/>
    </w:rPr>
  </w:style>
  <w:style w:type="character" w:styleId="WW8Num12z1">
    <w:name w:val="WW8Num12z1"/>
    <w:qFormat w:val="1"/>
    <w:rPr>
      <w:rFonts w:ascii="Courier New" w:cs="Courier New" w:hAnsi="Courier New"/>
    </w:rPr>
  </w:style>
  <w:style w:type="character" w:styleId="WW8Num12z2">
    <w:name w:val="WW8Num12z2"/>
    <w:qFormat w:val="1"/>
    <w:rPr>
      <w:rFonts w:ascii="Wingdings" w:cs="Wingdings" w:hAnsi="Wingdings"/>
    </w:rPr>
  </w:style>
  <w:style w:type="character" w:styleId="WW8Num13z0">
    <w:name w:val="WW8Num13z0"/>
    <w:qFormat w:val="1"/>
    <w:rPr>
      <w:rFonts w:ascii="Symbol" w:cs="Symbol" w:hAnsi="Symbol"/>
    </w:rPr>
  </w:style>
  <w:style w:type="character" w:styleId="WW8Num13z1">
    <w:name w:val="WW8Num13z1"/>
    <w:qFormat w:val="1"/>
    <w:rPr>
      <w:rFonts w:ascii="Courier New" w:cs="Courier New" w:hAnsi="Courier New"/>
    </w:rPr>
  </w:style>
  <w:style w:type="character" w:styleId="WW8Num13z2">
    <w:name w:val="WW8Num13z2"/>
    <w:qFormat w:val="1"/>
    <w:rPr>
      <w:rFonts w:ascii="Wingdings" w:cs="Wingdings" w:hAnsi="Wingdings"/>
    </w:rPr>
  </w:style>
  <w:style w:type="character" w:styleId="WW8Num14z0">
    <w:name w:val="WW8Num14z0"/>
    <w:qFormat w:val="1"/>
    <w:rPr>
      <w:rFonts w:ascii="Symbol" w:cs="Symbol" w:hAnsi="Symbol"/>
    </w:rPr>
  </w:style>
  <w:style w:type="character" w:styleId="WW8Num14z1">
    <w:name w:val="WW8Num14z1"/>
    <w:qFormat w:val="1"/>
    <w:rPr>
      <w:rFonts w:ascii="Courier New" w:cs="Courier New" w:hAnsi="Courier New"/>
    </w:rPr>
  </w:style>
  <w:style w:type="character" w:styleId="WW8Num14z2">
    <w:name w:val="WW8Num14z2"/>
    <w:qFormat w:val="1"/>
    <w:rPr>
      <w:rFonts w:ascii="Wingdings" w:cs="Wingdings" w:hAnsi="Wingdings"/>
    </w:rPr>
  </w:style>
  <w:style w:type="character" w:styleId="WW8Num15z0">
    <w:name w:val="WW8Num15z0"/>
    <w:qFormat w:val="1"/>
    <w:rPr>
      <w:rFonts w:ascii="Symbol" w:cs="Symbol" w:hAnsi="Symbol"/>
      <w:sz w:val="20"/>
    </w:rPr>
  </w:style>
  <w:style w:type="character" w:styleId="WW8Num15z1">
    <w:name w:val="WW8Num15z1"/>
    <w:qFormat w:val="1"/>
    <w:rPr>
      <w:rFonts w:ascii="Courier New" w:cs="Courier New" w:hAnsi="Courier New"/>
      <w:sz w:val="20"/>
    </w:rPr>
  </w:style>
  <w:style w:type="character" w:styleId="WW8Num15z2">
    <w:name w:val="WW8Num15z2"/>
    <w:qFormat w:val="1"/>
    <w:rPr>
      <w:rFonts w:ascii="Wingdings" w:cs="Wingdings" w:hAnsi="Wingdings"/>
      <w:sz w:val="20"/>
    </w:rPr>
  </w:style>
  <w:style w:type="character" w:styleId="WW8Num16z0">
    <w:name w:val="WW8Num16z0"/>
    <w:qFormat w:val="1"/>
    <w:rPr/>
  </w:style>
  <w:style w:type="character" w:styleId="WW8Num17z0">
    <w:name w:val="WW8Num17z0"/>
    <w:qFormat w:val="1"/>
    <w:rPr/>
  </w:style>
  <w:style w:type="character" w:styleId="WW8Num18z0">
    <w:name w:val="WW8Num18z0"/>
    <w:qFormat w:val="1"/>
    <w:rPr>
      <w:rFonts w:ascii="Symbol" w:cs="Symbol" w:hAnsi="Symbol"/>
      <w:sz w:val="20"/>
    </w:rPr>
  </w:style>
  <w:style w:type="character" w:styleId="WW8Num18z1">
    <w:name w:val="WW8Num18z1"/>
    <w:qFormat w:val="1"/>
    <w:rPr>
      <w:rFonts w:ascii="Courier New" w:cs="Courier New" w:hAnsi="Courier New"/>
      <w:sz w:val="20"/>
    </w:rPr>
  </w:style>
  <w:style w:type="character" w:styleId="WW8Num18z2">
    <w:name w:val="WW8Num18z2"/>
    <w:qFormat w:val="1"/>
    <w:rPr>
      <w:rFonts w:ascii="Wingdings" w:cs="Wingdings" w:hAnsi="Wingdings"/>
      <w:sz w:val="20"/>
    </w:rPr>
  </w:style>
  <w:style w:type="character" w:styleId="WW8Num19z0">
    <w:name w:val="WW8Num19z0"/>
    <w:qFormat w:val="1"/>
    <w:rPr>
      <w:rFonts w:ascii="Symbol" w:cs="Symbol" w:hAnsi="Symbol"/>
      <w:sz w:val="20"/>
    </w:rPr>
  </w:style>
  <w:style w:type="character" w:styleId="WW8Num19z1">
    <w:name w:val="WW8Num19z1"/>
    <w:qFormat w:val="1"/>
    <w:rPr>
      <w:rFonts w:ascii="Courier New" w:cs="Courier New" w:hAnsi="Courier New"/>
      <w:sz w:val="20"/>
    </w:rPr>
  </w:style>
  <w:style w:type="character" w:styleId="WW8Num19z2">
    <w:name w:val="WW8Num19z2"/>
    <w:qFormat w:val="1"/>
    <w:rPr>
      <w:rFonts w:ascii="Wingdings" w:cs="Wingdings" w:hAnsi="Wingdings"/>
      <w:sz w:val="20"/>
    </w:rPr>
  </w:style>
  <w:style w:type="character" w:styleId="WW8Num20z0">
    <w:name w:val="WW8Num20z0"/>
    <w:qFormat w:val="1"/>
    <w:rPr>
      <w:rFonts w:ascii="Symbol" w:cs="Symbol" w:hAnsi="Symbol"/>
    </w:rPr>
  </w:style>
  <w:style w:type="character" w:styleId="WW8Num20z1">
    <w:name w:val="WW8Num20z1"/>
    <w:qFormat w:val="1"/>
    <w:rPr>
      <w:rFonts w:ascii="Courier New" w:cs="Courier New" w:hAnsi="Courier New"/>
    </w:rPr>
  </w:style>
  <w:style w:type="character" w:styleId="WW8Num20z2">
    <w:name w:val="WW8Num20z2"/>
    <w:qFormat w:val="1"/>
    <w:rPr>
      <w:rFonts w:ascii="Wingdings" w:cs="Wingdings" w:hAnsi="Wingdings"/>
    </w:rPr>
  </w:style>
  <w:style w:type="character" w:styleId="WW8Num25z0">
    <w:name w:val="WW8Num25z0"/>
    <w:qFormat w:val="1"/>
    <w:rPr>
      <w:rFonts w:ascii="Symbol" w:cs="Symbol" w:hAnsi="Symbol"/>
      <w:sz w:val="20"/>
    </w:rPr>
  </w:style>
  <w:style w:type="character" w:styleId="WW8Num25z1">
    <w:name w:val="WW8Num25z1"/>
    <w:qFormat w:val="1"/>
    <w:rPr>
      <w:rFonts w:ascii="Courier New" w:cs="Courier New" w:hAnsi="Courier New"/>
      <w:sz w:val="20"/>
    </w:rPr>
  </w:style>
  <w:style w:type="character" w:styleId="WW8Num25z2">
    <w:name w:val="WW8Num25z2"/>
    <w:qFormat w:val="1"/>
    <w:rPr>
      <w:rFonts w:ascii="Wingdings" w:cs="Wingdings" w:hAnsi="Wingdings"/>
      <w:sz w:val="20"/>
    </w:rPr>
  </w:style>
  <w:style w:type="character" w:styleId="Fuentedeprrafopredeter">
    <w:name w:val="Fuente de párrafo predeter."/>
    <w:qFormat w:val="1"/>
    <w:rPr/>
  </w:style>
  <w:style w:type="character" w:styleId="apple-converted-space">
    <w:name w:val="apple-converted-space"/>
    <w:basedOn w:val="Fuentedeprrafopredeter"/>
    <w:qFormat w:val="1"/>
    <w:rPr/>
  </w:style>
  <w:style w:type="character" w:styleId="Strong">
    <w:name w:val="Strong"/>
    <w:qFormat w:val="1"/>
    <w:rPr>
      <w:b w:val="1"/>
      <w:bCs w:val="1"/>
    </w:rPr>
  </w:style>
  <w:style w:type="character" w:styleId="Hyperlink">
    <w:name w:val="Hyperlink"/>
    <w:rPr>
      <w:color w:val="0000ff"/>
      <w:u w:val="single"/>
    </w:rPr>
  </w:style>
  <w:style w:type="character" w:styleId="TextocomentarioCar">
    <w:name w:val="Texto comentario Car"/>
    <w:qFormat w:val="1"/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Ttulo1Car">
    <w:name w:val="Título 1 Car"/>
    <w:qFormat w:val="1"/>
    <w:rPr>
      <w:rFonts w:ascii="Arial" w:cs="Arial" w:eastAsia="Times New Roman" w:hAnsi="Arial"/>
      <w:b w:val="1"/>
      <w:bCs w:val="1"/>
      <w:color w:val="365f91"/>
      <w:kern w:val="2"/>
      <w:sz w:val="32"/>
      <w:szCs w:val="48"/>
    </w:rPr>
  </w:style>
  <w:style w:type="character" w:styleId="Ttulo2Car">
    <w:name w:val="Título 2 Car"/>
    <w:qFormat w:val="1"/>
    <w:rPr>
      <w:rFonts w:ascii="Arial" w:cs="Arial" w:eastAsia="Times New Roman" w:hAnsi="Arial"/>
      <w:b w:val="1"/>
      <w:bCs w:val="1"/>
      <w:color w:val="365f91"/>
      <w:sz w:val="24"/>
      <w:szCs w:val="36"/>
    </w:rPr>
  </w:style>
  <w:style w:type="character" w:styleId="vote-count-post">
    <w:name w:val="vote-count-post"/>
    <w:basedOn w:val="Fuentedeprrafopredeter"/>
    <w:qFormat w:val="1"/>
    <w:rPr/>
  </w:style>
  <w:style w:type="character" w:styleId="relativetime">
    <w:name w:val="relativetime"/>
    <w:basedOn w:val="Fuentedeprrafopredeter"/>
    <w:qFormat w:val="1"/>
    <w:rPr/>
  </w:style>
  <w:style w:type="character" w:styleId="reputation-score">
    <w:name w:val="reputation-score"/>
    <w:basedOn w:val="Fuentedeprrafopredeter"/>
    <w:qFormat w:val="1"/>
    <w:rPr/>
  </w:style>
  <w:style w:type="character" w:styleId="badgecount">
    <w:name w:val="badgecount"/>
    <w:basedOn w:val="Fuentedeprrafopredeter"/>
    <w:qFormat w:val="1"/>
    <w:rPr/>
  </w:style>
  <w:style w:type="character" w:styleId="cool">
    <w:name w:val="cool"/>
    <w:basedOn w:val="Fuentedeprrafopredeter"/>
    <w:qFormat w:val="1"/>
    <w:rPr/>
  </w:style>
  <w:style w:type="character" w:styleId="comment-copy">
    <w:name w:val="comment-copy"/>
    <w:basedOn w:val="Fuentedeprrafopredeter"/>
    <w:qFormat w:val="1"/>
    <w:rPr/>
  </w:style>
  <w:style w:type="character" w:styleId="comment-date">
    <w:name w:val="comment-date"/>
    <w:basedOn w:val="Fuentedeprrafopredeter"/>
    <w:qFormat w:val="1"/>
    <w:rPr/>
  </w:style>
  <w:style w:type="character" w:styleId="Emphasis">
    <w:name w:val="Emphasis"/>
    <w:qFormat w:val="1"/>
    <w:rPr>
      <w:i w:val="1"/>
      <w:iCs w:val="1"/>
    </w:rPr>
  </w:style>
  <w:style w:type="character" w:styleId="TextodegloboCar">
    <w:name w:val="Texto de globo Car"/>
    <w:qFormat w:val="1"/>
    <w:rPr>
      <w:rFonts w:ascii="Tahoma" w:cs="Tahoma" w:hAnsi="Tahoma"/>
      <w:sz w:val="16"/>
      <w:szCs w:val="16"/>
    </w:rPr>
  </w:style>
  <w:style w:type="character" w:styleId="Ttulo3Car">
    <w:name w:val="Título 3 Car"/>
    <w:qFormat w:val="1"/>
    <w:rPr>
      <w:rFonts w:ascii="Cambria" w:cs="Times New Roman" w:eastAsia="Times New Roman" w:hAnsi="Cambria"/>
      <w:b w:val="1"/>
      <w:bCs w:val="1"/>
      <w:sz w:val="26"/>
      <w:szCs w:val="26"/>
    </w:rPr>
  </w:style>
  <w:style w:type="character" w:styleId="ilad">
    <w:name w:val="il_ad"/>
    <w:basedOn w:val="Fuentedeprrafopredeter"/>
    <w:qFormat w:val="1"/>
    <w:rPr/>
  </w:style>
  <w:style w:type="character" w:styleId="EncabezadoCar">
    <w:name w:val="Encabezado Car"/>
    <w:qFormat w:val="1"/>
    <w:rPr>
      <w:sz w:val="22"/>
      <w:szCs w:val="22"/>
    </w:rPr>
  </w:style>
  <w:style w:type="character" w:styleId="PiedepginaCar">
    <w:name w:val="Pie de página Car"/>
    <w:qFormat w:val="1"/>
    <w:rPr>
      <w:sz w:val="22"/>
      <w:szCs w:val="22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NormalWeb">
    <w:name w:val="Normal (Web)"/>
    <w:basedOn w:val="Normal"/>
    <w:qFormat w:val="1"/>
    <w:pPr>
      <w:spacing w:after="280" w:before="28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Prrafodelista">
    <w:name w:val="Párrafo de lista"/>
    <w:basedOn w:val="Normal"/>
    <w:qFormat w:val="1"/>
    <w:pPr>
      <w:spacing w:after="200" w:before="0"/>
      <w:ind w:left="720" w:right="0" w:hanging="0"/>
      <w:contextualSpacing w:val="1"/>
    </w:pPr>
    <w:rPr/>
  </w:style>
  <w:style w:type="paragraph" w:styleId="Textocomentario">
    <w:name w:val="Texto comentario"/>
    <w:basedOn w:val="Normal"/>
    <w:qFormat w:val="1"/>
    <w:pPr>
      <w:spacing w:after="0" w:before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paragraph" w:styleId="Textodeglobo">
    <w:name w:val="Texto de globo"/>
    <w:basedOn w:val="Normal"/>
    <w:qFormat w:val="1"/>
    <w:pPr>
      <w:spacing w:after="0" w:before="0" w:line="240" w:lineRule="auto"/>
    </w:pPr>
    <w:rPr>
      <w:rFonts w:ascii="Tahoma" w:cs="Tahoma" w:hAnsi="Tahoma"/>
      <w:sz w:val="16"/>
      <w:szCs w:val="16"/>
      <w:lang w:val="en-US"/>
    </w:rPr>
  </w:style>
  <w:style w:type="paragraph" w:styleId="HeaderandFooter">
    <w:name w:val="Header and Footer"/>
    <w:basedOn w:val="Normal"/>
    <w:qFormat w:val="1"/>
    <w:pPr>
      <w:suppressLineNumbers w:val="1"/>
      <w:tabs>
        <w:tab w:val="clear" w:pos="708"/>
        <w:tab w:val="center" w:leader="none" w:pos="4819"/>
        <w:tab w:val="right" w:leader="none" w:pos="9638"/>
      </w:tabs>
    </w:pPr>
    <w:rPr/>
  </w:style>
  <w:style w:type="paragraph" w:styleId="Header">
    <w:name w:val="header"/>
    <w:basedOn w:val="Normal"/>
    <w:pPr>
      <w:tabs>
        <w:tab w:val="clear" w:pos="708"/>
        <w:tab w:val="center" w:leader="none" w:pos="4419"/>
        <w:tab w:val="right" w:leader="none" w:pos="8838"/>
      </w:tabs>
    </w:pPr>
    <w:rPr>
      <w:rFonts w:ascii="Calibri" w:cs="Calibri" w:hAnsi="Calibri"/>
      <w:sz w:val="22"/>
      <w:lang w:val="en-US"/>
    </w:rPr>
  </w:style>
  <w:style w:type="paragraph" w:styleId="Footer">
    <w:name w:val="footer"/>
    <w:basedOn w:val="Normal"/>
    <w:pPr>
      <w:tabs>
        <w:tab w:val="clear" w:pos="708"/>
        <w:tab w:val="center" w:leader="none" w:pos="4419"/>
        <w:tab w:val="right" w:leader="none" w:pos="8838"/>
      </w:tabs>
    </w:pPr>
    <w:rPr>
      <w:rFonts w:ascii="Calibri" w:cs="Calibri" w:hAnsi="Calibri"/>
      <w:sz w:val="22"/>
      <w:lang w:val="en-US"/>
    </w:rPr>
  </w:style>
  <w:style w:type="paragraph" w:styleId="TtulodeTDC">
    <w:name w:val="Título de TDC"/>
    <w:basedOn w:val="Heading1"/>
    <w:next w:val="Normal"/>
    <w:qFormat w:val="1"/>
    <w:pPr>
      <w:keepNext w:val="1"/>
      <w:keepLines w:val="1"/>
      <w:numPr>
        <w:ilvl w:val="0"/>
        <w:numId w:val="0"/>
      </w:numPr>
      <w:spacing w:after="0" w:before="480" w:line="276" w:lineRule="auto"/>
      <w:outlineLvl w:val="9"/>
    </w:pPr>
    <w:rPr>
      <w:rFonts w:ascii="Cambria" w:cs="Times New Roman" w:eastAsia="Times New Roman" w:hAnsi="Cambria"/>
      <w:color w:val="365f91"/>
      <w:kern w:val="0"/>
      <w:sz w:val="28"/>
      <w:szCs w:val="28"/>
    </w:rPr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left="220" w:right="0" w:hanging="0"/>
    </w:pPr>
    <w:rPr/>
  </w:style>
  <w:style w:type="paragraph" w:styleId="TOC3">
    <w:name w:val="toc 3"/>
    <w:basedOn w:val="Normal"/>
    <w:next w:val="Normal"/>
    <w:pPr>
      <w:spacing w:after="100" w:before="0"/>
      <w:ind w:left="440" w:right="0" w:hanging="0"/>
    </w:pPr>
    <w:rPr>
      <w:rFonts w:ascii="Calibri" w:cs="Times New Roman" w:eastAsia="Times New Roman" w:hAnsi="Calibri"/>
    </w:rPr>
  </w:style>
  <w:style w:type="paragraph" w:styleId="Sinespaciado">
    <w:name w:val="Sin espaciado"/>
    <w:qFormat w:val="1"/>
    <w:pPr>
      <w:widowControl w:val="1"/>
      <w:bidi w:val="0"/>
    </w:pPr>
    <w:rPr>
      <w:rFonts w:ascii="Arial" w:cs="Arial" w:eastAsia="Calibri" w:hAnsi="Arial"/>
      <w:color w:val="auto"/>
      <w:sz w:val="24"/>
      <w:szCs w:val="22"/>
      <w:lang w:bidi="ar-SA" w:eastAsia="zh-CN" w:val="es-VE"/>
    </w:rPr>
  </w:style>
  <w:style w:type="paragraph" w:styleId="template">
    <w:name w:val="template"/>
    <w:basedOn w:val="Normal"/>
    <w:qFormat w:val="1"/>
    <w:pPr>
      <w:spacing w:after="0" w:before="0" w:line="240" w:lineRule="exact"/>
    </w:pPr>
    <w:rPr>
      <w:rFonts w:eastAsia="Times New Roman"/>
      <w:i w:val="1"/>
      <w:sz w:val="22"/>
      <w:szCs w:val="20"/>
      <w:lang w:val="en-US"/>
    </w:rPr>
  </w:style>
  <w:style w:type="paragraph" w:styleId="level3text">
    <w:name w:val="level 3 text"/>
    <w:basedOn w:val="Normal"/>
    <w:qFormat w:val="1"/>
    <w:pPr>
      <w:spacing w:after="0" w:before="0" w:line="220" w:lineRule="exact"/>
      <w:ind w:left="1350" w:right="0" w:hanging="716"/>
    </w:pPr>
    <w:rPr>
      <w:rFonts w:eastAsia="Times New Roman"/>
      <w:i w:val="1"/>
      <w:sz w:val="22"/>
      <w:szCs w:val="20"/>
      <w:lang w:val="en-US"/>
    </w:rPr>
  </w:style>
  <w:style w:type="paragraph" w:styleId="requirement">
    <w:name w:val="requirement"/>
    <w:basedOn w:val="Normal"/>
    <w:qFormat w:val="1"/>
    <w:pPr>
      <w:spacing w:after="0" w:before="0" w:line="240" w:lineRule="exact"/>
      <w:ind w:left="2348" w:right="0" w:hanging="994"/>
    </w:pPr>
    <w:rPr>
      <w:rFonts w:ascii="Times New Roman" w:cs="Times New Roman" w:eastAsia="Times New Roman" w:hAnsi="Times New Roman"/>
      <w:szCs w:val="20"/>
      <w:lang w:val="en-US"/>
    </w:rPr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numbering" w:styleId="WW8Num1">
    <w:name w:val="WW8Num1"/>
    <w:qFormat w:val="1"/>
  </w:style>
  <w:style w:type="numbering" w:styleId="WW8Num2">
    <w:name w:val="WW8Num2"/>
    <w:qFormat w:val="1"/>
  </w:style>
  <w:style w:type="numbering" w:styleId="WW8Num3">
    <w:name w:val="WW8Num3"/>
    <w:qFormat w:val="1"/>
  </w:style>
  <w:style w:type="numbering" w:styleId="WW8Num4">
    <w:name w:val="WW8Num4"/>
    <w:qFormat w:val="1"/>
  </w:style>
  <w:style w:type="numbering" w:styleId="WW8Num5">
    <w:name w:val="WW8Num5"/>
    <w:qFormat w:val="1"/>
  </w:style>
  <w:style w:type="numbering" w:styleId="WW8Num6">
    <w:name w:val="WW8Num6"/>
    <w:qFormat w:val="1"/>
  </w:style>
  <w:style w:type="numbering" w:styleId="WW8Num7">
    <w:name w:val="WW8Num7"/>
    <w:qFormat w:val="1"/>
  </w:style>
  <w:style w:type="numbering" w:styleId="WW8Num8">
    <w:name w:val="WW8Num8"/>
    <w:qFormat w:val="1"/>
  </w:style>
  <w:style w:type="numbering" w:styleId="WW8Num9">
    <w:name w:val="WW8Num9"/>
    <w:qFormat w:val="1"/>
  </w:style>
  <w:style w:type="numbering" w:styleId="WW8Num10">
    <w:name w:val="WW8Num10"/>
    <w:qFormat w:val="1"/>
  </w:style>
  <w:style w:type="numbering" w:styleId="WW8Num11">
    <w:name w:val="WW8Num11"/>
    <w:qFormat w:val="1"/>
  </w:style>
  <w:style w:type="numbering" w:styleId="WW8Num12">
    <w:name w:val="WW8Num12"/>
    <w:qFormat w:val="1"/>
  </w:style>
  <w:style w:type="numbering" w:styleId="WW8Num13">
    <w:name w:val="WW8Num13"/>
    <w:qFormat w:val="1"/>
  </w:style>
  <w:style w:type="numbering" w:styleId="WW8Num14">
    <w:name w:val="WW8Num14"/>
    <w:qFormat w:val="1"/>
  </w:style>
  <w:style w:type="numbering" w:styleId="WW8Num15">
    <w:name w:val="WW8Num15"/>
    <w:qFormat w:val="1"/>
  </w:style>
  <w:style w:type="numbering" w:styleId="WW8Num16">
    <w:name w:val="WW8Num16"/>
    <w:qFormat w:val="1"/>
  </w:style>
  <w:style w:type="numbering" w:styleId="WW8Num17">
    <w:name w:val="WW8Num17"/>
    <w:qFormat w:val="1"/>
  </w:style>
  <w:style w:type="numbering" w:styleId="WW8Num18">
    <w:name w:val="WW8Num18"/>
    <w:qFormat w:val="1"/>
  </w:style>
  <w:style w:type="numbering" w:styleId="WW8Num19">
    <w:name w:val="WW8Num19"/>
    <w:qFormat w:val="1"/>
  </w:style>
  <w:style w:type="numbering" w:styleId="WW8Num20">
    <w:name w:val="WW8Num20"/>
    <w:qFormat w:val="1"/>
  </w:style>
  <w:style w:type="numbering" w:styleId="WW8Num21">
    <w:name w:val="WW8Num21"/>
    <w:qFormat w:val="1"/>
  </w:style>
  <w:style w:type="numbering" w:styleId="WW8Num22">
    <w:name w:val="WW8Num22"/>
    <w:qFormat w:val="1"/>
  </w:style>
  <w:style w:type="numbering" w:styleId="WW8Num23">
    <w:name w:val="WW8Num23"/>
    <w:qFormat w:val="1"/>
  </w:style>
  <w:style w:type="numbering" w:styleId="WW8Num24">
    <w:name w:val="WW8Num24"/>
    <w:qFormat w:val="1"/>
  </w:style>
  <w:style w:type="numbering" w:styleId="WW8Num25">
    <w:name w:val="WW8Num25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pmoinformatica.com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0H55YXECY0eeuT7XblishwewBA==">CgMxLjA4AHIhMUU1LTJPNlZPQnpheHNVNUFBU04tdWtoOWtaSmQxOEx2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2022-05-21T21:28:00Z</dcterms:created>
  <dc:creator>admin</dc:creator>
</cp:coreProperties>
</file>