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000000"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000000"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000000"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000000"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000000"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000000"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000000"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000000"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A1BCC13"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1</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Performing an ELISA with a Pipetting Robot</w:t>
      </w:r>
      <w:r w:rsidRPr="00D30652">
        <w:rPr>
          <w:rFonts w:ascii="Arial" w:hAnsi="Arial" w:cs="Arial"/>
          <w:sz w:val="20"/>
          <w:szCs w:val="20"/>
          <w:highlight w:val="red"/>
        </w:rPr>
        <w:br/>
      </w:r>
      <w:r w:rsidRPr="00D30652">
        <w:rPr>
          <w:rFonts w:ascii="Arial" w:hAnsi="Arial" w:cs="Arial"/>
          <w:sz w:val="20"/>
          <w:szCs w:val="20"/>
          <w:highlight w:val="red"/>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2" w:history="1">
        <w:r w:rsidRPr="00D30652">
          <w:rPr>
            <w:rStyle w:val="Hyperlink"/>
            <w:highlight w:val="red"/>
          </w:rPr>
          <w:t>White Paper Channel.</w:t>
        </w:r>
      </w:hyperlink>
    </w:p>
    <w:p w14:paraId="76AC4216" w14:textId="77777777" w:rsidR="003F3F02" w:rsidRPr="00D30652" w:rsidRDefault="003F3F02" w:rsidP="003F3F02">
      <w:pPr>
        <w:rPr>
          <w:rStyle w:val="Hyperlink"/>
          <w:highlight w:val="red"/>
        </w:rPr>
      </w:pPr>
    </w:p>
    <w:p w14:paraId="49703B8E" w14:textId="76E28872" w:rsidR="003F3F02" w:rsidRPr="00D30652" w:rsidRDefault="003F3F02" w:rsidP="003F3F02">
      <w:pPr>
        <w:pStyle w:val="NormalWeb"/>
        <w:rPr>
          <w:rFonts w:ascii="Arial" w:hAnsi="Arial" w:cs="Arial"/>
          <w:sz w:val="20"/>
          <w:szCs w:val="20"/>
          <w:highlight w:val="red"/>
        </w:rPr>
      </w:pPr>
      <w:r w:rsidRPr="00D30652">
        <w:rPr>
          <w:rFonts w:ascii="Calibri" w:hAnsi="Calibri"/>
          <w:b/>
          <w:color w:val="000000"/>
          <w:sz w:val="22"/>
          <w:szCs w:val="22"/>
          <w:highlight w:val="red"/>
        </w:rPr>
        <w:t>Integra White Paper 2</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RT-PCR Setup for COVID-19 Testing</w:t>
      </w:r>
      <w:r w:rsidRPr="00D30652">
        <w:rPr>
          <w:rFonts w:ascii="Arial" w:hAnsi="Arial" w:cs="Arial"/>
          <w:sz w:val="20"/>
          <w:szCs w:val="20"/>
          <w:highlight w:val="red"/>
        </w:rPr>
        <w:br/>
      </w:r>
      <w:r w:rsidRPr="00D30652">
        <w:rPr>
          <w:rFonts w:ascii="Arial" w:hAnsi="Arial" w:cs="Arial"/>
          <w:sz w:val="20"/>
          <w:szCs w:val="20"/>
          <w:highlight w:val="red"/>
        </w:rPr>
        <w:br/>
        <w:t>Body: This whitepaper from Integra highlights describes how the ASSIST PLUS pipetting robot and other tools helped automate RT-PCR setup in COVID-19 testing laboratories.</w:t>
      </w:r>
    </w:p>
    <w:p w14:paraId="71A9904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3" w:history="1">
        <w:r w:rsidRPr="00D30652">
          <w:rPr>
            <w:rStyle w:val="Hyperlink"/>
            <w:highlight w:val="red"/>
          </w:rPr>
          <w:t>White Paper Channel.</w:t>
        </w:r>
      </w:hyperlink>
    </w:p>
    <w:p w14:paraId="45F69FF1" w14:textId="77777777" w:rsidR="00C92D94" w:rsidRPr="00D30652" w:rsidRDefault="00C92D94" w:rsidP="003F3F02">
      <w:pPr>
        <w:rPr>
          <w:rStyle w:val="Hyperlink"/>
          <w:highlight w:val="red"/>
        </w:rPr>
      </w:pPr>
    </w:p>
    <w:p w14:paraId="1110B788" w14:textId="45C4873C" w:rsidR="003F3F02" w:rsidRPr="00D30652" w:rsidRDefault="00C92D94" w:rsidP="003F3F02">
      <w:pPr>
        <w:rPr>
          <w:highlight w:val="red"/>
        </w:rPr>
      </w:pPr>
      <w:r w:rsidRPr="00D30652">
        <w:rPr>
          <w:rStyle w:val="Hyperlink"/>
          <w:highlight w:val="red"/>
        </w:rPr>
        <w:t>URL:</w:t>
      </w:r>
      <w:r w:rsidRPr="00D30652">
        <w:rPr>
          <w:highlight w:val="red"/>
        </w:rPr>
        <w:t xml:space="preserve"> </w:t>
      </w:r>
      <w:hyperlink r:id="rId224" w:history="1">
        <w:r w:rsidR="00957BA6" w:rsidRPr="00D30652">
          <w:rPr>
            <w:rStyle w:val="Hyperlink"/>
            <w:highlight w:val="red"/>
          </w:rPr>
          <w:t>https://gw-resources.tradepub.com/c/pubRD.mpl?secure=1&amp;sr=pp&amp;_t=pp:&amp;qf=w_defa902&amp;ch=</w:t>
        </w:r>
      </w:hyperlink>
    </w:p>
    <w:p w14:paraId="1F84D72D" w14:textId="77777777" w:rsidR="00957BA6" w:rsidRPr="00D30652" w:rsidRDefault="00957BA6" w:rsidP="003F3F02">
      <w:pPr>
        <w:rPr>
          <w:rStyle w:val="Hyperlink"/>
          <w:highlight w:val="red"/>
        </w:rPr>
      </w:pPr>
    </w:p>
    <w:p w14:paraId="495D97AD" w14:textId="25ADF1C1"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3</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Protein Purification with a Handheld Electronic Pipette</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how an electronic multichannel pipette can automate protein purification using immobilized metal affinity chromatography (IMAC).</w:t>
      </w:r>
    </w:p>
    <w:p w14:paraId="2690955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3BD63F3"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5" w:history="1">
        <w:r w:rsidRPr="00D30652">
          <w:rPr>
            <w:rStyle w:val="Hyperlink"/>
            <w:highlight w:val="red"/>
          </w:rPr>
          <w:t>White Paper Channel.</w:t>
        </w:r>
      </w:hyperlink>
    </w:p>
    <w:p w14:paraId="63B0301A" w14:textId="77777777" w:rsidR="003F3F02" w:rsidRPr="00D30652" w:rsidRDefault="003F3F02" w:rsidP="003F3F02">
      <w:pPr>
        <w:rPr>
          <w:rStyle w:val="Hyperlink"/>
          <w:highlight w:val="red"/>
        </w:rPr>
      </w:pPr>
    </w:p>
    <w:p w14:paraId="79323294" w14:textId="440CCD2C"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4</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Nucleic Acid Extraction and RT-PCR Setups for SARS-CoV-2 Testing</w:t>
      </w:r>
      <w:r w:rsidRPr="00D30652">
        <w:rPr>
          <w:rFonts w:ascii="Arial" w:hAnsi="Arial" w:cs="Arial"/>
          <w:sz w:val="20"/>
          <w:szCs w:val="20"/>
          <w:highlight w:val="red"/>
        </w:rPr>
        <w:br/>
      </w:r>
      <w:r w:rsidRPr="00D30652">
        <w:rPr>
          <w:rFonts w:ascii="Arial" w:hAnsi="Arial" w:cs="Arial"/>
          <w:sz w:val="20"/>
          <w:szCs w:val="20"/>
          <w:highlight w:val="red"/>
        </w:rPr>
        <w:br/>
        <w:t>Body: This application note from Integra describes how a pipetting robot can be used for rapid implementation of COVID-19 testing and automation of sample preparation processes.</w:t>
      </w:r>
    </w:p>
    <w:p w14:paraId="15CB4F81"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6" w:history="1">
        <w:r w:rsidRPr="00D30652">
          <w:rPr>
            <w:rStyle w:val="Hyperlink"/>
            <w:highlight w:val="red"/>
          </w:rPr>
          <w:t>White Paper Channel.</w:t>
        </w:r>
      </w:hyperlink>
    </w:p>
    <w:p w14:paraId="145E6B2E" w14:textId="77777777" w:rsidR="00C92D94" w:rsidRPr="00D30652" w:rsidRDefault="00C92D94" w:rsidP="003F3F02">
      <w:pPr>
        <w:rPr>
          <w:rStyle w:val="Hyperlink"/>
          <w:highlight w:val="red"/>
        </w:rPr>
      </w:pPr>
    </w:p>
    <w:p w14:paraId="630B50C9" w14:textId="415AD788" w:rsidR="00C92D94" w:rsidRPr="00D30652" w:rsidRDefault="00C92D94" w:rsidP="003F3F02">
      <w:pPr>
        <w:rPr>
          <w:rStyle w:val="Hyperlink"/>
          <w:highlight w:val="red"/>
        </w:rPr>
      </w:pPr>
      <w:r w:rsidRPr="00D30652">
        <w:rPr>
          <w:rStyle w:val="Hyperlink"/>
          <w:highlight w:val="red"/>
        </w:rPr>
        <w:t xml:space="preserve">URL:  </w:t>
      </w:r>
      <w:hyperlink r:id="rId227" w:history="1">
        <w:r w:rsidR="00957BA6" w:rsidRPr="00D30652">
          <w:rPr>
            <w:rStyle w:val="Hyperlink"/>
            <w:highlight w:val="red"/>
          </w:rPr>
          <w:t>https://gw-resources.tradepub.com/c/pubRD.mpl?secure=1&amp;sr=pp&amp;_t=pp:&amp;qf=w_defa900&amp;ch=</w:t>
        </w:r>
      </w:hyperlink>
    </w:p>
    <w:p w14:paraId="33B5C588" w14:textId="77777777" w:rsidR="003F3F02" w:rsidRPr="00D30652" w:rsidRDefault="003F3F02" w:rsidP="003F3F02">
      <w:pPr>
        <w:rPr>
          <w:rStyle w:val="Hyperlink"/>
          <w:highlight w:val="red"/>
        </w:rPr>
      </w:pPr>
    </w:p>
    <w:p w14:paraId="5F67B8B0" w14:textId="2D5BD34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5</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High-Throughput, 3D Assay Development on Spheroids in 1536 Well Plates</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about an automated method for seeding, dosing, and assaying spheroids in 1536-well spheroid microplates.</w:t>
      </w:r>
    </w:p>
    <w:p w14:paraId="29252050"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05577E1" w14:textId="77777777" w:rsidR="003F3F02" w:rsidRPr="00D30652" w:rsidRDefault="003F3F02" w:rsidP="003F3F02">
      <w:pPr>
        <w:rPr>
          <w:rStyle w:val="Hyperlink"/>
          <w:highlight w:val="red"/>
        </w:rPr>
      </w:pPr>
      <w:r w:rsidRPr="00D30652">
        <w:rPr>
          <w:highlight w:val="red"/>
        </w:rPr>
        <w:lastRenderedPageBreak/>
        <w:t xml:space="preserve">Download it from </w:t>
      </w:r>
      <w:proofErr w:type="spellStart"/>
      <w:r w:rsidRPr="00D30652">
        <w:rPr>
          <w:highlight w:val="red"/>
        </w:rPr>
        <w:t>GenomeWeb’s</w:t>
      </w:r>
      <w:proofErr w:type="spellEnd"/>
      <w:r w:rsidRPr="00D30652">
        <w:rPr>
          <w:highlight w:val="red"/>
        </w:rPr>
        <w:t xml:space="preserve"> </w:t>
      </w:r>
      <w:hyperlink r:id="rId228" w:history="1">
        <w:r w:rsidRPr="00D30652">
          <w:rPr>
            <w:rStyle w:val="Hyperlink"/>
            <w:highlight w:val="red"/>
          </w:rPr>
          <w:t>White Paper Channel.</w:t>
        </w:r>
      </w:hyperlink>
    </w:p>
    <w:p w14:paraId="39E4ABE9" w14:textId="77777777" w:rsidR="003F3F02" w:rsidRPr="00D30652" w:rsidRDefault="003F3F02" w:rsidP="003F3F02">
      <w:pPr>
        <w:rPr>
          <w:rStyle w:val="Hyperlink"/>
          <w:highlight w:val="red"/>
        </w:rPr>
      </w:pPr>
    </w:p>
    <w:p w14:paraId="14A3D3D4" w14:textId="72782D0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6</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Performance of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br/>
      </w:r>
      <w:r w:rsidRPr="00D30652">
        <w:rPr>
          <w:rFonts w:ascii="Arial" w:hAnsi="Arial" w:cs="Arial"/>
          <w:sz w:val="20"/>
          <w:szCs w:val="20"/>
          <w:highlight w:val="red"/>
        </w:rPr>
        <w:br/>
        <w:t xml:space="preserve">Body: This application guide by Integra illustrates the advantages of using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t xml:space="preserve"> when pipetting low surface tension liquids.</w:t>
      </w:r>
    </w:p>
    <w:p w14:paraId="6C0218BF"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277C421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9" w:history="1">
        <w:r w:rsidRPr="00D30652">
          <w:rPr>
            <w:rStyle w:val="Hyperlink"/>
            <w:highlight w:val="red"/>
          </w:rPr>
          <w:t>White Paper Channel.</w:t>
        </w:r>
      </w:hyperlink>
    </w:p>
    <w:p w14:paraId="650012A4" w14:textId="77777777" w:rsidR="003F3F02" w:rsidRPr="00D30652" w:rsidRDefault="003F3F02" w:rsidP="003F3F02">
      <w:pPr>
        <w:rPr>
          <w:rStyle w:val="Hyperlink"/>
          <w:highlight w:val="red"/>
        </w:rPr>
      </w:pPr>
    </w:p>
    <w:p w14:paraId="4ED816D0" w14:textId="6ED4CEA8"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7</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Measuring Dead Volume in Multichannel Reagent Reservoirs</w:t>
      </w:r>
      <w:r w:rsidRPr="00D30652">
        <w:rPr>
          <w:rFonts w:ascii="Arial" w:hAnsi="Arial" w:cs="Arial"/>
          <w:sz w:val="20"/>
          <w:szCs w:val="20"/>
          <w:highlight w:val="red"/>
        </w:rPr>
        <w:br/>
      </w:r>
      <w:r w:rsidRPr="00D30652">
        <w:rPr>
          <w:rFonts w:ascii="Arial" w:hAnsi="Arial" w:cs="Arial"/>
          <w:sz w:val="20"/>
          <w:szCs w:val="20"/>
          <w:highlight w:val="red"/>
        </w:rPr>
        <w:br/>
        <w:t>Body: This technical note from Integra describes a</w:t>
      </w:r>
      <w:r w:rsidRPr="00D30652">
        <w:rPr>
          <w:highlight w:val="red"/>
        </w:rPr>
        <w:t xml:space="preserve"> </w:t>
      </w:r>
      <w:r w:rsidRPr="00D30652">
        <w:rPr>
          <w:rFonts w:ascii="Arial" w:hAnsi="Arial" w:cs="Arial"/>
          <w:sz w:val="20"/>
          <w:szCs w:val="20"/>
          <w:highlight w:val="red"/>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5C241F1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0" w:history="1">
        <w:r w:rsidRPr="00D30652">
          <w:rPr>
            <w:rStyle w:val="Hyperlink"/>
            <w:highlight w:val="red"/>
          </w:rPr>
          <w:t>White Paper Channel.</w:t>
        </w:r>
      </w:hyperlink>
    </w:p>
    <w:p w14:paraId="70C8EDA5" w14:textId="77777777" w:rsidR="003F3F02" w:rsidRPr="00D30652" w:rsidRDefault="003F3F02" w:rsidP="003F3F02">
      <w:pPr>
        <w:rPr>
          <w:rStyle w:val="Hyperlink"/>
          <w:highlight w:val="red"/>
        </w:rPr>
      </w:pPr>
    </w:p>
    <w:p w14:paraId="6751D9A9" w14:textId="73F5EC6B"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8</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Automated Affinity Purification of Immunoglobulins </w:t>
      </w:r>
      <w:r w:rsidRPr="00D30652">
        <w:rPr>
          <w:rFonts w:ascii="Arial" w:hAnsi="Arial" w:cs="Arial"/>
          <w:sz w:val="20"/>
          <w:szCs w:val="20"/>
          <w:highlight w:val="red"/>
        </w:rPr>
        <w:br/>
      </w:r>
      <w:r w:rsidRPr="00D30652">
        <w:rPr>
          <w:rFonts w:ascii="Arial" w:hAnsi="Arial" w:cs="Arial"/>
          <w:sz w:val="20"/>
          <w:szCs w:val="20"/>
          <w:highlight w:val="red"/>
        </w:rPr>
        <w:br/>
        <w:t>Body: The affinity extraction protocol described in this application note from Integra demonstrates high recoveries, low background, and reproducible antibody enrichment.</w:t>
      </w:r>
    </w:p>
    <w:p w14:paraId="4A18190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9846228"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1" w:history="1">
        <w:r w:rsidRPr="00D30652">
          <w:rPr>
            <w:rStyle w:val="Hyperlink"/>
            <w:highlight w:val="red"/>
          </w:rPr>
          <w:t>White Paper Channel.</w:t>
        </w:r>
      </w:hyperlink>
    </w:p>
    <w:p w14:paraId="06B658C0" w14:textId="77777777" w:rsidR="003F3F02" w:rsidRPr="00D30652" w:rsidRDefault="003F3F02" w:rsidP="003F3F02">
      <w:pPr>
        <w:rPr>
          <w:rStyle w:val="Hyperlink"/>
          <w:highlight w:val="red"/>
        </w:rPr>
      </w:pPr>
    </w:p>
    <w:p w14:paraId="1C77646A" w14:textId="2CBE9A53" w:rsidR="003F3F02" w:rsidRPr="00D30652" w:rsidRDefault="003F3F02" w:rsidP="003F3F02">
      <w:pPr>
        <w:pStyle w:val="NormalWeb"/>
        <w:spacing w:before="0" w:beforeAutospacing="0" w:after="0" w:afterAutospacing="0"/>
        <w:rPr>
          <w:rFonts w:ascii="Calibri" w:hAnsi="Calibri"/>
          <w:b/>
          <w:color w:val="000000"/>
          <w:sz w:val="22"/>
          <w:szCs w:val="22"/>
          <w:highlight w:val="red"/>
        </w:rPr>
      </w:pPr>
      <w:r w:rsidRPr="00D30652">
        <w:rPr>
          <w:rFonts w:ascii="Calibri" w:hAnsi="Calibri"/>
          <w:b/>
          <w:color w:val="000000"/>
          <w:sz w:val="22"/>
          <w:szCs w:val="22"/>
          <w:highlight w:val="red"/>
        </w:rPr>
        <w:t>Integra White Paper 9</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Increase your Sample Screening and Genotyping Assay Throughput </w:t>
      </w:r>
      <w:r w:rsidRPr="00D30652">
        <w:rPr>
          <w:rFonts w:ascii="Arial" w:hAnsi="Arial" w:cs="Arial"/>
          <w:sz w:val="20"/>
          <w:szCs w:val="20"/>
          <w:highlight w:val="red"/>
        </w:rPr>
        <w:br/>
      </w:r>
      <w:r w:rsidRPr="00D30652">
        <w:rPr>
          <w:rFonts w:ascii="Arial" w:hAnsi="Arial" w:cs="Arial"/>
          <w:sz w:val="20"/>
          <w:szCs w:val="20"/>
          <w:highlight w:val="red"/>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Pr="00D30652" w:rsidRDefault="003F3F02" w:rsidP="003F3F02">
      <w:pPr>
        <w:rPr>
          <w:highlight w:val="red"/>
        </w:rPr>
      </w:pPr>
    </w:p>
    <w:p w14:paraId="51718A1C"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2" w:history="1">
        <w:r w:rsidRPr="00D30652">
          <w:rPr>
            <w:rStyle w:val="Hyperlink"/>
            <w:highlight w:val="red"/>
          </w:rPr>
          <w:t>White Paper Channel.</w:t>
        </w:r>
      </w:hyperlink>
    </w:p>
    <w:p w14:paraId="0BCC2F10" w14:textId="77777777" w:rsidR="003F3F02" w:rsidRPr="00D30652" w:rsidRDefault="003F3F02" w:rsidP="003F3F02">
      <w:pPr>
        <w:rPr>
          <w:rStyle w:val="Hyperlink"/>
          <w:highlight w:val="red"/>
        </w:rPr>
      </w:pPr>
    </w:p>
    <w:p w14:paraId="333638F4" w14:textId="4E9F136E" w:rsidR="003F3F02" w:rsidRPr="00D30652" w:rsidRDefault="003F3F02" w:rsidP="003F3F02">
      <w:pPr>
        <w:rPr>
          <w:rFonts w:eastAsia="Times New Roman"/>
          <w:highlight w:val="red"/>
        </w:rPr>
      </w:pPr>
      <w:r w:rsidRPr="00D30652">
        <w:rPr>
          <w:rFonts w:ascii="Calibri" w:hAnsi="Calibri"/>
          <w:b/>
          <w:color w:val="000000"/>
          <w:sz w:val="22"/>
          <w:szCs w:val="22"/>
          <w:highlight w:val="red"/>
        </w:rPr>
        <w:t>Integra White Paper 10</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highlight w:val="red"/>
        </w:rPr>
        <w:t xml:space="preserve">Title: Setting up a 384 well </w:t>
      </w:r>
      <w:proofErr w:type="spellStart"/>
      <w:r w:rsidRPr="00D30652">
        <w:rPr>
          <w:highlight w:val="red"/>
        </w:rPr>
        <w:t>qRT</w:t>
      </w:r>
      <w:proofErr w:type="spellEnd"/>
      <w:r w:rsidRPr="00D30652">
        <w:rPr>
          <w:highlight w:val="red"/>
        </w:rPr>
        <w:t xml:space="preserve">-PCR assay for the </w:t>
      </w:r>
      <w:proofErr w:type="spellStart"/>
      <w:r w:rsidRPr="00D30652">
        <w:rPr>
          <w:highlight w:val="red"/>
        </w:rPr>
        <w:t>ViiA</w:t>
      </w:r>
      <w:proofErr w:type="spellEnd"/>
      <w:r w:rsidRPr="00D30652">
        <w:rPr>
          <w:highlight w:val="red"/>
        </w:rPr>
        <w:t xml:space="preserve"> 7</w:t>
      </w:r>
      <w:r w:rsidRPr="00D30652">
        <w:rPr>
          <w:highlight w:val="red"/>
        </w:rPr>
        <w:br/>
      </w:r>
      <w:r w:rsidRPr="00D30652">
        <w:rPr>
          <w:highlight w:val="red"/>
        </w:rPr>
        <w:br/>
        <w:t xml:space="preserve">Body: This application note from Integra </w:t>
      </w:r>
      <w:r w:rsidRPr="00D30652">
        <w:rPr>
          <w:rFonts w:eastAsia="Times New Roman"/>
          <w:highlight w:val="red"/>
        </w:rPr>
        <w:t xml:space="preserve">describes how to set up a 384-well </w:t>
      </w:r>
      <w:proofErr w:type="spellStart"/>
      <w:r w:rsidRPr="00D30652">
        <w:rPr>
          <w:rFonts w:eastAsia="Times New Roman"/>
          <w:highlight w:val="red"/>
        </w:rPr>
        <w:t>qRT</w:t>
      </w:r>
      <w:proofErr w:type="spellEnd"/>
      <w:r w:rsidRPr="00D30652">
        <w:rPr>
          <w:rFonts w:eastAsia="Times New Roman"/>
          <w:highlight w:val="red"/>
        </w:rPr>
        <w:t xml:space="preserve">-PCR assay by hand using a VIAFLO 16 channel 125 </w:t>
      </w:r>
      <w:proofErr w:type="spellStart"/>
      <w:r w:rsidRPr="00D30652">
        <w:rPr>
          <w:rFonts w:eastAsia="Times New Roman"/>
          <w:highlight w:val="red"/>
        </w:rPr>
        <w:t>μl</w:t>
      </w:r>
      <w:proofErr w:type="spellEnd"/>
      <w:r w:rsidRPr="00D30652">
        <w:rPr>
          <w:rFonts w:eastAsia="Times New Roman"/>
          <w:highlight w:val="red"/>
        </w:rPr>
        <w:t xml:space="preserve"> electronic pipette.</w:t>
      </w:r>
    </w:p>
    <w:p w14:paraId="4233AEB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725291A" w14:textId="53C1DC7F" w:rsidR="003F3F02" w:rsidRPr="00C53705" w:rsidRDefault="003F3F02" w:rsidP="003F3F02">
      <w:pPr>
        <w:rPr>
          <w:rFonts w:asciiTheme="minorHAnsi" w:hAnsiTheme="minorHAnsi" w:cstheme="minorHAnsi"/>
          <w:sz w:val="24"/>
          <w:szCs w:val="24"/>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3" w:history="1">
        <w:r w:rsidRPr="00D30652">
          <w:rPr>
            <w:rStyle w:val="Hyperlink"/>
            <w:highlight w:val="red"/>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000000"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000000"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21B7CF0E" w:rsidR="00390164" w:rsidRPr="00326BD7" w:rsidRDefault="00390164" w:rsidP="00390164">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White Paper 1</w:t>
      </w:r>
      <w:r w:rsidR="00326BD7">
        <w:rPr>
          <w:b/>
          <w:bCs/>
          <w:i/>
          <w:iCs/>
          <w:sz w:val="22"/>
          <w:szCs w:val="22"/>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3AF57CC8" w14:textId="77777777" w:rsidR="00390164" w:rsidRPr="00326BD7" w:rsidRDefault="00390164" w:rsidP="00390164">
      <w:pPr>
        <w:rPr>
          <w:sz w:val="22"/>
          <w:szCs w:val="22"/>
          <w:highlight w:val="red"/>
        </w:rPr>
      </w:pPr>
    </w:p>
    <w:p w14:paraId="76C0E35D" w14:textId="77777777" w:rsidR="00390164" w:rsidRPr="00326BD7" w:rsidRDefault="00390164" w:rsidP="00390164">
      <w:pPr>
        <w:rPr>
          <w:sz w:val="22"/>
          <w:szCs w:val="22"/>
          <w:highlight w:val="red"/>
        </w:rPr>
      </w:pPr>
      <w:r w:rsidRPr="00326BD7">
        <w:rPr>
          <w:b/>
          <w:bCs/>
          <w:sz w:val="22"/>
          <w:szCs w:val="22"/>
          <w:highlight w:val="red"/>
        </w:rPr>
        <w:t>Title:</w:t>
      </w:r>
      <w:r w:rsidRPr="00326BD7">
        <w:rPr>
          <w:sz w:val="22"/>
          <w:szCs w:val="22"/>
          <w:highlight w:val="red"/>
        </w:rPr>
        <w:t xml:space="preserve"> CRISPR-Mediated Depletion of Ribosomal RNA-Derived DNA</w:t>
      </w:r>
    </w:p>
    <w:p w14:paraId="60DF5767" w14:textId="77777777" w:rsidR="00390164" w:rsidRPr="00326BD7" w:rsidRDefault="00390164" w:rsidP="00390164">
      <w:pPr>
        <w:rPr>
          <w:sz w:val="22"/>
          <w:szCs w:val="22"/>
          <w:highlight w:val="red"/>
        </w:rPr>
      </w:pPr>
    </w:p>
    <w:p w14:paraId="7328E48E" w14:textId="77777777" w:rsidR="00390164" w:rsidRPr="00326BD7" w:rsidRDefault="00390164" w:rsidP="00390164">
      <w:pPr>
        <w:rPr>
          <w:sz w:val="22"/>
          <w:szCs w:val="22"/>
          <w:highlight w:val="red"/>
        </w:rPr>
      </w:pPr>
      <w:r w:rsidRPr="00326BD7">
        <w:rPr>
          <w:b/>
          <w:bCs/>
          <w:sz w:val="22"/>
          <w:szCs w:val="22"/>
          <w:highlight w:val="red"/>
        </w:rPr>
        <w:t>Body:</w:t>
      </w:r>
      <w:r w:rsidRPr="00326BD7">
        <w:rPr>
          <w:sz w:val="22"/>
          <w:szCs w:val="22"/>
          <w:highlight w:val="red"/>
        </w:rPr>
        <w:t xml:space="preserve"> This poster from </w:t>
      </w:r>
      <w:proofErr w:type="spellStart"/>
      <w:r w:rsidRPr="00326BD7">
        <w:rPr>
          <w:sz w:val="22"/>
          <w:szCs w:val="22"/>
          <w:highlight w:val="red"/>
        </w:rPr>
        <w:t>Jumpcode</w:t>
      </w:r>
      <w:proofErr w:type="spellEnd"/>
      <w:r w:rsidRPr="00326BD7">
        <w:rPr>
          <w:sz w:val="22"/>
          <w:szCs w:val="22"/>
          <w:highlight w:val="red"/>
        </w:rPr>
        <w:t xml:space="preserve"> demonstrates the use of CRISPR-mediated ribosomal RNA (rRNA) depletion from RNA-seq libraries, finding that greater than 99 percent of reads derived from rRNA were removed after CRISPR treatment using guide RNA sets designed from the rRNA sequences.</w:t>
      </w:r>
    </w:p>
    <w:p w14:paraId="02D50923" w14:textId="77777777" w:rsidR="00390164" w:rsidRPr="00326BD7" w:rsidRDefault="00390164" w:rsidP="00390164">
      <w:pPr>
        <w:rPr>
          <w:sz w:val="22"/>
          <w:szCs w:val="22"/>
          <w:highlight w:val="red"/>
        </w:rPr>
      </w:pPr>
    </w:p>
    <w:p w14:paraId="41CC2668" w14:textId="77777777" w:rsidR="00390164" w:rsidRDefault="00390164" w:rsidP="00390164">
      <w:pPr>
        <w:rPr>
          <w:sz w:val="22"/>
          <w:szCs w:val="22"/>
        </w:rPr>
      </w:pPr>
      <w:r w:rsidRPr="00326BD7">
        <w:rPr>
          <w:sz w:val="22"/>
          <w:szCs w:val="22"/>
          <w:highlight w:val="red"/>
        </w:rPr>
        <w:t xml:space="preserve">Download it from </w:t>
      </w:r>
      <w:proofErr w:type="spellStart"/>
      <w:r w:rsidRPr="00326BD7">
        <w:rPr>
          <w:sz w:val="22"/>
          <w:szCs w:val="22"/>
          <w:highlight w:val="red"/>
        </w:rPr>
        <w:t>GenomeWeb’s</w:t>
      </w:r>
      <w:proofErr w:type="spellEnd"/>
      <w:r w:rsidRPr="00326BD7">
        <w:rPr>
          <w:sz w:val="22"/>
          <w:szCs w:val="22"/>
          <w:highlight w:val="red"/>
        </w:rPr>
        <w:t xml:space="preserve"> </w:t>
      </w:r>
      <w:hyperlink r:id="rId702" w:history="1">
        <w:r w:rsidRPr="00326BD7">
          <w:rPr>
            <w:rStyle w:val="Hyperlink"/>
            <w:sz w:val="22"/>
            <w:szCs w:val="22"/>
            <w:highlight w:val="red"/>
          </w:rPr>
          <w:t>White Paper Channel</w:t>
        </w:r>
      </w:hyperlink>
      <w:r w:rsidRPr="00326BD7">
        <w:rPr>
          <w:sz w:val="22"/>
          <w:szCs w:val="22"/>
          <w:highlight w:val="red"/>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8073489" w:rsidR="00390164" w:rsidRPr="00326BD7" w:rsidRDefault="00390164" w:rsidP="00390164">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White Paper 2:</w:t>
      </w:r>
      <w:r w:rsidR="00326BD7">
        <w:rPr>
          <w:b/>
          <w:bCs/>
          <w:i/>
          <w:iCs/>
          <w:sz w:val="22"/>
          <w:szCs w:val="22"/>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4F4AAC93" w14:textId="77777777" w:rsidR="00390164" w:rsidRPr="00326BD7" w:rsidRDefault="00390164" w:rsidP="00390164">
      <w:pPr>
        <w:rPr>
          <w:sz w:val="22"/>
          <w:szCs w:val="22"/>
          <w:highlight w:val="red"/>
        </w:rPr>
      </w:pPr>
    </w:p>
    <w:p w14:paraId="7ECB5FB6" w14:textId="77777777" w:rsidR="00390164" w:rsidRPr="00326BD7" w:rsidRDefault="00390164" w:rsidP="00390164">
      <w:pPr>
        <w:rPr>
          <w:sz w:val="22"/>
          <w:szCs w:val="22"/>
          <w:highlight w:val="red"/>
        </w:rPr>
      </w:pPr>
      <w:r w:rsidRPr="00326BD7">
        <w:rPr>
          <w:b/>
          <w:bCs/>
          <w:sz w:val="22"/>
          <w:szCs w:val="22"/>
          <w:highlight w:val="red"/>
        </w:rPr>
        <w:t>Title:</w:t>
      </w:r>
      <w:r w:rsidRPr="00326BD7">
        <w:rPr>
          <w:sz w:val="22"/>
          <w:szCs w:val="22"/>
          <w:highlight w:val="red"/>
        </w:rPr>
        <w:t xml:space="preserve"> A CRISPR-Powered Universal Infectious Disease Assay</w:t>
      </w:r>
    </w:p>
    <w:p w14:paraId="5B23C0ED" w14:textId="77777777" w:rsidR="00390164" w:rsidRPr="00326BD7" w:rsidRDefault="00390164" w:rsidP="00390164">
      <w:pPr>
        <w:rPr>
          <w:sz w:val="22"/>
          <w:szCs w:val="22"/>
          <w:highlight w:val="red"/>
        </w:rPr>
      </w:pPr>
    </w:p>
    <w:p w14:paraId="05AD2F06" w14:textId="77777777" w:rsidR="00390164" w:rsidRPr="00CB5B9F" w:rsidRDefault="00390164" w:rsidP="00390164">
      <w:pPr>
        <w:rPr>
          <w:sz w:val="22"/>
          <w:szCs w:val="22"/>
        </w:rPr>
      </w:pPr>
      <w:r w:rsidRPr="00326BD7">
        <w:rPr>
          <w:b/>
          <w:bCs/>
          <w:sz w:val="22"/>
          <w:szCs w:val="22"/>
          <w:highlight w:val="red"/>
        </w:rPr>
        <w:t>Body:</w:t>
      </w:r>
      <w:r w:rsidRPr="00326BD7">
        <w:rPr>
          <w:sz w:val="22"/>
          <w:szCs w:val="22"/>
          <w:highlight w:val="red"/>
        </w:rPr>
        <w:t xml:space="preserve"> This poster from </w:t>
      </w:r>
      <w:proofErr w:type="spellStart"/>
      <w:r w:rsidRPr="00326BD7">
        <w:rPr>
          <w:sz w:val="22"/>
          <w:szCs w:val="22"/>
          <w:highlight w:val="red"/>
        </w:rPr>
        <w:t>Jumpcode</w:t>
      </w:r>
      <w:proofErr w:type="spellEnd"/>
      <w:r w:rsidRPr="00326BD7">
        <w:rPr>
          <w:sz w:val="22"/>
          <w:szCs w:val="22"/>
          <w:highlight w:val="red"/>
        </w:rPr>
        <w:t xml:space="preserve"> presents an RNA metagenomic next-generation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6A11B614" w:rsidR="00390164" w:rsidRPr="00326BD7" w:rsidRDefault="00390164" w:rsidP="00390164">
      <w:pPr>
        <w:rPr>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White Paper 3:</w:t>
      </w:r>
      <w:r w:rsidR="00326BD7">
        <w:rPr>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3C59C244" w14:textId="77777777" w:rsidR="00390164" w:rsidRPr="00326BD7" w:rsidRDefault="00390164" w:rsidP="00390164">
      <w:pPr>
        <w:rPr>
          <w:sz w:val="22"/>
          <w:szCs w:val="22"/>
          <w:highlight w:val="red"/>
        </w:rPr>
      </w:pPr>
    </w:p>
    <w:p w14:paraId="5A7E8F55" w14:textId="77777777" w:rsidR="00390164" w:rsidRPr="00326BD7" w:rsidRDefault="00390164" w:rsidP="00390164">
      <w:pPr>
        <w:rPr>
          <w:sz w:val="22"/>
          <w:szCs w:val="22"/>
          <w:highlight w:val="red"/>
        </w:rPr>
      </w:pPr>
      <w:r w:rsidRPr="00326BD7">
        <w:rPr>
          <w:b/>
          <w:bCs/>
          <w:sz w:val="22"/>
          <w:szCs w:val="22"/>
          <w:highlight w:val="red"/>
        </w:rPr>
        <w:t>Title:</w:t>
      </w:r>
      <w:r w:rsidRPr="00326BD7">
        <w:rPr>
          <w:sz w:val="22"/>
          <w:szCs w:val="22"/>
          <w:highlight w:val="red"/>
        </w:rPr>
        <w:t xml:space="preserve"> A CRISPR-Based Depletion System to Improve Single-Cell RNA Sequencing</w:t>
      </w:r>
    </w:p>
    <w:p w14:paraId="444D878C" w14:textId="77777777" w:rsidR="00390164" w:rsidRPr="00326BD7" w:rsidRDefault="00390164" w:rsidP="00390164">
      <w:pPr>
        <w:rPr>
          <w:sz w:val="22"/>
          <w:szCs w:val="22"/>
          <w:highlight w:val="red"/>
        </w:rPr>
      </w:pPr>
    </w:p>
    <w:p w14:paraId="6D55CD43" w14:textId="77777777" w:rsidR="00390164" w:rsidRPr="00326BD7" w:rsidRDefault="00390164" w:rsidP="00390164">
      <w:pPr>
        <w:rPr>
          <w:sz w:val="22"/>
          <w:szCs w:val="22"/>
          <w:highlight w:val="red"/>
        </w:rPr>
      </w:pPr>
      <w:r w:rsidRPr="00326BD7">
        <w:rPr>
          <w:b/>
          <w:bCs/>
          <w:sz w:val="22"/>
          <w:szCs w:val="22"/>
          <w:highlight w:val="red"/>
        </w:rPr>
        <w:lastRenderedPageBreak/>
        <w:t>Body:</w:t>
      </w:r>
      <w:r w:rsidRPr="00326BD7">
        <w:rPr>
          <w:sz w:val="22"/>
          <w:szCs w:val="22"/>
          <w:highlight w:val="red"/>
        </w:rPr>
        <w:t xml:space="preserve"> This poster from </w:t>
      </w:r>
      <w:proofErr w:type="spellStart"/>
      <w:r w:rsidRPr="00326BD7">
        <w:rPr>
          <w:sz w:val="22"/>
          <w:szCs w:val="22"/>
          <w:highlight w:val="red"/>
        </w:rPr>
        <w:t>Jumpcode</w:t>
      </w:r>
      <w:proofErr w:type="spellEnd"/>
      <w:r w:rsidRPr="00326BD7">
        <w:rPr>
          <w:sz w:val="22"/>
          <w:szCs w:val="22"/>
          <w:highlight w:val="red"/>
        </w:rPr>
        <w:t xml:space="preserve"> presents a CRISPR-based system to improve single-cell RNA sequencing by depleting uninformative molecules from a sequencing library, allowing sequencer capacity to be efficiently used for greater sensitivity and/or reduced cost.</w:t>
      </w:r>
    </w:p>
    <w:p w14:paraId="0FB08784" w14:textId="77777777" w:rsidR="00390164" w:rsidRPr="00326BD7" w:rsidRDefault="00390164" w:rsidP="00390164">
      <w:pPr>
        <w:rPr>
          <w:sz w:val="22"/>
          <w:szCs w:val="22"/>
          <w:highlight w:val="red"/>
        </w:rPr>
      </w:pPr>
    </w:p>
    <w:p w14:paraId="024B9651" w14:textId="77777777" w:rsidR="00390164" w:rsidRDefault="00390164" w:rsidP="00390164">
      <w:pPr>
        <w:rPr>
          <w:sz w:val="22"/>
          <w:szCs w:val="22"/>
        </w:rPr>
      </w:pPr>
      <w:r w:rsidRPr="00326BD7">
        <w:rPr>
          <w:sz w:val="22"/>
          <w:szCs w:val="22"/>
          <w:highlight w:val="red"/>
        </w:rPr>
        <w:t xml:space="preserve">Download it from </w:t>
      </w:r>
      <w:proofErr w:type="spellStart"/>
      <w:r w:rsidRPr="00326BD7">
        <w:rPr>
          <w:sz w:val="22"/>
          <w:szCs w:val="22"/>
          <w:highlight w:val="red"/>
        </w:rPr>
        <w:t>GenomeWeb’s</w:t>
      </w:r>
      <w:proofErr w:type="spellEnd"/>
      <w:r w:rsidRPr="00326BD7">
        <w:rPr>
          <w:sz w:val="22"/>
          <w:szCs w:val="22"/>
          <w:highlight w:val="red"/>
        </w:rPr>
        <w:t xml:space="preserve"> </w:t>
      </w:r>
      <w:hyperlink r:id="rId704" w:history="1">
        <w:r w:rsidRPr="00326BD7">
          <w:rPr>
            <w:rStyle w:val="Hyperlink"/>
            <w:sz w:val="22"/>
            <w:szCs w:val="22"/>
            <w:highlight w:val="red"/>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000000"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6A06291F" w:rsidR="00E40B16" w:rsidRPr="00326BD7" w:rsidRDefault="00E40B16" w:rsidP="00E40B16">
      <w:pPr>
        <w:rPr>
          <w:b/>
          <w:bCs/>
          <w:i/>
          <w:iCs/>
          <w:highlight w:val="red"/>
        </w:rPr>
      </w:pPr>
      <w:proofErr w:type="spellStart"/>
      <w:r w:rsidRPr="00326BD7">
        <w:rPr>
          <w:b/>
          <w:bCs/>
          <w:i/>
          <w:iCs/>
          <w:highlight w:val="red"/>
        </w:rPr>
        <w:t>Jumpcode</w:t>
      </w:r>
      <w:proofErr w:type="spellEnd"/>
      <w:r w:rsidRPr="00326BD7">
        <w:rPr>
          <w:b/>
          <w:bCs/>
          <w:i/>
          <w:iCs/>
          <w:highlight w:val="red"/>
        </w:rPr>
        <w:t xml:space="preserve"> Webinar 1:</w:t>
      </w:r>
      <w:r w:rsidR="00326BD7">
        <w:rPr>
          <w:b/>
          <w:bCs/>
          <w:i/>
          <w:iCs/>
          <w:highlight w:val="red"/>
        </w:rPr>
        <w:t xml:space="preserve"> </w:t>
      </w:r>
      <w:proofErr w:type="gramStart"/>
      <w:r w:rsidR="00326BD7">
        <w:rPr>
          <w:b/>
          <w:bCs/>
          <w:i/>
          <w:iCs/>
          <w:highlight w:val="red"/>
        </w:rPr>
        <w:t>( Retired</w:t>
      </w:r>
      <w:proofErr w:type="gramEnd"/>
      <w:r w:rsidR="00326BD7">
        <w:rPr>
          <w:b/>
          <w:bCs/>
          <w:i/>
          <w:iCs/>
          <w:highlight w:val="red"/>
        </w:rPr>
        <w:t xml:space="preserve"> )</w:t>
      </w:r>
    </w:p>
    <w:p w14:paraId="6044F17B" w14:textId="77777777" w:rsidR="00E40B16" w:rsidRPr="00326BD7" w:rsidRDefault="00E40B16" w:rsidP="00E40B16">
      <w:pPr>
        <w:rPr>
          <w:highlight w:val="red"/>
        </w:rPr>
      </w:pPr>
    </w:p>
    <w:p w14:paraId="4FF0E807" w14:textId="77777777" w:rsidR="00E40B16" w:rsidRPr="00326BD7" w:rsidRDefault="00E40B16" w:rsidP="00E40B16">
      <w:pPr>
        <w:rPr>
          <w:highlight w:val="red"/>
        </w:rPr>
      </w:pPr>
      <w:r w:rsidRPr="00326BD7">
        <w:rPr>
          <w:b/>
          <w:bCs/>
          <w:highlight w:val="red"/>
        </w:rPr>
        <w:t>Title:</w:t>
      </w:r>
      <w:r w:rsidRPr="00326BD7">
        <w:rPr>
          <w:highlight w:val="red"/>
        </w:rPr>
        <w:t xml:space="preserve"> Employing the Specificity of CRISPR-Cas9 to Refine NGS Libraries</w:t>
      </w:r>
    </w:p>
    <w:p w14:paraId="68024768" w14:textId="77777777" w:rsidR="00E40B16" w:rsidRPr="00326BD7" w:rsidRDefault="00E40B16" w:rsidP="00E40B16">
      <w:pPr>
        <w:rPr>
          <w:highlight w:val="red"/>
        </w:rPr>
      </w:pPr>
    </w:p>
    <w:p w14:paraId="3A7A4C14" w14:textId="77777777" w:rsidR="00E40B16" w:rsidRPr="00326BD7" w:rsidRDefault="00E40B16" w:rsidP="00E40B16">
      <w:pPr>
        <w:rPr>
          <w:highlight w:val="red"/>
        </w:rPr>
      </w:pPr>
      <w:r w:rsidRPr="00326BD7">
        <w:rPr>
          <w:b/>
          <w:bCs/>
          <w:highlight w:val="red"/>
        </w:rPr>
        <w:t>Body:</w:t>
      </w:r>
      <w:r w:rsidRPr="00326BD7">
        <w:rPr>
          <w:highlight w:val="red"/>
        </w:rPr>
        <w:t xml:space="preserve"> This on-demand webinar from </w:t>
      </w:r>
      <w:proofErr w:type="spellStart"/>
      <w:r w:rsidRPr="00326BD7">
        <w:rPr>
          <w:highlight w:val="red"/>
        </w:rPr>
        <w:t>Jumpcode</w:t>
      </w:r>
      <w:proofErr w:type="spellEnd"/>
      <w:r w:rsidRPr="00326BD7">
        <w:rPr>
          <w:highlight w:val="red"/>
        </w:rPr>
        <w:t xml:space="preserve"> discusses how </w:t>
      </w:r>
      <w:proofErr w:type="spellStart"/>
      <w:r w:rsidRPr="00326BD7">
        <w:rPr>
          <w:highlight w:val="red"/>
        </w:rPr>
        <w:t>CRISPRclean</w:t>
      </w:r>
      <w:proofErr w:type="spellEnd"/>
      <w:r w:rsidRPr="00326BD7">
        <w:rPr>
          <w:highlight w:val="red"/>
        </w:rPr>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326BD7" w:rsidRDefault="00E40B16" w:rsidP="00E40B16">
      <w:pPr>
        <w:rPr>
          <w:highlight w:val="red"/>
        </w:rPr>
      </w:pPr>
    </w:p>
    <w:p w14:paraId="32CB573D" w14:textId="77777777" w:rsidR="00E40B16" w:rsidRPr="00AE4383" w:rsidRDefault="00E40B16" w:rsidP="00E40B16">
      <w:r w:rsidRPr="00326BD7">
        <w:rPr>
          <w:highlight w:val="red"/>
        </w:rPr>
        <w:lastRenderedPageBreak/>
        <w:t xml:space="preserve">Download it from </w:t>
      </w:r>
      <w:proofErr w:type="spellStart"/>
      <w:r w:rsidRPr="00326BD7">
        <w:rPr>
          <w:highlight w:val="red"/>
        </w:rPr>
        <w:t>GenomeWeb’s</w:t>
      </w:r>
      <w:proofErr w:type="spellEnd"/>
      <w:r w:rsidRPr="00326BD7">
        <w:rPr>
          <w:highlight w:val="red"/>
        </w:rPr>
        <w:t xml:space="preserve"> </w:t>
      </w:r>
      <w:hyperlink r:id="rId708" w:history="1">
        <w:r w:rsidRPr="00326BD7">
          <w:rPr>
            <w:rStyle w:val="Hyperlink"/>
            <w:highlight w:val="red"/>
          </w:rPr>
          <w:t>Webinar Library</w:t>
        </w:r>
      </w:hyperlink>
      <w:r w:rsidRPr="00326BD7">
        <w:rPr>
          <w:highlight w:val="red"/>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5E8BE0C9" w:rsidR="004A1C40" w:rsidRPr="00326BD7" w:rsidRDefault="004A1C40" w:rsidP="004A1C40">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GW White Paper 4:</w:t>
      </w:r>
      <w:r w:rsidR="00326BD7">
        <w:rPr>
          <w:b/>
          <w:bCs/>
          <w:i/>
          <w:iCs/>
          <w:sz w:val="22"/>
          <w:szCs w:val="22"/>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75346041" w14:textId="77777777" w:rsidR="004A1C40" w:rsidRPr="00326BD7" w:rsidRDefault="004A1C40" w:rsidP="004A1C40">
      <w:pPr>
        <w:rPr>
          <w:sz w:val="22"/>
          <w:szCs w:val="22"/>
          <w:highlight w:val="red"/>
        </w:rPr>
      </w:pPr>
    </w:p>
    <w:p w14:paraId="755D9AE4" w14:textId="77777777" w:rsidR="004A1C40" w:rsidRPr="00326BD7" w:rsidRDefault="004A1C40" w:rsidP="004A1C40">
      <w:pPr>
        <w:rPr>
          <w:b/>
          <w:bCs/>
          <w:sz w:val="22"/>
          <w:szCs w:val="22"/>
          <w:highlight w:val="red"/>
        </w:rPr>
      </w:pPr>
      <w:r w:rsidRPr="00326BD7">
        <w:rPr>
          <w:b/>
          <w:bCs/>
          <w:sz w:val="22"/>
          <w:szCs w:val="22"/>
          <w:highlight w:val="red"/>
        </w:rPr>
        <w:t>Title:</w:t>
      </w:r>
      <w:r w:rsidRPr="00326BD7">
        <w:rPr>
          <w:sz w:val="22"/>
          <w:szCs w:val="22"/>
          <w:highlight w:val="red"/>
        </w:rPr>
        <w:t xml:space="preserve"> CRISPR-Based Ribodepletion to Optimize </w:t>
      </w:r>
      <w:proofErr w:type="spellStart"/>
      <w:r w:rsidRPr="00326BD7">
        <w:rPr>
          <w:sz w:val="22"/>
          <w:szCs w:val="22"/>
          <w:highlight w:val="red"/>
        </w:rPr>
        <w:t>Metatranscriptomic</w:t>
      </w:r>
      <w:proofErr w:type="spellEnd"/>
      <w:r w:rsidRPr="00326BD7">
        <w:rPr>
          <w:sz w:val="22"/>
          <w:szCs w:val="22"/>
          <w:highlight w:val="red"/>
        </w:rPr>
        <w:t xml:space="preserve"> Sequencing</w:t>
      </w:r>
    </w:p>
    <w:p w14:paraId="230C11A5" w14:textId="77777777" w:rsidR="004A1C40" w:rsidRPr="00326BD7" w:rsidRDefault="004A1C40" w:rsidP="004A1C40">
      <w:pPr>
        <w:rPr>
          <w:sz w:val="22"/>
          <w:szCs w:val="22"/>
          <w:highlight w:val="red"/>
        </w:rPr>
      </w:pPr>
    </w:p>
    <w:p w14:paraId="210DA150" w14:textId="77777777" w:rsidR="004A1C40" w:rsidRPr="00326BD7" w:rsidRDefault="004A1C40" w:rsidP="004A1C40">
      <w:pPr>
        <w:rPr>
          <w:sz w:val="22"/>
          <w:szCs w:val="22"/>
          <w:highlight w:val="red"/>
        </w:rPr>
      </w:pPr>
      <w:r w:rsidRPr="00326BD7">
        <w:rPr>
          <w:b/>
          <w:bCs/>
          <w:sz w:val="22"/>
          <w:szCs w:val="22"/>
          <w:highlight w:val="red"/>
        </w:rPr>
        <w:t>Body:</w:t>
      </w:r>
      <w:r w:rsidRPr="00326BD7">
        <w:rPr>
          <w:sz w:val="22"/>
          <w:szCs w:val="22"/>
          <w:highlight w:val="red"/>
        </w:rPr>
        <w:t xml:space="preserve"> This white paper from </w:t>
      </w:r>
      <w:proofErr w:type="spellStart"/>
      <w:r w:rsidRPr="00326BD7">
        <w:rPr>
          <w:sz w:val="22"/>
          <w:szCs w:val="22"/>
          <w:highlight w:val="red"/>
        </w:rPr>
        <w:t>Jumpcode</w:t>
      </w:r>
      <w:proofErr w:type="spellEnd"/>
      <w:r w:rsidRPr="00326BD7">
        <w:rPr>
          <w:sz w:val="22"/>
          <w:szCs w:val="22"/>
          <w:highlight w:val="red"/>
        </w:rPr>
        <w:t xml:space="preserve"> Genomics describes an experiment that used a CRISPR-powered ribosomal RNA depletion strategy to improve </w:t>
      </w:r>
      <w:proofErr w:type="spellStart"/>
      <w:r w:rsidRPr="00326BD7">
        <w:rPr>
          <w:sz w:val="22"/>
          <w:szCs w:val="22"/>
          <w:highlight w:val="red"/>
        </w:rPr>
        <w:t>metatranscriptomic</w:t>
      </w:r>
      <w:proofErr w:type="spellEnd"/>
      <w:r w:rsidRPr="00326BD7">
        <w:rPr>
          <w:sz w:val="22"/>
          <w:szCs w:val="22"/>
          <w:highlight w:val="red"/>
        </w:rPr>
        <w:t xml:space="preserve"> sequencing of nasopharyngeal samples from COVID-19-positive patients.</w:t>
      </w:r>
    </w:p>
    <w:p w14:paraId="22F240A6" w14:textId="77777777" w:rsidR="004A1C40" w:rsidRPr="00326BD7" w:rsidRDefault="004A1C40" w:rsidP="004A1C40">
      <w:pPr>
        <w:rPr>
          <w:sz w:val="22"/>
          <w:szCs w:val="22"/>
          <w:highlight w:val="red"/>
        </w:rPr>
      </w:pPr>
    </w:p>
    <w:p w14:paraId="42A6D7D4" w14:textId="77777777" w:rsidR="004A1C40" w:rsidRPr="00326BD7" w:rsidRDefault="004A1C40" w:rsidP="004A1C40">
      <w:pPr>
        <w:rPr>
          <w:sz w:val="22"/>
          <w:szCs w:val="22"/>
          <w:highlight w:val="red"/>
        </w:rPr>
      </w:pPr>
    </w:p>
    <w:p w14:paraId="15B2AA59" w14:textId="77777777" w:rsidR="004A1C40" w:rsidRPr="00BA74F7" w:rsidRDefault="004A1C40" w:rsidP="004A1C40">
      <w:pPr>
        <w:rPr>
          <w:sz w:val="22"/>
          <w:szCs w:val="22"/>
        </w:rPr>
      </w:pPr>
      <w:r w:rsidRPr="00326BD7">
        <w:rPr>
          <w:sz w:val="22"/>
          <w:szCs w:val="22"/>
          <w:highlight w:val="red"/>
        </w:rPr>
        <w:t xml:space="preserve">Download it from </w:t>
      </w:r>
      <w:proofErr w:type="spellStart"/>
      <w:r w:rsidRPr="00326BD7">
        <w:rPr>
          <w:sz w:val="22"/>
          <w:szCs w:val="22"/>
          <w:highlight w:val="red"/>
        </w:rPr>
        <w:t>GenomeWeb’s</w:t>
      </w:r>
      <w:proofErr w:type="spellEnd"/>
      <w:r w:rsidRPr="00326BD7">
        <w:rPr>
          <w:sz w:val="22"/>
          <w:szCs w:val="22"/>
          <w:highlight w:val="red"/>
        </w:rPr>
        <w:t xml:space="preserve"> </w:t>
      </w:r>
      <w:hyperlink r:id="rId815" w:history="1">
        <w:r w:rsidRPr="00326BD7">
          <w:rPr>
            <w:rStyle w:val="Hyperlink"/>
            <w:sz w:val="22"/>
            <w:szCs w:val="22"/>
            <w:highlight w:val="red"/>
          </w:rPr>
          <w:t>White Paper Channel</w:t>
        </w:r>
      </w:hyperlink>
      <w:r w:rsidRPr="00326BD7">
        <w:rPr>
          <w:sz w:val="22"/>
          <w:szCs w:val="22"/>
          <w:highlight w:val="red"/>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3FC918EF" w:rsidR="004A1C40" w:rsidRPr="00326BD7" w:rsidRDefault="004A1C40" w:rsidP="004A1C40">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360Dx White Paper 4:</w:t>
      </w:r>
      <w:r w:rsidR="00326BD7">
        <w:rPr>
          <w:b/>
          <w:bCs/>
          <w:i/>
          <w:iCs/>
          <w:sz w:val="22"/>
          <w:szCs w:val="22"/>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1AEB376B" w14:textId="77777777" w:rsidR="004A1C40" w:rsidRPr="00326BD7" w:rsidRDefault="004A1C40" w:rsidP="004A1C40">
      <w:pPr>
        <w:rPr>
          <w:sz w:val="22"/>
          <w:szCs w:val="22"/>
          <w:highlight w:val="red"/>
        </w:rPr>
      </w:pPr>
    </w:p>
    <w:p w14:paraId="4CB9BB18" w14:textId="77777777" w:rsidR="004A1C40" w:rsidRPr="00326BD7" w:rsidRDefault="004A1C40" w:rsidP="004A1C40">
      <w:pPr>
        <w:rPr>
          <w:b/>
          <w:bCs/>
          <w:sz w:val="22"/>
          <w:szCs w:val="22"/>
          <w:highlight w:val="red"/>
        </w:rPr>
      </w:pPr>
      <w:r w:rsidRPr="00326BD7">
        <w:rPr>
          <w:b/>
          <w:bCs/>
          <w:sz w:val="22"/>
          <w:szCs w:val="22"/>
          <w:highlight w:val="red"/>
        </w:rPr>
        <w:t>Title:</w:t>
      </w:r>
      <w:r w:rsidRPr="00326BD7">
        <w:rPr>
          <w:sz w:val="22"/>
          <w:szCs w:val="22"/>
          <w:highlight w:val="red"/>
        </w:rPr>
        <w:t xml:space="preserve"> CRISPR-Based Ribodepletion to Optimize </w:t>
      </w:r>
      <w:proofErr w:type="spellStart"/>
      <w:r w:rsidRPr="00326BD7">
        <w:rPr>
          <w:sz w:val="22"/>
          <w:szCs w:val="22"/>
          <w:highlight w:val="red"/>
        </w:rPr>
        <w:t>Metatranscriptomic</w:t>
      </w:r>
      <w:proofErr w:type="spellEnd"/>
      <w:r w:rsidRPr="00326BD7">
        <w:rPr>
          <w:sz w:val="22"/>
          <w:szCs w:val="22"/>
          <w:highlight w:val="red"/>
        </w:rPr>
        <w:t xml:space="preserve"> Sequencing</w:t>
      </w:r>
    </w:p>
    <w:p w14:paraId="0C4B5C8B" w14:textId="77777777" w:rsidR="004A1C40" w:rsidRPr="00326BD7" w:rsidRDefault="004A1C40" w:rsidP="004A1C40">
      <w:pPr>
        <w:rPr>
          <w:sz w:val="22"/>
          <w:szCs w:val="22"/>
          <w:highlight w:val="red"/>
        </w:rPr>
      </w:pPr>
    </w:p>
    <w:p w14:paraId="4229E549" w14:textId="77777777" w:rsidR="004A1C40" w:rsidRPr="00326BD7" w:rsidRDefault="004A1C40" w:rsidP="004A1C40">
      <w:pPr>
        <w:rPr>
          <w:sz w:val="22"/>
          <w:szCs w:val="22"/>
          <w:highlight w:val="red"/>
        </w:rPr>
      </w:pPr>
      <w:r w:rsidRPr="00326BD7">
        <w:rPr>
          <w:b/>
          <w:bCs/>
          <w:sz w:val="22"/>
          <w:szCs w:val="22"/>
          <w:highlight w:val="red"/>
        </w:rPr>
        <w:t>Body:</w:t>
      </w:r>
      <w:r w:rsidRPr="00326BD7">
        <w:rPr>
          <w:sz w:val="22"/>
          <w:szCs w:val="22"/>
          <w:highlight w:val="red"/>
        </w:rPr>
        <w:t xml:space="preserve"> This white paper from </w:t>
      </w:r>
      <w:proofErr w:type="spellStart"/>
      <w:r w:rsidRPr="00326BD7">
        <w:rPr>
          <w:sz w:val="22"/>
          <w:szCs w:val="22"/>
          <w:highlight w:val="red"/>
        </w:rPr>
        <w:t>Jumpcode</w:t>
      </w:r>
      <w:proofErr w:type="spellEnd"/>
      <w:r w:rsidRPr="00326BD7">
        <w:rPr>
          <w:sz w:val="22"/>
          <w:szCs w:val="22"/>
          <w:highlight w:val="red"/>
        </w:rPr>
        <w:t xml:space="preserve"> Genomics describes an experiment that used a CRISPR-powered ribosomal RNA depletion strategy to improve </w:t>
      </w:r>
      <w:proofErr w:type="spellStart"/>
      <w:r w:rsidRPr="00326BD7">
        <w:rPr>
          <w:sz w:val="22"/>
          <w:szCs w:val="22"/>
          <w:highlight w:val="red"/>
        </w:rPr>
        <w:t>metatranscriptomic</w:t>
      </w:r>
      <w:proofErr w:type="spellEnd"/>
      <w:r w:rsidRPr="00326BD7">
        <w:rPr>
          <w:sz w:val="22"/>
          <w:szCs w:val="22"/>
          <w:highlight w:val="red"/>
        </w:rPr>
        <w:t xml:space="preserve"> sequencing of nasopharyngeal samples from COVID-19-positive patients.</w:t>
      </w:r>
    </w:p>
    <w:p w14:paraId="5C4E027A" w14:textId="77777777" w:rsidR="004A1C40" w:rsidRPr="00326BD7" w:rsidRDefault="004A1C40" w:rsidP="004A1C40">
      <w:pPr>
        <w:rPr>
          <w:sz w:val="22"/>
          <w:szCs w:val="22"/>
          <w:highlight w:val="red"/>
        </w:rPr>
      </w:pPr>
    </w:p>
    <w:p w14:paraId="37C1DDCF" w14:textId="77777777" w:rsidR="004A1C40" w:rsidRPr="00326BD7" w:rsidRDefault="004A1C40" w:rsidP="004A1C40">
      <w:pPr>
        <w:rPr>
          <w:sz w:val="22"/>
          <w:szCs w:val="22"/>
          <w:highlight w:val="red"/>
        </w:rPr>
      </w:pPr>
    </w:p>
    <w:p w14:paraId="23671FB9" w14:textId="77777777" w:rsidR="004A1C40" w:rsidRDefault="004A1C40" w:rsidP="004A1C40">
      <w:pPr>
        <w:rPr>
          <w:sz w:val="22"/>
          <w:szCs w:val="22"/>
          <w:u w:val="single"/>
        </w:rPr>
      </w:pPr>
      <w:bookmarkStart w:id="13" w:name="_Hlk86224921"/>
      <w:r w:rsidRPr="00326BD7">
        <w:rPr>
          <w:sz w:val="22"/>
          <w:szCs w:val="22"/>
          <w:highlight w:val="red"/>
        </w:rPr>
        <w:t xml:space="preserve">Download it from the </w:t>
      </w:r>
      <w:bookmarkStart w:id="14" w:name="_Hlk86225199"/>
      <w:r w:rsidRPr="00326BD7">
        <w:rPr>
          <w:sz w:val="22"/>
          <w:szCs w:val="22"/>
          <w:highlight w:val="red"/>
        </w:rPr>
        <w:t xml:space="preserve">360Dx </w:t>
      </w:r>
      <w:hyperlink r:id="rId816" w:anchor=".YXloWJrMJdg" w:history="1">
        <w:r w:rsidRPr="00326BD7">
          <w:rPr>
            <w:rStyle w:val="Hyperlink"/>
            <w:sz w:val="22"/>
            <w:szCs w:val="22"/>
            <w:highlight w:val="red"/>
          </w:rPr>
          <w:t>White Paper Channel</w:t>
        </w:r>
      </w:hyperlink>
      <w:r w:rsidRPr="00326BD7">
        <w:rPr>
          <w:sz w:val="22"/>
          <w:szCs w:val="22"/>
          <w:highlight w:val="red"/>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423FC6FD" w:rsidR="004A1C40" w:rsidRPr="00326BD7" w:rsidRDefault="004A1C40" w:rsidP="004A1C40">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GW White Paper 5:</w:t>
      </w:r>
      <w:r w:rsidR="00326BD7">
        <w:rPr>
          <w:b/>
          <w:bCs/>
          <w:i/>
          <w:iCs/>
          <w:sz w:val="22"/>
          <w:szCs w:val="22"/>
          <w:highlight w:val="red"/>
        </w:rPr>
        <w:t xml:space="preserve"> </w:t>
      </w:r>
      <w:proofErr w:type="gramStart"/>
      <w:r w:rsidR="00326BD7">
        <w:rPr>
          <w:b/>
          <w:bCs/>
          <w:i/>
          <w:iCs/>
          <w:sz w:val="22"/>
          <w:szCs w:val="22"/>
          <w:highlight w:val="red"/>
        </w:rPr>
        <w:t>( Retired</w:t>
      </w:r>
      <w:proofErr w:type="gramEnd"/>
      <w:r w:rsidR="00326BD7">
        <w:rPr>
          <w:b/>
          <w:bCs/>
          <w:i/>
          <w:iCs/>
          <w:sz w:val="22"/>
          <w:szCs w:val="22"/>
          <w:highlight w:val="red"/>
        </w:rPr>
        <w:t xml:space="preserve"> )</w:t>
      </w:r>
    </w:p>
    <w:p w14:paraId="41B85BA6" w14:textId="77777777" w:rsidR="004A1C40" w:rsidRPr="00326BD7" w:rsidRDefault="004A1C40" w:rsidP="004A1C40">
      <w:pPr>
        <w:rPr>
          <w:sz w:val="22"/>
          <w:szCs w:val="22"/>
          <w:highlight w:val="red"/>
        </w:rPr>
      </w:pPr>
    </w:p>
    <w:p w14:paraId="58A0C014" w14:textId="77777777" w:rsidR="004A1C40" w:rsidRPr="00326BD7" w:rsidRDefault="004A1C40" w:rsidP="004A1C40">
      <w:pPr>
        <w:rPr>
          <w:sz w:val="22"/>
          <w:szCs w:val="22"/>
          <w:highlight w:val="red"/>
        </w:rPr>
      </w:pPr>
      <w:r w:rsidRPr="00326BD7">
        <w:rPr>
          <w:b/>
          <w:bCs/>
          <w:sz w:val="22"/>
          <w:szCs w:val="22"/>
          <w:highlight w:val="red"/>
        </w:rPr>
        <w:t>Title:</w:t>
      </w:r>
      <w:r w:rsidRPr="00326BD7">
        <w:rPr>
          <w:sz w:val="22"/>
          <w:szCs w:val="22"/>
          <w:highlight w:val="red"/>
        </w:rPr>
        <w:t xml:space="preserve"> A CRISPR-Based Ribodepletion Strategy to Improve RNA Sequencing in Mammalian Tissue Samples</w:t>
      </w:r>
    </w:p>
    <w:p w14:paraId="29F591C3" w14:textId="77777777" w:rsidR="004A1C40" w:rsidRPr="00326BD7" w:rsidRDefault="004A1C40" w:rsidP="004A1C40">
      <w:pPr>
        <w:rPr>
          <w:sz w:val="22"/>
          <w:szCs w:val="22"/>
          <w:highlight w:val="red"/>
        </w:rPr>
      </w:pPr>
    </w:p>
    <w:p w14:paraId="4CE5BF27" w14:textId="77777777" w:rsidR="004A1C40" w:rsidRPr="00326BD7" w:rsidRDefault="004A1C40" w:rsidP="004A1C40">
      <w:pPr>
        <w:rPr>
          <w:sz w:val="22"/>
          <w:szCs w:val="22"/>
          <w:highlight w:val="red"/>
        </w:rPr>
      </w:pPr>
      <w:r w:rsidRPr="00326BD7">
        <w:rPr>
          <w:b/>
          <w:bCs/>
          <w:sz w:val="22"/>
          <w:szCs w:val="22"/>
          <w:highlight w:val="red"/>
        </w:rPr>
        <w:t>Body:</w:t>
      </w:r>
      <w:r w:rsidRPr="00326BD7">
        <w:rPr>
          <w:sz w:val="22"/>
          <w:szCs w:val="22"/>
          <w:highlight w:val="red"/>
        </w:rPr>
        <w:t xml:space="preserve"> This white paper from </w:t>
      </w:r>
      <w:proofErr w:type="spellStart"/>
      <w:r w:rsidRPr="00326BD7">
        <w:rPr>
          <w:sz w:val="22"/>
          <w:szCs w:val="22"/>
          <w:highlight w:val="red"/>
        </w:rPr>
        <w:t>Jumpcode</w:t>
      </w:r>
      <w:proofErr w:type="spellEnd"/>
      <w:r w:rsidRPr="00326BD7">
        <w:rPr>
          <w:sz w:val="22"/>
          <w:szCs w:val="22"/>
          <w:highlight w:val="red"/>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326BD7" w:rsidRDefault="004A1C40" w:rsidP="004A1C40">
      <w:pPr>
        <w:rPr>
          <w:sz w:val="22"/>
          <w:szCs w:val="22"/>
          <w:highlight w:val="red"/>
        </w:rPr>
      </w:pPr>
    </w:p>
    <w:p w14:paraId="39A09D42" w14:textId="77777777" w:rsidR="004A1C40" w:rsidRDefault="004A1C40" w:rsidP="004A1C40">
      <w:pPr>
        <w:rPr>
          <w:sz w:val="22"/>
          <w:szCs w:val="22"/>
        </w:rPr>
      </w:pPr>
      <w:r w:rsidRPr="00326BD7">
        <w:rPr>
          <w:sz w:val="22"/>
          <w:szCs w:val="22"/>
          <w:highlight w:val="red"/>
        </w:rPr>
        <w:t xml:space="preserve">Download it from </w:t>
      </w:r>
      <w:proofErr w:type="spellStart"/>
      <w:r w:rsidRPr="00326BD7">
        <w:rPr>
          <w:sz w:val="22"/>
          <w:szCs w:val="22"/>
          <w:highlight w:val="red"/>
        </w:rPr>
        <w:t>GenomeWeb’s</w:t>
      </w:r>
      <w:proofErr w:type="spellEnd"/>
      <w:r w:rsidRPr="00326BD7">
        <w:rPr>
          <w:sz w:val="22"/>
          <w:szCs w:val="22"/>
          <w:highlight w:val="red"/>
        </w:rPr>
        <w:t xml:space="preserve"> </w:t>
      </w:r>
      <w:hyperlink r:id="rId817" w:history="1">
        <w:r w:rsidRPr="00326BD7">
          <w:rPr>
            <w:rStyle w:val="Hyperlink"/>
            <w:sz w:val="22"/>
            <w:szCs w:val="22"/>
            <w:highlight w:val="red"/>
          </w:rPr>
          <w:t>White Paper Channel</w:t>
        </w:r>
      </w:hyperlink>
      <w:r w:rsidRPr="00326BD7">
        <w:rPr>
          <w:sz w:val="22"/>
          <w:szCs w:val="22"/>
          <w:highlight w:val="red"/>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D93DD89" w:rsidR="004A1C40" w:rsidRPr="00326BD7" w:rsidRDefault="004A1C40" w:rsidP="004A1C40">
      <w:pPr>
        <w:rPr>
          <w:b/>
          <w:bCs/>
          <w:i/>
          <w:iCs/>
          <w:sz w:val="22"/>
          <w:szCs w:val="22"/>
          <w:highlight w:val="red"/>
        </w:rPr>
      </w:pPr>
      <w:proofErr w:type="spellStart"/>
      <w:r w:rsidRPr="00326BD7">
        <w:rPr>
          <w:b/>
          <w:bCs/>
          <w:i/>
          <w:iCs/>
          <w:sz w:val="22"/>
          <w:szCs w:val="22"/>
          <w:highlight w:val="red"/>
        </w:rPr>
        <w:t>Jumpcode</w:t>
      </w:r>
      <w:proofErr w:type="spellEnd"/>
      <w:r w:rsidRPr="00326BD7">
        <w:rPr>
          <w:b/>
          <w:bCs/>
          <w:i/>
          <w:iCs/>
          <w:sz w:val="22"/>
          <w:szCs w:val="22"/>
          <w:highlight w:val="red"/>
        </w:rPr>
        <w:t xml:space="preserve"> 360Dx White Paper 5:</w:t>
      </w:r>
      <w:r w:rsidR="00326BD7">
        <w:rPr>
          <w:b/>
          <w:bCs/>
          <w:i/>
          <w:iCs/>
          <w:sz w:val="22"/>
          <w:szCs w:val="22"/>
          <w:highlight w:val="red"/>
        </w:rPr>
        <w:t xml:space="preserve"> ( Retired )</w:t>
      </w:r>
    </w:p>
    <w:p w14:paraId="39D4DF28" w14:textId="77777777" w:rsidR="004A1C40" w:rsidRPr="00326BD7" w:rsidRDefault="004A1C40" w:rsidP="004A1C40">
      <w:pPr>
        <w:rPr>
          <w:sz w:val="22"/>
          <w:szCs w:val="22"/>
          <w:highlight w:val="red"/>
        </w:rPr>
      </w:pPr>
    </w:p>
    <w:p w14:paraId="3681DE38" w14:textId="77777777" w:rsidR="004A1C40" w:rsidRPr="00326BD7" w:rsidRDefault="004A1C40" w:rsidP="004A1C40">
      <w:pPr>
        <w:rPr>
          <w:sz w:val="22"/>
          <w:szCs w:val="22"/>
          <w:highlight w:val="red"/>
        </w:rPr>
      </w:pPr>
      <w:r w:rsidRPr="00326BD7">
        <w:rPr>
          <w:b/>
          <w:bCs/>
          <w:sz w:val="22"/>
          <w:szCs w:val="22"/>
          <w:highlight w:val="red"/>
        </w:rPr>
        <w:t>Title:</w:t>
      </w:r>
      <w:r w:rsidRPr="00326BD7">
        <w:rPr>
          <w:sz w:val="22"/>
          <w:szCs w:val="22"/>
          <w:highlight w:val="red"/>
        </w:rPr>
        <w:t xml:space="preserve"> A CRISPR-Based Ribodepletion Strategy to Improve RNA Sequencing in Mammalian Tissue Samples</w:t>
      </w:r>
    </w:p>
    <w:p w14:paraId="2F36D845" w14:textId="77777777" w:rsidR="004A1C40" w:rsidRPr="00326BD7" w:rsidRDefault="004A1C40" w:rsidP="004A1C40">
      <w:pPr>
        <w:rPr>
          <w:sz w:val="22"/>
          <w:szCs w:val="22"/>
          <w:highlight w:val="red"/>
        </w:rPr>
      </w:pPr>
    </w:p>
    <w:p w14:paraId="6613A54F" w14:textId="77777777" w:rsidR="004A1C40" w:rsidRPr="00326BD7" w:rsidRDefault="004A1C40" w:rsidP="004A1C40">
      <w:pPr>
        <w:rPr>
          <w:sz w:val="22"/>
          <w:szCs w:val="22"/>
          <w:highlight w:val="red"/>
        </w:rPr>
      </w:pPr>
      <w:r w:rsidRPr="00326BD7">
        <w:rPr>
          <w:b/>
          <w:bCs/>
          <w:sz w:val="22"/>
          <w:szCs w:val="22"/>
          <w:highlight w:val="red"/>
        </w:rPr>
        <w:t>Body:</w:t>
      </w:r>
      <w:r w:rsidRPr="00326BD7">
        <w:rPr>
          <w:sz w:val="22"/>
          <w:szCs w:val="22"/>
          <w:highlight w:val="red"/>
        </w:rPr>
        <w:t xml:space="preserve"> This white paper from </w:t>
      </w:r>
      <w:proofErr w:type="spellStart"/>
      <w:r w:rsidRPr="00326BD7">
        <w:rPr>
          <w:sz w:val="22"/>
          <w:szCs w:val="22"/>
          <w:highlight w:val="red"/>
        </w:rPr>
        <w:t>Jumpcode</w:t>
      </w:r>
      <w:proofErr w:type="spellEnd"/>
      <w:r w:rsidRPr="00326BD7">
        <w:rPr>
          <w:sz w:val="22"/>
          <w:szCs w:val="22"/>
          <w:highlight w:val="red"/>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326BD7" w:rsidRDefault="004A1C40" w:rsidP="004A1C40">
      <w:pPr>
        <w:rPr>
          <w:sz w:val="22"/>
          <w:szCs w:val="22"/>
          <w:highlight w:val="red"/>
        </w:rPr>
      </w:pPr>
    </w:p>
    <w:p w14:paraId="5EDB9847" w14:textId="77777777" w:rsidR="004A1C40" w:rsidRPr="00E35955" w:rsidRDefault="004A1C40" w:rsidP="004A1C40">
      <w:pPr>
        <w:rPr>
          <w:sz w:val="22"/>
          <w:szCs w:val="22"/>
        </w:rPr>
      </w:pPr>
      <w:r w:rsidRPr="00326BD7">
        <w:rPr>
          <w:sz w:val="22"/>
          <w:szCs w:val="22"/>
          <w:highlight w:val="red"/>
        </w:rPr>
        <w:t xml:space="preserve">Download it from </w:t>
      </w:r>
      <w:proofErr w:type="spellStart"/>
      <w:r w:rsidRPr="00326BD7">
        <w:rPr>
          <w:sz w:val="22"/>
          <w:szCs w:val="22"/>
          <w:highlight w:val="red"/>
        </w:rPr>
        <w:t>GenomeWeb’s</w:t>
      </w:r>
      <w:proofErr w:type="spellEnd"/>
      <w:r w:rsidRPr="00326BD7">
        <w:rPr>
          <w:sz w:val="22"/>
          <w:szCs w:val="22"/>
          <w:highlight w:val="red"/>
        </w:rPr>
        <w:t xml:space="preserve"> </w:t>
      </w:r>
      <w:hyperlink r:id="rId818" w:anchor=".YXlqlJrMJdg" w:history="1">
        <w:r w:rsidRPr="00326BD7">
          <w:rPr>
            <w:rStyle w:val="Hyperlink"/>
            <w:sz w:val="22"/>
            <w:szCs w:val="22"/>
            <w:highlight w:val="red"/>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20DA2C02"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7:</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6910AC6" w14:textId="77777777" w:rsidR="006C423C" w:rsidRPr="00015B51" w:rsidRDefault="006C423C" w:rsidP="006C423C">
      <w:pPr>
        <w:rPr>
          <w:sz w:val="22"/>
          <w:szCs w:val="22"/>
          <w:highlight w:val="red"/>
        </w:rPr>
      </w:pPr>
    </w:p>
    <w:p w14:paraId="15573D0D"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Considerations for Maximizing the Quality of RNA-Seq Libraries and Sequencing Data</w:t>
      </w:r>
    </w:p>
    <w:p w14:paraId="4ECDDD82" w14:textId="77777777" w:rsidR="006C423C" w:rsidRPr="00015B51" w:rsidRDefault="006C423C" w:rsidP="006C423C">
      <w:pPr>
        <w:rPr>
          <w:sz w:val="22"/>
          <w:szCs w:val="22"/>
          <w:highlight w:val="red"/>
        </w:rPr>
      </w:pPr>
    </w:p>
    <w:p w14:paraId="4AB7B07F"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015B51" w:rsidRDefault="006C423C" w:rsidP="006C423C">
      <w:pPr>
        <w:rPr>
          <w:sz w:val="22"/>
          <w:szCs w:val="22"/>
          <w:highlight w:val="red"/>
        </w:rPr>
      </w:pPr>
    </w:p>
    <w:p w14:paraId="4B0AF653"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79" w:history="1">
        <w:r w:rsidRPr="00015B51">
          <w:rPr>
            <w:rStyle w:val="Hyperlink"/>
            <w:sz w:val="22"/>
            <w:szCs w:val="22"/>
            <w:highlight w:val="red"/>
          </w:rPr>
          <w:t>White Paper Channel</w:t>
        </w:r>
      </w:hyperlink>
      <w:r w:rsidRPr="00015B51">
        <w:rPr>
          <w:sz w:val="22"/>
          <w:szCs w:val="22"/>
          <w:highlight w:val="red"/>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443A83F2"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GW White Paper 8</w:t>
      </w:r>
    </w:p>
    <w:p w14:paraId="485DA796" w14:textId="77777777" w:rsidR="006C423C" w:rsidRPr="004E2149" w:rsidRDefault="006C423C" w:rsidP="006C423C">
      <w:pPr>
        <w:rPr>
          <w:sz w:val="22"/>
          <w:szCs w:val="22"/>
        </w:rPr>
      </w:pPr>
    </w:p>
    <w:p w14:paraId="4BF2EF72"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41D8CCF8" w14:textId="77777777" w:rsidR="006C423C" w:rsidRPr="004E2149" w:rsidRDefault="006C423C" w:rsidP="006C423C">
      <w:pPr>
        <w:rPr>
          <w:sz w:val="22"/>
          <w:szCs w:val="22"/>
        </w:rPr>
      </w:pPr>
    </w:p>
    <w:p w14:paraId="353C16CB" w14:textId="77777777" w:rsidR="006C423C" w:rsidRPr="004E2149" w:rsidRDefault="006C423C" w:rsidP="006C423C">
      <w:pPr>
        <w:rPr>
          <w:sz w:val="22"/>
          <w:szCs w:val="22"/>
        </w:rPr>
      </w:pPr>
      <w:r w:rsidRPr="004E2149">
        <w:rPr>
          <w:b/>
          <w:bCs/>
          <w:sz w:val="22"/>
          <w:szCs w:val="22"/>
        </w:rPr>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015B51" w:rsidRDefault="006C423C" w:rsidP="006C423C">
      <w:pPr>
        <w:rPr>
          <w:sz w:val="22"/>
          <w:szCs w:val="22"/>
          <w:highlight w:val="red"/>
        </w:rPr>
      </w:pPr>
    </w:p>
    <w:p w14:paraId="765F9BDD"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0" w:history="1">
        <w:r w:rsidRPr="00015B51">
          <w:rPr>
            <w:rStyle w:val="Hyperlink"/>
            <w:sz w:val="22"/>
            <w:szCs w:val="22"/>
            <w:highlight w:val="red"/>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47534928"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360Dx White Paper 8:</w:t>
      </w:r>
    </w:p>
    <w:p w14:paraId="7C6C8110" w14:textId="77777777" w:rsidR="006C423C" w:rsidRPr="004E2149" w:rsidRDefault="006C423C" w:rsidP="006C423C">
      <w:pPr>
        <w:rPr>
          <w:sz w:val="22"/>
          <w:szCs w:val="22"/>
        </w:rPr>
      </w:pPr>
    </w:p>
    <w:p w14:paraId="69A04855"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4503D918" w14:textId="77777777" w:rsidR="006C423C" w:rsidRPr="004E2149" w:rsidRDefault="006C423C" w:rsidP="006C423C">
      <w:pPr>
        <w:rPr>
          <w:sz w:val="22"/>
          <w:szCs w:val="22"/>
        </w:rPr>
      </w:pPr>
    </w:p>
    <w:p w14:paraId="3FAC3CFE" w14:textId="77777777" w:rsidR="006C423C" w:rsidRPr="004E2149" w:rsidRDefault="006C423C" w:rsidP="006C423C">
      <w:pPr>
        <w:rPr>
          <w:sz w:val="22"/>
          <w:szCs w:val="22"/>
        </w:rPr>
      </w:pPr>
      <w:r w:rsidRPr="004E2149">
        <w:rPr>
          <w:b/>
          <w:bCs/>
          <w:sz w:val="22"/>
          <w:szCs w:val="22"/>
        </w:rPr>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4E2149" w:rsidRDefault="006C423C" w:rsidP="006C423C">
      <w:pPr>
        <w:rPr>
          <w:sz w:val="22"/>
          <w:szCs w:val="22"/>
        </w:rPr>
      </w:pPr>
    </w:p>
    <w:p w14:paraId="76D5FC91" w14:textId="77777777" w:rsidR="006C423C" w:rsidRDefault="006C423C" w:rsidP="006C423C">
      <w:pPr>
        <w:rPr>
          <w:sz w:val="22"/>
          <w:szCs w:val="22"/>
        </w:rPr>
      </w:pPr>
      <w:r w:rsidRPr="004E2149">
        <w:rPr>
          <w:sz w:val="22"/>
          <w:szCs w:val="22"/>
        </w:rPr>
        <w:t xml:space="preserve">Download it from the </w:t>
      </w:r>
      <w:hyperlink r:id="rId881" w:history="1">
        <w:r w:rsidRPr="004E2149">
          <w:rPr>
            <w:rStyle w:val="Hyperlink"/>
            <w:sz w:val="22"/>
            <w:szCs w:val="22"/>
          </w:rPr>
          <w:t>360Dx White Paper Channel</w:t>
        </w:r>
      </w:hyperlink>
      <w:r w:rsidRPr="004E2149">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31F0AFD0" w:rsidR="006C423C" w:rsidRPr="004E2149" w:rsidRDefault="006C423C" w:rsidP="006C423C">
      <w:pPr>
        <w:rPr>
          <w:b/>
          <w:bCs/>
          <w:i/>
          <w:iCs/>
          <w:sz w:val="22"/>
          <w:szCs w:val="22"/>
        </w:rPr>
      </w:pPr>
      <w:proofErr w:type="spellStart"/>
      <w:r w:rsidRPr="004E2149">
        <w:rPr>
          <w:b/>
          <w:bCs/>
          <w:i/>
          <w:iCs/>
          <w:sz w:val="22"/>
          <w:szCs w:val="22"/>
        </w:rPr>
        <w:t>Zymo</w:t>
      </w:r>
      <w:proofErr w:type="spellEnd"/>
      <w:r w:rsidRPr="004E2149">
        <w:rPr>
          <w:b/>
          <w:bCs/>
          <w:i/>
          <w:iCs/>
          <w:sz w:val="22"/>
          <w:szCs w:val="22"/>
        </w:rPr>
        <w:t xml:space="preserve"> Research TT PON White Paper 8:</w:t>
      </w:r>
    </w:p>
    <w:p w14:paraId="17513F2F" w14:textId="77777777" w:rsidR="006C423C" w:rsidRPr="004E2149" w:rsidRDefault="006C423C" w:rsidP="006C423C">
      <w:pPr>
        <w:rPr>
          <w:sz w:val="22"/>
          <w:szCs w:val="22"/>
        </w:rPr>
      </w:pPr>
    </w:p>
    <w:p w14:paraId="22F1B33C" w14:textId="77777777" w:rsidR="006C423C" w:rsidRPr="004E2149" w:rsidRDefault="006C423C" w:rsidP="006C423C">
      <w:pPr>
        <w:rPr>
          <w:sz w:val="22"/>
          <w:szCs w:val="22"/>
        </w:rPr>
      </w:pPr>
      <w:r w:rsidRPr="004E2149">
        <w:rPr>
          <w:b/>
          <w:bCs/>
          <w:sz w:val="22"/>
          <w:szCs w:val="22"/>
        </w:rPr>
        <w:t>Title:</w:t>
      </w:r>
      <w:r w:rsidRPr="004E2149">
        <w:rPr>
          <w:sz w:val="22"/>
          <w:szCs w:val="22"/>
        </w:rPr>
        <w:t xml:space="preserve"> Next-Generation Sequencing Methods in Liquid Biopsy</w:t>
      </w:r>
    </w:p>
    <w:p w14:paraId="2D75D160" w14:textId="77777777" w:rsidR="006C423C" w:rsidRPr="004E2149" w:rsidRDefault="006C423C" w:rsidP="006C423C">
      <w:pPr>
        <w:rPr>
          <w:sz w:val="22"/>
          <w:szCs w:val="22"/>
        </w:rPr>
      </w:pPr>
    </w:p>
    <w:p w14:paraId="1BEE1BC8" w14:textId="77777777" w:rsidR="006C423C" w:rsidRPr="004E2149" w:rsidRDefault="006C423C" w:rsidP="006C423C">
      <w:pPr>
        <w:rPr>
          <w:sz w:val="22"/>
          <w:szCs w:val="22"/>
        </w:rPr>
      </w:pPr>
      <w:r w:rsidRPr="004E2149">
        <w:rPr>
          <w:b/>
          <w:bCs/>
          <w:sz w:val="22"/>
          <w:szCs w:val="22"/>
        </w:rPr>
        <w:lastRenderedPageBreak/>
        <w:t>Body:</w:t>
      </w:r>
      <w:r w:rsidRPr="004E2149">
        <w:rPr>
          <w:sz w:val="22"/>
          <w:szCs w:val="22"/>
        </w:rPr>
        <w:t xml:space="preserve"> This white paper from </w:t>
      </w:r>
      <w:proofErr w:type="spellStart"/>
      <w:r w:rsidRPr="004E2149">
        <w:rPr>
          <w:sz w:val="22"/>
          <w:szCs w:val="22"/>
        </w:rPr>
        <w:t>Zymo</w:t>
      </w:r>
      <w:proofErr w:type="spellEnd"/>
      <w:r w:rsidRPr="004E2149">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4E2149" w:rsidRDefault="006C423C" w:rsidP="006C423C">
      <w:pPr>
        <w:rPr>
          <w:sz w:val="22"/>
          <w:szCs w:val="22"/>
        </w:rPr>
      </w:pPr>
    </w:p>
    <w:p w14:paraId="2BFF78E5" w14:textId="77777777" w:rsidR="006C423C" w:rsidRDefault="006C423C" w:rsidP="006C423C">
      <w:pPr>
        <w:rPr>
          <w:sz w:val="22"/>
          <w:szCs w:val="22"/>
        </w:rPr>
      </w:pPr>
      <w:r w:rsidRPr="004E2149">
        <w:rPr>
          <w:sz w:val="22"/>
          <w:szCs w:val="22"/>
        </w:rPr>
        <w:t xml:space="preserve">Download it from the </w:t>
      </w:r>
      <w:hyperlink r:id="rId882" w:history="1">
        <w:r w:rsidRPr="004E2149">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5804BA99" w:rsidR="006C423C" w:rsidRPr="00015B51" w:rsidRDefault="006C423C" w:rsidP="006C423C">
      <w:pPr>
        <w:rPr>
          <w:b/>
          <w:bCs/>
          <w:i/>
          <w:iCs/>
          <w:sz w:val="22"/>
          <w:szCs w:val="22"/>
          <w:highlight w:val="red"/>
        </w:rPr>
      </w:pPr>
      <w:bookmarkStart w:id="17" w:name="_Hlk89764784"/>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9</w:t>
      </w:r>
      <w:bookmarkEnd w:id="17"/>
      <w:r w:rsidRPr="00015B51">
        <w:rPr>
          <w:b/>
          <w:bCs/>
          <w:i/>
          <w:iCs/>
          <w:sz w:val="22"/>
          <w:szCs w:val="22"/>
          <w:highlight w:val="red"/>
        </w:rPr>
        <w:t>:</w:t>
      </w:r>
      <w:r w:rsidR="00B73F09" w:rsidRP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E7E704" w14:textId="77777777" w:rsidR="006C423C" w:rsidRPr="00015B51" w:rsidRDefault="006C423C" w:rsidP="006C423C">
      <w:pPr>
        <w:rPr>
          <w:sz w:val="22"/>
          <w:szCs w:val="22"/>
          <w:highlight w:val="red"/>
        </w:rPr>
      </w:pPr>
    </w:p>
    <w:p w14:paraId="26966EA1"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Multi-Organism Transcriptomics With an rRNA-Depleting Library Kit</w:t>
      </w:r>
    </w:p>
    <w:p w14:paraId="741ED8B9" w14:textId="77777777" w:rsidR="006C423C" w:rsidRPr="00015B51" w:rsidRDefault="006C423C" w:rsidP="006C423C">
      <w:pPr>
        <w:rPr>
          <w:sz w:val="22"/>
          <w:szCs w:val="22"/>
          <w:highlight w:val="red"/>
        </w:rPr>
      </w:pPr>
    </w:p>
    <w:p w14:paraId="5E6D20EC"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the whole-transcriptome analysis of several model organisms using the Zymo-Seq </w:t>
      </w:r>
      <w:proofErr w:type="spellStart"/>
      <w:r w:rsidRPr="00015B51">
        <w:rPr>
          <w:sz w:val="22"/>
          <w:szCs w:val="22"/>
          <w:highlight w:val="red"/>
        </w:rPr>
        <w:t>RiboFree</w:t>
      </w:r>
      <w:proofErr w:type="spellEnd"/>
      <w:r w:rsidRPr="00015B51">
        <w:rPr>
          <w:sz w:val="22"/>
          <w:szCs w:val="22"/>
          <w:highlight w:val="red"/>
        </w:rPr>
        <w:t xml:space="preserve"> Total RNA Library Kit to validate its cross-species compatibility and introduces a complete workflow from RNA extraction to bioinformatic analysis.</w:t>
      </w:r>
    </w:p>
    <w:p w14:paraId="1B94F758" w14:textId="77777777" w:rsidR="006C423C" w:rsidRPr="00015B51" w:rsidRDefault="006C423C" w:rsidP="006C423C">
      <w:pPr>
        <w:rPr>
          <w:sz w:val="22"/>
          <w:szCs w:val="22"/>
          <w:highlight w:val="red"/>
        </w:rPr>
      </w:pPr>
    </w:p>
    <w:p w14:paraId="3CE1BD3E"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3" w:history="1">
        <w:r w:rsidRPr="00015B51">
          <w:rPr>
            <w:rStyle w:val="Hyperlink"/>
            <w:sz w:val="22"/>
            <w:szCs w:val="22"/>
            <w:highlight w:val="red"/>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442BB290" w:rsidR="00D82069" w:rsidRPr="00DB103C" w:rsidRDefault="00D82069" w:rsidP="00D82069">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6:</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AD3E106" w14:textId="77777777" w:rsidR="00D82069" w:rsidRPr="00DB103C" w:rsidRDefault="00D82069" w:rsidP="00D82069">
      <w:pPr>
        <w:rPr>
          <w:sz w:val="22"/>
          <w:szCs w:val="22"/>
          <w:highlight w:val="red"/>
        </w:rPr>
      </w:pPr>
    </w:p>
    <w:p w14:paraId="7D6C69D5"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Improved Transcript Discovery in Single-Cell RNA-seq with rRNA Depletion</w:t>
      </w:r>
    </w:p>
    <w:p w14:paraId="43251B99" w14:textId="77777777" w:rsidR="00D82069" w:rsidRPr="00DB103C" w:rsidRDefault="00D82069" w:rsidP="00D82069">
      <w:pPr>
        <w:rPr>
          <w:sz w:val="22"/>
          <w:szCs w:val="22"/>
          <w:highlight w:val="red"/>
        </w:rPr>
      </w:pPr>
    </w:p>
    <w:p w14:paraId="01A082F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poster from </w:t>
      </w:r>
      <w:proofErr w:type="spellStart"/>
      <w:r w:rsidRPr="00DB103C">
        <w:rPr>
          <w:sz w:val="22"/>
          <w:szCs w:val="22"/>
          <w:highlight w:val="red"/>
        </w:rPr>
        <w:t>Jumpcode</w:t>
      </w:r>
      <w:proofErr w:type="spellEnd"/>
      <w:r w:rsidRPr="00DB103C">
        <w:rPr>
          <w:sz w:val="22"/>
          <w:szCs w:val="22"/>
          <w:highlight w:val="red"/>
        </w:rPr>
        <w:t xml:space="preserve"> Genomics presents data demonstrating how </w:t>
      </w:r>
      <w:proofErr w:type="spellStart"/>
      <w:r w:rsidRPr="00DB103C">
        <w:rPr>
          <w:sz w:val="22"/>
          <w:szCs w:val="22"/>
          <w:highlight w:val="red"/>
        </w:rPr>
        <w:t>CRISPRclean</w:t>
      </w:r>
      <w:proofErr w:type="spellEnd"/>
      <w:r w:rsidRPr="00DB103C">
        <w:rPr>
          <w:sz w:val="22"/>
          <w:szCs w:val="22"/>
          <w:highlight w:val="red"/>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Pr="00DB103C" w:rsidRDefault="00D82069" w:rsidP="00D82069">
      <w:pPr>
        <w:rPr>
          <w:sz w:val="22"/>
          <w:szCs w:val="22"/>
          <w:highlight w:val="red"/>
        </w:rPr>
      </w:pPr>
    </w:p>
    <w:p w14:paraId="0308D81A"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1" w:history="1">
        <w:r w:rsidRPr="00DB103C">
          <w:rPr>
            <w:rStyle w:val="Hyperlink"/>
            <w:sz w:val="22"/>
            <w:szCs w:val="22"/>
            <w:highlight w:val="red"/>
          </w:rPr>
          <w:t>White Paper Channel</w:t>
        </w:r>
      </w:hyperlink>
      <w:r w:rsidRPr="00DB103C">
        <w:rPr>
          <w:sz w:val="22"/>
          <w:szCs w:val="22"/>
          <w:highlight w:val="red"/>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3D34C1A6"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GW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348F8B" w14:textId="77777777" w:rsidR="00D82069" w:rsidRPr="00DB103C" w:rsidRDefault="00D82069" w:rsidP="00D82069">
      <w:pPr>
        <w:rPr>
          <w:sz w:val="22"/>
          <w:szCs w:val="22"/>
          <w:highlight w:val="red"/>
        </w:rPr>
      </w:pPr>
    </w:p>
    <w:p w14:paraId="6873AA2D"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85462A8" w14:textId="77777777" w:rsidR="00D82069" w:rsidRPr="00DB103C" w:rsidRDefault="00D82069" w:rsidP="00D82069">
      <w:pPr>
        <w:rPr>
          <w:sz w:val="22"/>
          <w:szCs w:val="22"/>
          <w:highlight w:val="red"/>
        </w:rPr>
      </w:pPr>
    </w:p>
    <w:p w14:paraId="18598680"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3D898A35" w14:textId="77777777" w:rsidR="00D82069" w:rsidRPr="00DB103C" w:rsidRDefault="00D82069" w:rsidP="00D82069">
      <w:pPr>
        <w:rPr>
          <w:sz w:val="22"/>
          <w:szCs w:val="22"/>
          <w:highlight w:val="red"/>
        </w:rPr>
      </w:pPr>
    </w:p>
    <w:p w14:paraId="6087E573"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2" w:history="1">
        <w:r w:rsidRPr="00DB103C">
          <w:rPr>
            <w:rStyle w:val="Hyperlink"/>
            <w:sz w:val="22"/>
            <w:szCs w:val="22"/>
            <w:highlight w:val="red"/>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4A2273E"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360Dx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72E16BC3" w14:textId="77777777" w:rsidR="00D82069" w:rsidRPr="00DB103C" w:rsidRDefault="00D82069" w:rsidP="00D82069">
      <w:pPr>
        <w:rPr>
          <w:sz w:val="22"/>
          <w:szCs w:val="22"/>
          <w:highlight w:val="red"/>
        </w:rPr>
      </w:pPr>
    </w:p>
    <w:p w14:paraId="4CF01FD6"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302224B" w14:textId="77777777" w:rsidR="00D82069" w:rsidRPr="00DB103C" w:rsidRDefault="00D82069" w:rsidP="00D82069">
      <w:pPr>
        <w:rPr>
          <w:sz w:val="22"/>
          <w:szCs w:val="22"/>
          <w:highlight w:val="red"/>
        </w:rPr>
      </w:pPr>
    </w:p>
    <w:p w14:paraId="73EA710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03FE4ACC" w14:textId="77777777" w:rsidR="00D82069" w:rsidRPr="00DB103C" w:rsidRDefault="00D82069" w:rsidP="00D82069">
      <w:pPr>
        <w:rPr>
          <w:sz w:val="22"/>
          <w:szCs w:val="22"/>
          <w:highlight w:val="red"/>
        </w:rPr>
      </w:pPr>
    </w:p>
    <w:p w14:paraId="4D882B55" w14:textId="77777777" w:rsidR="00D82069" w:rsidRDefault="00D82069" w:rsidP="00D82069">
      <w:pPr>
        <w:rPr>
          <w:sz w:val="22"/>
          <w:szCs w:val="22"/>
        </w:rPr>
      </w:pPr>
      <w:r w:rsidRPr="00DB103C">
        <w:rPr>
          <w:sz w:val="22"/>
          <w:szCs w:val="22"/>
          <w:highlight w:val="red"/>
        </w:rPr>
        <w:t xml:space="preserve">Download it from the </w:t>
      </w:r>
      <w:hyperlink r:id="rId953" w:history="1">
        <w:r w:rsidRPr="00DB103C">
          <w:rPr>
            <w:rStyle w:val="Hyperlink"/>
            <w:sz w:val="22"/>
            <w:szCs w:val="22"/>
            <w:highlight w:val="red"/>
          </w:rPr>
          <w:t>360Dx White Paper Channel</w:t>
        </w:r>
      </w:hyperlink>
      <w:r w:rsidRPr="00DB103C">
        <w:rPr>
          <w:sz w:val="22"/>
          <w:szCs w:val="22"/>
          <w:highlight w:val="red"/>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06DE663E" w:rsidR="00D82069" w:rsidRPr="00DB103C" w:rsidRDefault="00D82069" w:rsidP="00D82069">
      <w:pPr>
        <w:rPr>
          <w:b/>
          <w:bCs/>
          <w:i/>
          <w:iCs/>
          <w:sz w:val="22"/>
          <w:szCs w:val="22"/>
          <w:highlight w:val="red"/>
        </w:rPr>
      </w:pPr>
      <w:r w:rsidRPr="00DB103C">
        <w:rPr>
          <w:b/>
          <w:bCs/>
          <w:i/>
          <w:iCs/>
          <w:sz w:val="22"/>
          <w:szCs w:val="22"/>
          <w:highlight w:val="red"/>
        </w:rPr>
        <w:t>Integra White Paper 11:</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4909DD3" w14:textId="77777777" w:rsidR="00D82069" w:rsidRPr="00DB103C" w:rsidRDefault="00D82069" w:rsidP="00D82069">
      <w:pPr>
        <w:rPr>
          <w:sz w:val="22"/>
          <w:szCs w:val="22"/>
          <w:highlight w:val="red"/>
        </w:rPr>
      </w:pPr>
    </w:p>
    <w:p w14:paraId="3B03543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the MTT Cell Proliferation, Viability, and Cytotoxicity Assay</w:t>
      </w:r>
    </w:p>
    <w:p w14:paraId="09C35E90" w14:textId="77777777" w:rsidR="00D82069" w:rsidRPr="00DB103C" w:rsidRDefault="00D82069" w:rsidP="00D82069">
      <w:pPr>
        <w:rPr>
          <w:sz w:val="22"/>
          <w:szCs w:val="22"/>
          <w:highlight w:val="red"/>
        </w:rPr>
      </w:pPr>
    </w:p>
    <w:p w14:paraId="270F68D8"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step-by-step protocol for automating the MTT assay — which measures proliferation, cytotoxicity, or cell activation </w:t>
      </w:r>
      <w:proofErr w:type="gramStart"/>
      <w:r w:rsidRPr="00DB103C">
        <w:rPr>
          <w:sz w:val="22"/>
          <w:szCs w:val="22"/>
          <w:highlight w:val="red"/>
        </w:rPr>
        <w:t>—  using</w:t>
      </w:r>
      <w:proofErr w:type="gramEnd"/>
      <w:r w:rsidRPr="00DB103C">
        <w:rPr>
          <w:sz w:val="22"/>
          <w:szCs w:val="22"/>
          <w:highlight w:val="red"/>
        </w:rPr>
        <w:t xml:space="preserve"> the Assist Plus pipetting robot to improve throughput, reproducibility, safety, and reagent efficiency.</w:t>
      </w:r>
    </w:p>
    <w:p w14:paraId="1535F898" w14:textId="77777777" w:rsidR="00D82069" w:rsidRPr="00DB103C" w:rsidRDefault="00D82069" w:rsidP="00D82069">
      <w:pPr>
        <w:rPr>
          <w:sz w:val="22"/>
          <w:szCs w:val="22"/>
          <w:highlight w:val="red"/>
        </w:rPr>
      </w:pPr>
    </w:p>
    <w:p w14:paraId="528E95B1"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4" w:history="1">
        <w:r w:rsidRPr="00DB103C">
          <w:rPr>
            <w:rStyle w:val="Hyperlink"/>
            <w:sz w:val="22"/>
            <w:szCs w:val="22"/>
            <w:highlight w:val="red"/>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5A4C85F3" w:rsidR="00D82069" w:rsidRPr="00DB103C" w:rsidRDefault="00D82069" w:rsidP="00D82069">
      <w:pPr>
        <w:rPr>
          <w:b/>
          <w:bCs/>
          <w:i/>
          <w:iCs/>
          <w:sz w:val="22"/>
          <w:szCs w:val="22"/>
          <w:highlight w:val="red"/>
        </w:rPr>
      </w:pPr>
      <w:r w:rsidRPr="00DB103C">
        <w:rPr>
          <w:b/>
          <w:bCs/>
          <w:i/>
          <w:iCs/>
          <w:sz w:val="22"/>
          <w:szCs w:val="22"/>
          <w:highlight w:val="red"/>
        </w:rPr>
        <w:t>Integra White Paper 12: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60AF00D" w14:textId="77777777" w:rsidR="00D82069" w:rsidRPr="00DB103C" w:rsidRDefault="00D82069" w:rsidP="00D82069">
      <w:pPr>
        <w:rPr>
          <w:sz w:val="22"/>
          <w:szCs w:val="22"/>
          <w:highlight w:val="red"/>
        </w:rPr>
      </w:pPr>
    </w:p>
    <w:p w14:paraId="5CA801CE"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Rapid and Precise Dilutions for the Most Probable Number Test Procedure</w:t>
      </w:r>
    </w:p>
    <w:p w14:paraId="345A28EF" w14:textId="77777777" w:rsidR="00D82069" w:rsidRPr="00DB103C" w:rsidRDefault="00D82069" w:rsidP="00D82069">
      <w:pPr>
        <w:rPr>
          <w:sz w:val="22"/>
          <w:szCs w:val="22"/>
          <w:highlight w:val="red"/>
        </w:rPr>
      </w:pPr>
    </w:p>
    <w:p w14:paraId="01E11E49" w14:textId="77777777" w:rsidR="00D82069" w:rsidRPr="00DB103C" w:rsidRDefault="00D82069" w:rsidP="00D82069">
      <w:pPr>
        <w:numPr>
          <w:ilvl w:val="0"/>
          <w:numId w:val="1"/>
        </w:num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Pr="00DB103C" w:rsidRDefault="00D82069" w:rsidP="00D82069">
      <w:pPr>
        <w:rPr>
          <w:sz w:val="22"/>
          <w:szCs w:val="22"/>
          <w:highlight w:val="red"/>
        </w:rPr>
      </w:pPr>
    </w:p>
    <w:p w14:paraId="06125419"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5" w:history="1">
        <w:r w:rsidRPr="00DB103C">
          <w:rPr>
            <w:rStyle w:val="Hyperlink"/>
            <w:sz w:val="22"/>
            <w:szCs w:val="22"/>
            <w:highlight w:val="red"/>
          </w:rPr>
          <w:t>White Paper Channel</w:t>
        </w:r>
      </w:hyperlink>
      <w:r w:rsidRPr="00DB103C">
        <w:rPr>
          <w:sz w:val="22"/>
          <w:szCs w:val="22"/>
          <w:highlight w:val="red"/>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17453116" w:rsidR="00D82069" w:rsidRPr="00DB103C" w:rsidRDefault="00D82069" w:rsidP="00D82069">
      <w:pPr>
        <w:rPr>
          <w:b/>
          <w:bCs/>
          <w:i/>
          <w:iCs/>
          <w:sz w:val="22"/>
          <w:szCs w:val="22"/>
          <w:highlight w:val="red"/>
        </w:rPr>
      </w:pPr>
      <w:r w:rsidRPr="00DB103C">
        <w:rPr>
          <w:b/>
          <w:bCs/>
          <w:i/>
          <w:iCs/>
          <w:sz w:val="22"/>
          <w:szCs w:val="22"/>
          <w:highlight w:val="red"/>
        </w:rPr>
        <w:t>Integra White Paper 13:</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146568D" w14:textId="77777777" w:rsidR="00D82069" w:rsidRPr="00DB103C" w:rsidRDefault="00D82069" w:rsidP="00D82069">
      <w:pPr>
        <w:rPr>
          <w:sz w:val="22"/>
          <w:szCs w:val="22"/>
          <w:highlight w:val="red"/>
        </w:rPr>
      </w:pPr>
    </w:p>
    <w:p w14:paraId="4273249B"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Automated Minimum Inhibitory Concentration Testing</w:t>
      </w:r>
    </w:p>
    <w:p w14:paraId="56502FCA" w14:textId="77777777" w:rsidR="00D82069" w:rsidRPr="00DB103C" w:rsidRDefault="00D82069" w:rsidP="00D82069">
      <w:pPr>
        <w:rPr>
          <w:sz w:val="22"/>
          <w:szCs w:val="22"/>
          <w:highlight w:val="red"/>
        </w:rPr>
      </w:pPr>
    </w:p>
    <w:p w14:paraId="5D463E49"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Pr="00DB103C" w:rsidRDefault="00D82069" w:rsidP="00D82069">
      <w:pPr>
        <w:rPr>
          <w:sz w:val="22"/>
          <w:szCs w:val="22"/>
          <w:highlight w:val="red"/>
        </w:rPr>
      </w:pPr>
    </w:p>
    <w:p w14:paraId="54D5A906"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6" w:history="1">
        <w:r w:rsidRPr="00DB103C">
          <w:rPr>
            <w:rStyle w:val="Hyperlink"/>
            <w:sz w:val="22"/>
            <w:szCs w:val="22"/>
            <w:highlight w:val="red"/>
          </w:rPr>
          <w:t>White Paper Channel</w:t>
        </w:r>
      </w:hyperlink>
      <w:r w:rsidRPr="00DB103C">
        <w:rPr>
          <w:sz w:val="22"/>
          <w:szCs w:val="22"/>
          <w:highlight w:val="red"/>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1C963392" w:rsidR="00D82069" w:rsidRPr="00DB103C" w:rsidRDefault="00D82069" w:rsidP="00D82069">
      <w:pPr>
        <w:rPr>
          <w:b/>
          <w:bCs/>
          <w:i/>
          <w:iCs/>
          <w:sz w:val="22"/>
          <w:szCs w:val="22"/>
          <w:highlight w:val="red"/>
        </w:rPr>
      </w:pPr>
      <w:r w:rsidRPr="00DB103C">
        <w:rPr>
          <w:b/>
          <w:bCs/>
          <w:i/>
          <w:iCs/>
          <w:sz w:val="22"/>
          <w:szCs w:val="22"/>
          <w:highlight w:val="red"/>
        </w:rPr>
        <w:t>Integra GW White Paper 14: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9D23250" w14:textId="77777777" w:rsidR="00D82069" w:rsidRPr="00DB103C" w:rsidRDefault="00D82069" w:rsidP="00D82069">
      <w:pPr>
        <w:rPr>
          <w:sz w:val="22"/>
          <w:szCs w:val="22"/>
          <w:highlight w:val="red"/>
        </w:rPr>
      </w:pPr>
    </w:p>
    <w:p w14:paraId="7FE0E76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721B1B8F" w14:textId="77777777" w:rsidR="00D82069" w:rsidRPr="00DB103C" w:rsidRDefault="00D82069" w:rsidP="00D82069">
      <w:pPr>
        <w:rPr>
          <w:sz w:val="22"/>
          <w:szCs w:val="22"/>
          <w:highlight w:val="red"/>
        </w:rPr>
      </w:pPr>
    </w:p>
    <w:p w14:paraId="14FD2A93"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Pr="00DB103C" w:rsidRDefault="00D82069" w:rsidP="00D82069">
      <w:pPr>
        <w:rPr>
          <w:sz w:val="22"/>
          <w:szCs w:val="22"/>
          <w:highlight w:val="red"/>
        </w:rPr>
      </w:pPr>
    </w:p>
    <w:p w14:paraId="55B4A67B"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7" w:history="1">
        <w:r w:rsidRPr="00DB103C">
          <w:rPr>
            <w:rStyle w:val="Hyperlink"/>
            <w:sz w:val="22"/>
            <w:szCs w:val="22"/>
            <w:highlight w:val="red"/>
          </w:rPr>
          <w:t>White Paper Channel</w:t>
        </w:r>
      </w:hyperlink>
      <w:r w:rsidRPr="00DB103C">
        <w:rPr>
          <w:sz w:val="22"/>
          <w:szCs w:val="22"/>
          <w:highlight w:val="red"/>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227037A1" w:rsidR="00D82069" w:rsidRPr="00DB103C" w:rsidRDefault="00D82069" w:rsidP="00D82069">
      <w:pPr>
        <w:rPr>
          <w:b/>
          <w:bCs/>
          <w:i/>
          <w:iCs/>
          <w:sz w:val="22"/>
          <w:szCs w:val="22"/>
          <w:highlight w:val="red"/>
        </w:rPr>
      </w:pPr>
      <w:r w:rsidRPr="00DB103C">
        <w:rPr>
          <w:b/>
          <w:bCs/>
          <w:i/>
          <w:iCs/>
          <w:sz w:val="22"/>
          <w:szCs w:val="22"/>
          <w:highlight w:val="red"/>
        </w:rPr>
        <w:t>Integra 360Dx White Paper 14:</w:t>
      </w:r>
      <w:r w:rsidR="00DB103C">
        <w:rPr>
          <w:b/>
          <w:bCs/>
          <w:i/>
          <w:iCs/>
          <w:sz w:val="22"/>
          <w:szCs w:val="22"/>
          <w:highlight w:val="red"/>
        </w:rPr>
        <w:t xml:space="preserve"> ( Retired )</w:t>
      </w:r>
    </w:p>
    <w:p w14:paraId="79873103" w14:textId="77777777" w:rsidR="00D82069" w:rsidRPr="00DB103C" w:rsidRDefault="00D82069" w:rsidP="00D82069">
      <w:pPr>
        <w:rPr>
          <w:sz w:val="22"/>
          <w:szCs w:val="22"/>
          <w:highlight w:val="red"/>
        </w:rPr>
      </w:pPr>
    </w:p>
    <w:p w14:paraId="5270289D"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33D2F7DC" w14:textId="77777777" w:rsidR="00D82069" w:rsidRPr="00DB103C" w:rsidRDefault="00D82069" w:rsidP="00D82069">
      <w:pPr>
        <w:rPr>
          <w:sz w:val="22"/>
          <w:szCs w:val="22"/>
          <w:highlight w:val="red"/>
        </w:rPr>
      </w:pPr>
    </w:p>
    <w:p w14:paraId="3F7B912F"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Pr="00DB103C" w:rsidRDefault="00D82069" w:rsidP="00D82069">
      <w:pPr>
        <w:rPr>
          <w:sz w:val="22"/>
          <w:szCs w:val="22"/>
          <w:highlight w:val="red"/>
        </w:rPr>
      </w:pPr>
    </w:p>
    <w:p w14:paraId="23797088" w14:textId="77777777" w:rsidR="00D82069" w:rsidRDefault="00D82069" w:rsidP="00D82069">
      <w:pPr>
        <w:rPr>
          <w:sz w:val="22"/>
          <w:szCs w:val="22"/>
        </w:rPr>
      </w:pPr>
      <w:r w:rsidRPr="00DB103C">
        <w:rPr>
          <w:sz w:val="22"/>
          <w:szCs w:val="22"/>
          <w:highlight w:val="red"/>
        </w:rPr>
        <w:t xml:space="preserve">Download it from the </w:t>
      </w:r>
      <w:hyperlink r:id="rId958" w:history="1">
        <w:r w:rsidRPr="00DB103C">
          <w:rPr>
            <w:rStyle w:val="Hyperlink"/>
            <w:sz w:val="22"/>
            <w:szCs w:val="22"/>
            <w:highlight w:val="red"/>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4A6F1C21" w:rsidR="00D82069" w:rsidRPr="004A25B2" w:rsidRDefault="00D82069" w:rsidP="00D82069">
      <w:pPr>
        <w:rPr>
          <w:b/>
          <w:bCs/>
          <w:i/>
          <w:iCs/>
          <w:sz w:val="22"/>
          <w:szCs w:val="22"/>
          <w:highlight w:val="red"/>
        </w:rPr>
      </w:pPr>
      <w:r w:rsidRPr="004A25B2">
        <w:rPr>
          <w:b/>
          <w:bCs/>
          <w:i/>
          <w:iCs/>
          <w:sz w:val="22"/>
          <w:szCs w:val="22"/>
          <w:highlight w:val="red"/>
        </w:rPr>
        <w:t>DNA Script White Paper 1:</w:t>
      </w:r>
      <w:r w:rsidR="004A25B2">
        <w:rPr>
          <w:b/>
          <w:bCs/>
          <w:i/>
          <w:iCs/>
          <w:sz w:val="22"/>
          <w:szCs w:val="22"/>
          <w:highlight w:val="red"/>
        </w:rPr>
        <w:t xml:space="preserve"> (Retired)</w:t>
      </w:r>
    </w:p>
    <w:p w14:paraId="0D23EF1E" w14:textId="77777777" w:rsidR="00D82069" w:rsidRPr="004A25B2" w:rsidRDefault="00D82069" w:rsidP="00D82069">
      <w:pPr>
        <w:rPr>
          <w:sz w:val="22"/>
          <w:szCs w:val="22"/>
          <w:highlight w:val="red"/>
        </w:rPr>
      </w:pPr>
    </w:p>
    <w:p w14:paraId="36990F6A"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SARS-CoV-2 Primers Produced with Novel Enzymatic Synthesis Technology</w:t>
      </w:r>
    </w:p>
    <w:p w14:paraId="28F13438" w14:textId="77777777" w:rsidR="00D82069" w:rsidRPr="004A25B2" w:rsidRDefault="00D82069" w:rsidP="00D82069">
      <w:pPr>
        <w:rPr>
          <w:sz w:val="22"/>
          <w:szCs w:val="22"/>
          <w:highlight w:val="red"/>
        </w:rPr>
      </w:pPr>
    </w:p>
    <w:p w14:paraId="486D1299" w14:textId="77777777" w:rsidR="00D82069" w:rsidRPr="004A25B2" w:rsidRDefault="00D82069" w:rsidP="00D82069">
      <w:pPr>
        <w:rPr>
          <w:b/>
          <w:bCs/>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Pr="004A25B2" w:rsidRDefault="00D82069" w:rsidP="00D82069">
      <w:pPr>
        <w:rPr>
          <w:sz w:val="22"/>
          <w:szCs w:val="22"/>
          <w:highlight w:val="red"/>
        </w:rPr>
      </w:pPr>
    </w:p>
    <w:p w14:paraId="189C0D85"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59" w:history="1">
        <w:r w:rsidRPr="004A25B2">
          <w:rPr>
            <w:rStyle w:val="Hyperlink"/>
            <w:sz w:val="22"/>
            <w:szCs w:val="22"/>
            <w:highlight w:val="red"/>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44AD74E2" w:rsidR="00D82069" w:rsidRPr="004A25B2" w:rsidRDefault="00D82069" w:rsidP="00D82069">
      <w:pPr>
        <w:rPr>
          <w:b/>
          <w:bCs/>
          <w:i/>
          <w:iCs/>
          <w:sz w:val="22"/>
          <w:szCs w:val="22"/>
          <w:highlight w:val="red"/>
        </w:rPr>
      </w:pPr>
      <w:r w:rsidRPr="004A25B2">
        <w:rPr>
          <w:b/>
          <w:bCs/>
          <w:i/>
          <w:iCs/>
          <w:sz w:val="22"/>
          <w:szCs w:val="22"/>
          <w:highlight w:val="red"/>
        </w:rPr>
        <w:t>DNA Script White Paper 2:</w:t>
      </w:r>
      <w:r w:rsidR="004A25B2">
        <w:rPr>
          <w:b/>
          <w:bCs/>
          <w:i/>
          <w:iCs/>
          <w:sz w:val="22"/>
          <w:szCs w:val="22"/>
          <w:highlight w:val="red"/>
        </w:rPr>
        <w:t xml:space="preserve"> (Retired)</w:t>
      </w:r>
    </w:p>
    <w:p w14:paraId="1A33FC42" w14:textId="77777777" w:rsidR="00D82069" w:rsidRPr="004A25B2" w:rsidRDefault="00D82069" w:rsidP="00D82069">
      <w:pPr>
        <w:rPr>
          <w:sz w:val="22"/>
          <w:szCs w:val="22"/>
          <w:highlight w:val="red"/>
        </w:rPr>
      </w:pPr>
    </w:p>
    <w:p w14:paraId="57613609"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Guide RNA Production with Novel Enzymatic Synthesis Technology</w:t>
      </w:r>
    </w:p>
    <w:p w14:paraId="4762CABD" w14:textId="77777777" w:rsidR="00D82069" w:rsidRPr="004A25B2" w:rsidRDefault="00D82069" w:rsidP="00D82069">
      <w:pPr>
        <w:rPr>
          <w:sz w:val="22"/>
          <w:szCs w:val="22"/>
          <w:highlight w:val="red"/>
        </w:rPr>
      </w:pPr>
    </w:p>
    <w:p w14:paraId="34089BD6"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Pr="004A25B2" w:rsidRDefault="00D82069" w:rsidP="00D82069">
      <w:pPr>
        <w:rPr>
          <w:sz w:val="22"/>
          <w:szCs w:val="22"/>
          <w:highlight w:val="red"/>
        </w:rPr>
      </w:pPr>
    </w:p>
    <w:p w14:paraId="00368FEB"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0" w:history="1">
        <w:r w:rsidRPr="004A25B2">
          <w:rPr>
            <w:rStyle w:val="Hyperlink"/>
            <w:sz w:val="22"/>
            <w:szCs w:val="22"/>
            <w:highlight w:val="red"/>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4EE23238" w:rsidR="00D82069" w:rsidRPr="004A25B2" w:rsidRDefault="00D82069" w:rsidP="00D82069">
      <w:pPr>
        <w:rPr>
          <w:b/>
          <w:bCs/>
          <w:i/>
          <w:iCs/>
          <w:sz w:val="22"/>
          <w:szCs w:val="22"/>
          <w:highlight w:val="red"/>
        </w:rPr>
      </w:pPr>
      <w:r w:rsidRPr="004A25B2">
        <w:rPr>
          <w:b/>
          <w:bCs/>
          <w:i/>
          <w:iCs/>
          <w:sz w:val="22"/>
          <w:szCs w:val="22"/>
          <w:highlight w:val="red"/>
        </w:rPr>
        <w:t>DNA Script White Paper 3:</w:t>
      </w:r>
      <w:r w:rsidR="004A25B2">
        <w:rPr>
          <w:b/>
          <w:bCs/>
          <w:i/>
          <w:iCs/>
          <w:sz w:val="22"/>
          <w:szCs w:val="22"/>
          <w:highlight w:val="red"/>
        </w:rPr>
        <w:t xml:space="preserve"> (Retired)</w:t>
      </w:r>
    </w:p>
    <w:p w14:paraId="68530539" w14:textId="77777777" w:rsidR="00D82069" w:rsidRPr="004A25B2" w:rsidRDefault="00D82069" w:rsidP="00D82069">
      <w:pPr>
        <w:rPr>
          <w:sz w:val="22"/>
          <w:szCs w:val="22"/>
          <w:highlight w:val="red"/>
        </w:rPr>
      </w:pPr>
    </w:p>
    <w:p w14:paraId="53FC51DE"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SARS-CoV-2 Spike Protein Mutagenesis</w:t>
      </w:r>
    </w:p>
    <w:p w14:paraId="11DD9CA6" w14:textId="77777777" w:rsidR="00D82069" w:rsidRPr="004A25B2" w:rsidRDefault="00D82069" w:rsidP="00D82069">
      <w:pPr>
        <w:rPr>
          <w:sz w:val="22"/>
          <w:szCs w:val="22"/>
          <w:highlight w:val="red"/>
        </w:rPr>
      </w:pPr>
    </w:p>
    <w:p w14:paraId="7DCF4E77"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Pr="004A25B2" w:rsidRDefault="00D82069" w:rsidP="00D82069">
      <w:pPr>
        <w:rPr>
          <w:sz w:val="22"/>
          <w:szCs w:val="22"/>
          <w:highlight w:val="red"/>
        </w:rPr>
      </w:pPr>
    </w:p>
    <w:p w14:paraId="0BC55BA1"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1" w:history="1">
        <w:r w:rsidRPr="004A25B2">
          <w:rPr>
            <w:rStyle w:val="Hyperlink"/>
            <w:sz w:val="22"/>
            <w:szCs w:val="22"/>
            <w:highlight w:val="red"/>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2ECEBEEF" w:rsidR="00D82069" w:rsidRPr="004A25B2" w:rsidRDefault="00D82069" w:rsidP="00D82069">
      <w:pPr>
        <w:rPr>
          <w:b/>
          <w:bCs/>
          <w:i/>
          <w:iCs/>
          <w:sz w:val="22"/>
          <w:szCs w:val="22"/>
          <w:highlight w:val="red"/>
        </w:rPr>
      </w:pPr>
      <w:r w:rsidRPr="004A25B2">
        <w:rPr>
          <w:b/>
          <w:bCs/>
          <w:i/>
          <w:iCs/>
          <w:sz w:val="22"/>
          <w:szCs w:val="22"/>
          <w:highlight w:val="red"/>
        </w:rPr>
        <w:t>DNA Script Webinar 1:</w:t>
      </w:r>
      <w:r w:rsidR="004A25B2">
        <w:rPr>
          <w:b/>
          <w:bCs/>
          <w:i/>
          <w:iCs/>
          <w:sz w:val="22"/>
          <w:szCs w:val="22"/>
          <w:highlight w:val="red"/>
        </w:rPr>
        <w:t xml:space="preserve"> </w:t>
      </w:r>
      <w:proofErr w:type="gramStart"/>
      <w:r w:rsidR="004A25B2">
        <w:rPr>
          <w:b/>
          <w:bCs/>
          <w:i/>
          <w:iCs/>
          <w:sz w:val="22"/>
          <w:szCs w:val="22"/>
          <w:highlight w:val="red"/>
        </w:rPr>
        <w:t>( Retired</w:t>
      </w:r>
      <w:proofErr w:type="gramEnd"/>
      <w:r w:rsidR="004A25B2">
        <w:rPr>
          <w:b/>
          <w:bCs/>
          <w:i/>
          <w:iCs/>
          <w:sz w:val="22"/>
          <w:szCs w:val="22"/>
          <w:highlight w:val="red"/>
        </w:rPr>
        <w:t xml:space="preserve"> )</w:t>
      </w:r>
    </w:p>
    <w:p w14:paraId="156C0B8E" w14:textId="77777777" w:rsidR="00D82069" w:rsidRPr="004A25B2" w:rsidRDefault="00D82069" w:rsidP="00D82069">
      <w:pPr>
        <w:rPr>
          <w:sz w:val="22"/>
          <w:szCs w:val="22"/>
          <w:highlight w:val="red"/>
        </w:rPr>
      </w:pPr>
    </w:p>
    <w:p w14:paraId="6D0411E3"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Custom Library Adaptors Via Enzymatic Synthesis Improve Real-Time Nanopore Sequencing</w:t>
      </w:r>
    </w:p>
    <w:p w14:paraId="502F205C" w14:textId="77777777" w:rsidR="00D82069" w:rsidRPr="004A25B2" w:rsidRDefault="00D82069" w:rsidP="00D82069">
      <w:pPr>
        <w:rPr>
          <w:sz w:val="22"/>
          <w:szCs w:val="22"/>
          <w:highlight w:val="red"/>
        </w:rPr>
      </w:pPr>
    </w:p>
    <w:p w14:paraId="3AF93CAB"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on-demand </w:t>
      </w:r>
      <w:proofErr w:type="spellStart"/>
      <w:r w:rsidRPr="004A25B2">
        <w:rPr>
          <w:sz w:val="22"/>
          <w:szCs w:val="22"/>
          <w:highlight w:val="red"/>
        </w:rPr>
        <w:t>GenomeWebinar</w:t>
      </w:r>
      <w:proofErr w:type="spellEnd"/>
      <w:r w:rsidRPr="004A25B2">
        <w:rPr>
          <w:sz w:val="22"/>
          <w:szCs w:val="22"/>
          <w:highlight w:val="red"/>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Pr="004A25B2" w:rsidRDefault="00D82069" w:rsidP="00D82069">
      <w:pPr>
        <w:rPr>
          <w:sz w:val="22"/>
          <w:szCs w:val="22"/>
          <w:highlight w:val="red"/>
        </w:rPr>
      </w:pPr>
    </w:p>
    <w:p w14:paraId="3FFB6D1A"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2" w:history="1">
        <w:r w:rsidRPr="004A25B2">
          <w:rPr>
            <w:rStyle w:val="Hyperlink"/>
            <w:sz w:val="22"/>
            <w:szCs w:val="22"/>
            <w:highlight w:val="red"/>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5A0B9DD" w:rsidR="00D82069" w:rsidRPr="004A25B2" w:rsidRDefault="00D82069" w:rsidP="00D82069">
      <w:pPr>
        <w:rPr>
          <w:b/>
          <w:bCs/>
          <w:i/>
          <w:iCs/>
          <w:sz w:val="22"/>
          <w:szCs w:val="22"/>
          <w:highlight w:val="red"/>
        </w:rPr>
      </w:pPr>
      <w:r w:rsidRPr="004A25B2">
        <w:rPr>
          <w:b/>
          <w:bCs/>
          <w:i/>
          <w:iCs/>
          <w:sz w:val="22"/>
          <w:szCs w:val="22"/>
          <w:highlight w:val="red"/>
        </w:rPr>
        <w:t>DNA Script Webinar 2:</w:t>
      </w:r>
      <w:r w:rsidR="004A25B2">
        <w:rPr>
          <w:b/>
          <w:bCs/>
          <w:i/>
          <w:iCs/>
          <w:sz w:val="22"/>
          <w:szCs w:val="22"/>
          <w:highlight w:val="red"/>
        </w:rPr>
        <w:t xml:space="preserve"> </w:t>
      </w:r>
      <w:proofErr w:type="gramStart"/>
      <w:r w:rsidR="004A25B2">
        <w:rPr>
          <w:b/>
          <w:bCs/>
          <w:i/>
          <w:iCs/>
          <w:sz w:val="22"/>
          <w:szCs w:val="22"/>
          <w:highlight w:val="red"/>
        </w:rPr>
        <w:t>( Retired</w:t>
      </w:r>
      <w:proofErr w:type="gramEnd"/>
      <w:r w:rsidR="004A25B2">
        <w:rPr>
          <w:b/>
          <w:bCs/>
          <w:i/>
          <w:iCs/>
          <w:sz w:val="22"/>
          <w:szCs w:val="22"/>
          <w:highlight w:val="red"/>
        </w:rPr>
        <w:t xml:space="preserve"> )</w:t>
      </w:r>
    </w:p>
    <w:p w14:paraId="2B40EDAC" w14:textId="77777777" w:rsidR="00D82069" w:rsidRPr="004A25B2" w:rsidRDefault="00D82069" w:rsidP="00D82069">
      <w:pPr>
        <w:rPr>
          <w:sz w:val="22"/>
          <w:szCs w:val="22"/>
          <w:highlight w:val="red"/>
        </w:rPr>
      </w:pPr>
    </w:p>
    <w:p w14:paraId="74EA9B59"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Using Oligonucleotides Printed with Enzymatic Synthesis Accelerates </w:t>
      </w:r>
      <w:r w:rsidRPr="004A25B2">
        <w:rPr>
          <w:i/>
          <w:iCs/>
          <w:sz w:val="22"/>
          <w:szCs w:val="22"/>
          <w:highlight w:val="red"/>
        </w:rPr>
        <w:t>Candida glabrata</w:t>
      </w:r>
      <w:r w:rsidRPr="004A25B2">
        <w:rPr>
          <w:sz w:val="22"/>
          <w:szCs w:val="22"/>
          <w:highlight w:val="red"/>
        </w:rPr>
        <w:t xml:space="preserve"> Mutagenesis Workflow</w:t>
      </w:r>
    </w:p>
    <w:p w14:paraId="6756AA8D" w14:textId="77777777" w:rsidR="00D82069" w:rsidRPr="004A25B2" w:rsidRDefault="00D82069" w:rsidP="00D82069">
      <w:pPr>
        <w:rPr>
          <w:sz w:val="22"/>
          <w:szCs w:val="22"/>
          <w:highlight w:val="red"/>
        </w:rPr>
      </w:pPr>
    </w:p>
    <w:p w14:paraId="02D9E1EE"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Pr="004A25B2" w:rsidRDefault="00D82069" w:rsidP="00D82069">
      <w:pPr>
        <w:rPr>
          <w:sz w:val="22"/>
          <w:szCs w:val="22"/>
          <w:highlight w:val="red"/>
        </w:rPr>
      </w:pPr>
    </w:p>
    <w:p w14:paraId="21A250A6" w14:textId="77777777" w:rsidR="00D82069" w:rsidRPr="004A25B2" w:rsidRDefault="00D82069" w:rsidP="00D82069">
      <w:pPr>
        <w:rPr>
          <w:sz w:val="22"/>
          <w:szCs w:val="22"/>
          <w:highlight w:val="red"/>
        </w:rPr>
      </w:pPr>
    </w:p>
    <w:p w14:paraId="6AFCA7AD"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3" w:history="1">
        <w:r w:rsidRPr="004A25B2">
          <w:rPr>
            <w:rStyle w:val="Hyperlink"/>
            <w:sz w:val="22"/>
            <w:szCs w:val="22"/>
            <w:highlight w:val="red"/>
          </w:rPr>
          <w:t>Webinar Library</w:t>
        </w:r>
      </w:hyperlink>
      <w:r w:rsidRPr="004A25B2">
        <w:rPr>
          <w:sz w:val="22"/>
          <w:szCs w:val="22"/>
          <w:highlight w:val="red"/>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63ABD6F8" w:rsidR="00D82069" w:rsidRPr="004A25B2" w:rsidRDefault="00D82069" w:rsidP="00D82069">
      <w:pPr>
        <w:rPr>
          <w:b/>
          <w:bCs/>
          <w:i/>
          <w:iCs/>
          <w:sz w:val="22"/>
          <w:szCs w:val="22"/>
          <w:highlight w:val="red"/>
        </w:rPr>
      </w:pPr>
      <w:r w:rsidRPr="004A25B2">
        <w:rPr>
          <w:b/>
          <w:bCs/>
          <w:i/>
          <w:iCs/>
          <w:sz w:val="22"/>
          <w:szCs w:val="22"/>
          <w:highlight w:val="red"/>
        </w:rPr>
        <w:t>DNA Script Webinar 3</w:t>
      </w:r>
      <w:r w:rsidR="004A25B2">
        <w:rPr>
          <w:b/>
          <w:bCs/>
          <w:i/>
          <w:iCs/>
          <w:sz w:val="22"/>
          <w:szCs w:val="22"/>
          <w:highlight w:val="red"/>
        </w:rPr>
        <w:t xml:space="preserve"> ( Retired )</w:t>
      </w:r>
    </w:p>
    <w:p w14:paraId="351B1698" w14:textId="77777777" w:rsidR="00D82069" w:rsidRPr="004A25B2" w:rsidRDefault="00D82069" w:rsidP="00D82069">
      <w:pPr>
        <w:rPr>
          <w:sz w:val="22"/>
          <w:szCs w:val="22"/>
          <w:highlight w:val="red"/>
        </w:rPr>
      </w:pPr>
    </w:p>
    <w:p w14:paraId="6B3E8DD2" w14:textId="77777777" w:rsidR="00D82069" w:rsidRPr="004A25B2" w:rsidRDefault="00D82069" w:rsidP="00D82069">
      <w:pPr>
        <w:rPr>
          <w:sz w:val="22"/>
          <w:szCs w:val="22"/>
          <w:highlight w:val="red"/>
        </w:rPr>
      </w:pPr>
      <w:r w:rsidRPr="004A25B2">
        <w:rPr>
          <w:b/>
          <w:bCs/>
          <w:sz w:val="22"/>
          <w:szCs w:val="22"/>
          <w:highlight w:val="red"/>
        </w:rPr>
        <w:t>Title:</w:t>
      </w:r>
      <w:r w:rsidRPr="004A25B2">
        <w:rPr>
          <w:sz w:val="22"/>
          <w:szCs w:val="22"/>
          <w:highlight w:val="red"/>
        </w:rPr>
        <w:t xml:space="preserve"> Benchtop Enzymatic Oligonucleotide Synthesis Workflow</w:t>
      </w:r>
    </w:p>
    <w:p w14:paraId="59D3B1DD" w14:textId="77777777" w:rsidR="00D82069" w:rsidRPr="004A25B2" w:rsidRDefault="00D82069" w:rsidP="00D82069">
      <w:pPr>
        <w:rPr>
          <w:sz w:val="22"/>
          <w:szCs w:val="22"/>
          <w:highlight w:val="red"/>
        </w:rPr>
      </w:pPr>
    </w:p>
    <w:p w14:paraId="295B5FCD" w14:textId="77777777" w:rsidR="00D82069" w:rsidRPr="004A25B2" w:rsidRDefault="00D82069" w:rsidP="00D82069">
      <w:pPr>
        <w:rPr>
          <w:sz w:val="22"/>
          <w:szCs w:val="22"/>
          <w:highlight w:val="red"/>
        </w:rPr>
      </w:pPr>
      <w:r w:rsidRPr="004A25B2">
        <w:rPr>
          <w:b/>
          <w:bCs/>
          <w:sz w:val="22"/>
          <w:szCs w:val="22"/>
          <w:highlight w:val="red"/>
        </w:rPr>
        <w:t>Body:</w:t>
      </w:r>
      <w:r w:rsidRPr="004A25B2">
        <w:rPr>
          <w:sz w:val="22"/>
          <w:szCs w:val="22"/>
          <w:highlight w:val="red"/>
        </w:rPr>
        <w:t xml:space="preserve"> This video from DNA Script outlines the workflow for the Syntax System for automated, benchtop enzymatic DNA synthesis, printing up to 96 unique oligos of up to 60 nucleotides in </w:t>
      </w:r>
      <w:r w:rsidRPr="004A25B2">
        <w:rPr>
          <w:sz w:val="22"/>
          <w:szCs w:val="22"/>
          <w:highlight w:val="red"/>
        </w:rPr>
        <w:lastRenderedPageBreak/>
        <w:t>length, quantified and normalized for immediate use in molecular biology or genomics workflows.</w:t>
      </w:r>
    </w:p>
    <w:p w14:paraId="31770042" w14:textId="77777777" w:rsidR="00D82069" w:rsidRPr="004A25B2" w:rsidRDefault="00D82069" w:rsidP="00D82069">
      <w:pPr>
        <w:rPr>
          <w:sz w:val="22"/>
          <w:szCs w:val="22"/>
          <w:highlight w:val="red"/>
        </w:rPr>
      </w:pPr>
    </w:p>
    <w:p w14:paraId="3D51B413" w14:textId="77777777" w:rsidR="00D82069" w:rsidRDefault="00D82069" w:rsidP="00D82069">
      <w:pPr>
        <w:rPr>
          <w:sz w:val="22"/>
          <w:szCs w:val="22"/>
        </w:rPr>
      </w:pPr>
      <w:r w:rsidRPr="004A25B2">
        <w:rPr>
          <w:sz w:val="22"/>
          <w:szCs w:val="22"/>
          <w:highlight w:val="red"/>
        </w:rPr>
        <w:t xml:space="preserve">Download it from </w:t>
      </w:r>
      <w:proofErr w:type="spellStart"/>
      <w:r w:rsidRPr="004A25B2">
        <w:rPr>
          <w:sz w:val="22"/>
          <w:szCs w:val="22"/>
          <w:highlight w:val="red"/>
        </w:rPr>
        <w:t>GenomeWeb’s</w:t>
      </w:r>
      <w:proofErr w:type="spellEnd"/>
      <w:r w:rsidRPr="004A25B2">
        <w:rPr>
          <w:sz w:val="22"/>
          <w:szCs w:val="22"/>
          <w:highlight w:val="red"/>
        </w:rPr>
        <w:t xml:space="preserve"> </w:t>
      </w:r>
      <w:hyperlink r:id="rId964" w:history="1">
        <w:r w:rsidRPr="004A25B2">
          <w:rPr>
            <w:rStyle w:val="Hyperlink"/>
            <w:sz w:val="22"/>
            <w:szCs w:val="22"/>
            <w:highlight w:val="red"/>
          </w:rPr>
          <w:t>Webinar Library</w:t>
        </w:r>
      </w:hyperlink>
      <w:r w:rsidRPr="004A25B2">
        <w:rPr>
          <w:sz w:val="22"/>
          <w:szCs w:val="22"/>
          <w:highlight w:val="red"/>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2C54FD05" w:rsidR="00C12112" w:rsidRPr="00DB103C" w:rsidRDefault="00C12112" w:rsidP="00C12112">
      <w:pPr>
        <w:rPr>
          <w:rFonts w:eastAsiaTheme="minorHAnsi"/>
          <w:b/>
          <w:bCs/>
          <w:i/>
          <w:iCs/>
          <w:sz w:val="22"/>
          <w:szCs w:val="22"/>
          <w:highlight w:val="red"/>
        </w:rPr>
      </w:pPr>
      <w:r w:rsidRPr="00DB103C">
        <w:rPr>
          <w:b/>
          <w:bCs/>
          <w:i/>
          <w:iCs/>
          <w:sz w:val="22"/>
          <w:szCs w:val="22"/>
          <w:highlight w:val="red"/>
        </w:rPr>
        <w:t>Dover Motion White Paper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EB3EBDC" w14:textId="77777777" w:rsidR="00C12112" w:rsidRPr="00DB103C" w:rsidRDefault="00C12112" w:rsidP="00C12112">
      <w:pPr>
        <w:rPr>
          <w:sz w:val="22"/>
          <w:szCs w:val="22"/>
          <w:highlight w:val="red"/>
        </w:rPr>
      </w:pPr>
    </w:p>
    <w:p w14:paraId="476C2047"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a Biomarker Imaging Platform with a Combined X, Y, and Z Solution</w:t>
      </w:r>
    </w:p>
    <w:p w14:paraId="1A1F16F7" w14:textId="77777777" w:rsidR="00C12112" w:rsidRPr="00DB103C" w:rsidRDefault="00C12112" w:rsidP="00C12112">
      <w:pPr>
        <w:rPr>
          <w:sz w:val="22"/>
          <w:szCs w:val="22"/>
          <w:highlight w:val="red"/>
        </w:rPr>
      </w:pPr>
    </w:p>
    <w:p w14:paraId="35C0CD09"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case study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40869ACD" w14:textId="77777777" w:rsidR="00C12112" w:rsidRPr="00DB103C" w:rsidRDefault="00C12112" w:rsidP="00C12112">
      <w:pPr>
        <w:rPr>
          <w:sz w:val="22"/>
          <w:szCs w:val="22"/>
          <w:highlight w:val="red"/>
        </w:rPr>
      </w:pPr>
    </w:p>
    <w:p w14:paraId="06ED7DB9"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5" w:history="1">
        <w:r w:rsidRPr="00DB103C">
          <w:rPr>
            <w:rStyle w:val="Hyperlink"/>
            <w:sz w:val="22"/>
            <w:szCs w:val="22"/>
            <w:highlight w:val="red"/>
          </w:rPr>
          <w:t>White Paper Channel</w:t>
        </w:r>
      </w:hyperlink>
      <w:r w:rsidRPr="00DB103C">
        <w:rPr>
          <w:sz w:val="22"/>
          <w:szCs w:val="22"/>
          <w:highlight w:val="red"/>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CFE648B" w:rsidR="00C12112" w:rsidRPr="00DB103C" w:rsidRDefault="00C12112" w:rsidP="00C12112">
      <w:pPr>
        <w:rPr>
          <w:b/>
          <w:bCs/>
          <w:i/>
          <w:iCs/>
          <w:sz w:val="22"/>
          <w:szCs w:val="22"/>
          <w:highlight w:val="red"/>
        </w:rPr>
      </w:pPr>
      <w:r w:rsidRPr="00DB103C">
        <w:rPr>
          <w:b/>
          <w:bCs/>
          <w:i/>
          <w:iCs/>
          <w:sz w:val="22"/>
          <w:szCs w:val="22"/>
          <w:highlight w:val="red"/>
        </w:rPr>
        <w:t>Dover Motion Webinar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A33ECE" w14:textId="77777777" w:rsidR="00C12112" w:rsidRPr="00DB103C" w:rsidRDefault="00C12112" w:rsidP="00C12112">
      <w:pPr>
        <w:rPr>
          <w:sz w:val="22"/>
          <w:szCs w:val="22"/>
          <w:highlight w:val="red"/>
        </w:rPr>
      </w:pPr>
    </w:p>
    <w:p w14:paraId="04AD229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 Combined X, Y, and Z Solution to Improve a Biomarker Imaging Platform</w:t>
      </w:r>
    </w:p>
    <w:p w14:paraId="01145505" w14:textId="77777777" w:rsidR="00C12112" w:rsidRPr="00DB103C" w:rsidRDefault="00C12112" w:rsidP="00C12112">
      <w:pPr>
        <w:rPr>
          <w:sz w:val="22"/>
          <w:szCs w:val="22"/>
          <w:highlight w:val="red"/>
        </w:rPr>
      </w:pPr>
    </w:p>
    <w:p w14:paraId="040E5EB6"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video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365420F2" w14:textId="77777777" w:rsidR="00C12112" w:rsidRPr="00DB103C" w:rsidRDefault="00C12112" w:rsidP="00C12112">
      <w:pPr>
        <w:rPr>
          <w:sz w:val="22"/>
          <w:szCs w:val="22"/>
          <w:highlight w:val="red"/>
        </w:rPr>
      </w:pPr>
    </w:p>
    <w:p w14:paraId="5480A50F"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6" w:history="1">
        <w:r w:rsidRPr="00DB103C">
          <w:rPr>
            <w:rStyle w:val="Hyperlink"/>
            <w:sz w:val="22"/>
            <w:szCs w:val="22"/>
            <w:highlight w:val="red"/>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1645EC0A" w:rsidR="00C12112" w:rsidRPr="00DB103C" w:rsidRDefault="00C12112" w:rsidP="00C12112">
      <w:pPr>
        <w:rPr>
          <w:b/>
          <w:bCs/>
          <w:i/>
          <w:iCs/>
          <w:sz w:val="22"/>
          <w:szCs w:val="22"/>
          <w:highlight w:val="red"/>
        </w:rPr>
      </w:pPr>
      <w:r w:rsidRPr="00DB103C">
        <w:rPr>
          <w:b/>
          <w:bCs/>
          <w:i/>
          <w:iCs/>
          <w:sz w:val="22"/>
          <w:szCs w:val="22"/>
          <w:highlight w:val="red"/>
        </w:rPr>
        <w:t>Integra GW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C001E22" w14:textId="77777777" w:rsidR="00C12112" w:rsidRPr="00DB103C" w:rsidRDefault="00C12112" w:rsidP="00C12112">
      <w:pPr>
        <w:rPr>
          <w:sz w:val="22"/>
          <w:szCs w:val="22"/>
          <w:highlight w:val="red"/>
        </w:rPr>
      </w:pPr>
    </w:p>
    <w:p w14:paraId="7B90B62B"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79A99C2F" w14:textId="77777777" w:rsidR="00C12112" w:rsidRPr="00DB103C" w:rsidRDefault="00C12112" w:rsidP="00C12112">
      <w:pPr>
        <w:rPr>
          <w:sz w:val="22"/>
          <w:szCs w:val="22"/>
          <w:highlight w:val="red"/>
        </w:rPr>
      </w:pPr>
    </w:p>
    <w:p w14:paraId="7AD9ADFB"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t>Quidel</w:t>
      </w:r>
      <w:proofErr w:type="spellEnd"/>
      <w:r w:rsidRPr="00DB103C">
        <w:rPr>
          <w:sz w:val="22"/>
          <w:szCs w:val="22"/>
          <w:highlight w:val="red"/>
        </w:rPr>
        <w:t xml:space="preserve"> Lyra Direct SARS-CoV-2 Assay to improve reproducibility, overcome inter-operator variability, and free up time for laboratory staff. </w:t>
      </w:r>
    </w:p>
    <w:p w14:paraId="0BF48094" w14:textId="77777777" w:rsidR="00C12112" w:rsidRPr="00DB103C" w:rsidRDefault="00C12112" w:rsidP="00C12112">
      <w:pPr>
        <w:rPr>
          <w:sz w:val="22"/>
          <w:szCs w:val="22"/>
          <w:highlight w:val="red"/>
        </w:rPr>
      </w:pPr>
    </w:p>
    <w:p w14:paraId="3DF57420"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7" w:history="1">
        <w:r w:rsidRPr="00DB103C">
          <w:rPr>
            <w:rStyle w:val="Hyperlink"/>
            <w:sz w:val="22"/>
            <w:szCs w:val="22"/>
            <w:highlight w:val="red"/>
          </w:rPr>
          <w:t>White Paper Channel</w:t>
        </w:r>
      </w:hyperlink>
      <w:r w:rsidRPr="00DB103C">
        <w:rPr>
          <w:sz w:val="22"/>
          <w:szCs w:val="22"/>
          <w:highlight w:val="red"/>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5FA39F74" w:rsidR="00C12112" w:rsidRPr="00DB103C" w:rsidRDefault="00C12112" w:rsidP="00C12112">
      <w:pPr>
        <w:rPr>
          <w:b/>
          <w:bCs/>
          <w:i/>
          <w:iCs/>
          <w:sz w:val="22"/>
          <w:szCs w:val="22"/>
          <w:highlight w:val="red"/>
        </w:rPr>
      </w:pPr>
      <w:r w:rsidRPr="00DB103C">
        <w:rPr>
          <w:b/>
          <w:bCs/>
          <w:i/>
          <w:iCs/>
          <w:sz w:val="22"/>
          <w:szCs w:val="22"/>
          <w:highlight w:val="red"/>
        </w:rPr>
        <w:t>Integra 360Dx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7BE5FD4" w14:textId="77777777" w:rsidR="00C12112" w:rsidRPr="00DB103C" w:rsidRDefault="00C12112" w:rsidP="00C12112">
      <w:pPr>
        <w:rPr>
          <w:sz w:val="22"/>
          <w:szCs w:val="22"/>
          <w:highlight w:val="red"/>
        </w:rPr>
      </w:pPr>
    </w:p>
    <w:p w14:paraId="2D6F0E3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1881821E" w14:textId="77777777" w:rsidR="00C12112" w:rsidRPr="00DB103C" w:rsidRDefault="00C12112" w:rsidP="00C12112">
      <w:pPr>
        <w:rPr>
          <w:sz w:val="22"/>
          <w:szCs w:val="22"/>
          <w:highlight w:val="red"/>
        </w:rPr>
      </w:pPr>
    </w:p>
    <w:p w14:paraId="3B697178"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lastRenderedPageBreak/>
        <w:t>Quidel</w:t>
      </w:r>
      <w:proofErr w:type="spellEnd"/>
      <w:r w:rsidRPr="00DB103C">
        <w:rPr>
          <w:sz w:val="22"/>
          <w:szCs w:val="22"/>
          <w:highlight w:val="red"/>
        </w:rPr>
        <w:t xml:space="preserve"> Lyra Direct SARS-CoV-2 Assay to improve reproducibility, overcome inter-operator variability, and free up time for laboratory staff.</w:t>
      </w:r>
    </w:p>
    <w:p w14:paraId="5732E7C0" w14:textId="77777777" w:rsidR="00C12112" w:rsidRPr="00DB103C" w:rsidRDefault="00C12112" w:rsidP="00C12112">
      <w:pPr>
        <w:rPr>
          <w:sz w:val="22"/>
          <w:szCs w:val="22"/>
          <w:highlight w:val="red"/>
        </w:rPr>
      </w:pPr>
    </w:p>
    <w:p w14:paraId="56F1A4D0" w14:textId="77777777" w:rsidR="00C12112" w:rsidRDefault="00C12112" w:rsidP="00C12112">
      <w:pPr>
        <w:rPr>
          <w:sz w:val="22"/>
          <w:szCs w:val="22"/>
        </w:rPr>
      </w:pPr>
      <w:r w:rsidRPr="00DB103C">
        <w:rPr>
          <w:sz w:val="22"/>
          <w:szCs w:val="22"/>
          <w:highlight w:val="red"/>
        </w:rPr>
        <w:t xml:space="preserve">Download it from the </w:t>
      </w:r>
      <w:hyperlink r:id="rId968" w:history="1">
        <w:r w:rsidRPr="00DB103C">
          <w:rPr>
            <w:rStyle w:val="Hyperlink"/>
            <w:sz w:val="22"/>
            <w:szCs w:val="22"/>
            <w:highlight w:val="red"/>
          </w:rPr>
          <w:t>360Dx White Paper Channel</w:t>
        </w:r>
      </w:hyperlink>
      <w:r w:rsidRPr="00DB103C">
        <w:rPr>
          <w:sz w:val="22"/>
          <w:szCs w:val="22"/>
          <w:highlight w:val="red"/>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2237973" w:rsidR="00976A39" w:rsidRPr="00DB103C" w:rsidRDefault="00976A39" w:rsidP="00976A39">
      <w:pPr>
        <w:rPr>
          <w:rFonts w:eastAsiaTheme="minorHAnsi"/>
          <w:b/>
          <w:bCs/>
          <w:i/>
          <w:iCs/>
          <w:highlight w:val="red"/>
        </w:rPr>
      </w:pPr>
      <w:r w:rsidRPr="00DB103C">
        <w:rPr>
          <w:b/>
          <w:bCs/>
          <w:i/>
          <w:iCs/>
          <w:highlight w:val="red"/>
        </w:rPr>
        <w:t>Integra White Paper 16:</w:t>
      </w:r>
      <w:r w:rsidR="00DB103C">
        <w:rPr>
          <w:b/>
          <w:bCs/>
          <w:i/>
          <w:iCs/>
          <w:highlight w:val="red"/>
        </w:rPr>
        <w:t xml:space="preserve"> </w:t>
      </w:r>
      <w:proofErr w:type="gramStart"/>
      <w:r w:rsidR="00DB103C">
        <w:rPr>
          <w:b/>
          <w:bCs/>
          <w:i/>
          <w:iCs/>
          <w:highlight w:val="red"/>
        </w:rPr>
        <w:t>( Retired</w:t>
      </w:r>
      <w:proofErr w:type="gramEnd"/>
      <w:r w:rsidR="00DB103C">
        <w:rPr>
          <w:b/>
          <w:bCs/>
          <w:i/>
          <w:iCs/>
          <w:highlight w:val="red"/>
        </w:rPr>
        <w:t xml:space="preserve"> )</w:t>
      </w:r>
    </w:p>
    <w:p w14:paraId="28EDBD60" w14:textId="77777777" w:rsidR="00976A39" w:rsidRPr="00DB103C" w:rsidRDefault="00976A39" w:rsidP="00976A39">
      <w:pPr>
        <w:rPr>
          <w:highlight w:val="red"/>
        </w:rPr>
      </w:pPr>
    </w:p>
    <w:p w14:paraId="4386CFD6" w14:textId="77777777" w:rsidR="00976A39" w:rsidRPr="00DB103C" w:rsidRDefault="00976A39" w:rsidP="00976A39">
      <w:pPr>
        <w:rPr>
          <w:highlight w:val="red"/>
        </w:rPr>
      </w:pPr>
      <w:r w:rsidRPr="00DB103C">
        <w:rPr>
          <w:b/>
          <w:bCs/>
          <w:highlight w:val="red"/>
        </w:rPr>
        <w:t>Title:</w:t>
      </w:r>
      <w:r w:rsidRPr="00DB103C">
        <w:rPr>
          <w:highlight w:val="red"/>
        </w:rPr>
        <w:t xml:space="preserve"> Automated Cell Seeding with Handheld Electronic Pipettes</w:t>
      </w:r>
    </w:p>
    <w:p w14:paraId="25E014EB" w14:textId="77777777" w:rsidR="00976A39" w:rsidRPr="00DB103C" w:rsidRDefault="00976A39" w:rsidP="00976A39">
      <w:pPr>
        <w:rPr>
          <w:highlight w:val="red"/>
        </w:rPr>
      </w:pPr>
    </w:p>
    <w:p w14:paraId="208F3C7C" w14:textId="77777777" w:rsidR="00976A39" w:rsidRPr="00DB103C" w:rsidRDefault="00976A39" w:rsidP="00976A39">
      <w:pPr>
        <w:rPr>
          <w:highlight w:val="red"/>
        </w:rPr>
      </w:pPr>
      <w:r w:rsidRPr="00DB103C">
        <w:rPr>
          <w:b/>
          <w:bCs/>
          <w:highlight w:val="red"/>
        </w:rPr>
        <w:t>Body:</w:t>
      </w:r>
      <w:r w:rsidRPr="00DB103C">
        <w:rPr>
          <w:highlight w:val="red"/>
        </w:rPr>
        <w:t xml:space="preserve"> This application note from Integra Biosciences provides a step-by-step protocol for using </w:t>
      </w:r>
      <w:proofErr w:type="spellStart"/>
      <w:r w:rsidRPr="00DB103C">
        <w:rPr>
          <w:highlight w:val="red"/>
        </w:rPr>
        <w:t>Viaflo</w:t>
      </w:r>
      <w:proofErr w:type="spellEnd"/>
      <w:r w:rsidRPr="00DB103C">
        <w:rPr>
          <w:highlight w:val="red"/>
        </w:rPr>
        <w:t xml:space="preserve"> handheld electronic pipettes for reproducible cell washing, transfer, and seeding steps in the culture of mouse embryonic stem cells.</w:t>
      </w:r>
    </w:p>
    <w:p w14:paraId="321034F8" w14:textId="77777777" w:rsidR="00976A39" w:rsidRPr="00DB103C" w:rsidRDefault="00976A39" w:rsidP="00976A39">
      <w:pPr>
        <w:rPr>
          <w:highlight w:val="red"/>
        </w:rPr>
      </w:pPr>
    </w:p>
    <w:p w14:paraId="32CCD25B" w14:textId="77777777" w:rsidR="00976A39" w:rsidRDefault="00976A39" w:rsidP="00976A39">
      <w:r w:rsidRPr="00DB103C">
        <w:rPr>
          <w:highlight w:val="red"/>
        </w:rPr>
        <w:t xml:space="preserve">Download it from </w:t>
      </w:r>
      <w:proofErr w:type="spellStart"/>
      <w:r w:rsidRPr="00DB103C">
        <w:rPr>
          <w:highlight w:val="red"/>
        </w:rPr>
        <w:t>GenomeWeb’s</w:t>
      </w:r>
      <w:proofErr w:type="spellEnd"/>
      <w:r w:rsidRPr="00DB103C">
        <w:rPr>
          <w:highlight w:val="red"/>
        </w:rPr>
        <w:t xml:space="preserve"> </w:t>
      </w:r>
      <w:hyperlink r:id="rId969" w:anchor=".YgboAZbMJdh" w:history="1">
        <w:r w:rsidRPr="00DB103C">
          <w:rPr>
            <w:rStyle w:val="Hyperlink"/>
            <w:highlight w:val="red"/>
          </w:rPr>
          <w:t>White Paper Channel</w:t>
        </w:r>
      </w:hyperlink>
      <w:r w:rsidRPr="00DB103C">
        <w:rPr>
          <w:highlight w:val="red"/>
        </w:rP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47F25BB0" w:rsidR="00C12112" w:rsidRPr="00DB103C" w:rsidRDefault="00C12112" w:rsidP="00C12112">
      <w:pPr>
        <w:rPr>
          <w:b/>
          <w:bCs/>
          <w:i/>
          <w:iCs/>
          <w:sz w:val="22"/>
          <w:szCs w:val="22"/>
          <w:highlight w:val="red"/>
        </w:rPr>
      </w:pPr>
      <w:r w:rsidRPr="00DB103C">
        <w:rPr>
          <w:b/>
          <w:bCs/>
          <w:i/>
          <w:iCs/>
          <w:sz w:val="22"/>
          <w:szCs w:val="22"/>
          <w:highlight w:val="red"/>
        </w:rPr>
        <w:t>Integra White Paper 17: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6C298C" w14:textId="77777777" w:rsidR="00C12112" w:rsidRPr="00DB103C" w:rsidRDefault="00C12112" w:rsidP="00C12112">
      <w:pPr>
        <w:rPr>
          <w:sz w:val="22"/>
          <w:szCs w:val="22"/>
          <w:highlight w:val="red"/>
        </w:rPr>
      </w:pPr>
    </w:p>
    <w:p w14:paraId="3D82AEE9"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Agarose Gel Loading with an Adjustable Tip Spacing Pipette</w:t>
      </w:r>
    </w:p>
    <w:p w14:paraId="597CEC52" w14:textId="77777777" w:rsidR="00C12112" w:rsidRPr="00DB103C" w:rsidRDefault="00C12112" w:rsidP="00C12112">
      <w:pPr>
        <w:rPr>
          <w:sz w:val="22"/>
          <w:szCs w:val="22"/>
          <w:highlight w:val="red"/>
        </w:rPr>
      </w:pPr>
    </w:p>
    <w:p w14:paraId="2882F12A"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Pr="00DB103C" w:rsidRDefault="00C12112" w:rsidP="00C12112">
      <w:pPr>
        <w:rPr>
          <w:sz w:val="22"/>
          <w:szCs w:val="22"/>
          <w:highlight w:val="red"/>
        </w:rPr>
      </w:pPr>
    </w:p>
    <w:p w14:paraId="0E2BC9B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0" w:history="1">
        <w:r w:rsidRPr="00DB103C">
          <w:rPr>
            <w:rStyle w:val="Hyperlink"/>
            <w:sz w:val="22"/>
            <w:szCs w:val="22"/>
            <w:highlight w:val="red"/>
          </w:rPr>
          <w:t>White Paper Channel</w:t>
        </w:r>
      </w:hyperlink>
      <w:r w:rsidRPr="00DB103C">
        <w:rPr>
          <w:sz w:val="22"/>
          <w:szCs w:val="22"/>
          <w:highlight w:val="red"/>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5E528B77" w:rsidR="00C12112" w:rsidRPr="00DB103C" w:rsidRDefault="00C12112" w:rsidP="00C12112">
      <w:pPr>
        <w:rPr>
          <w:b/>
          <w:bCs/>
          <w:i/>
          <w:iCs/>
          <w:sz w:val="22"/>
          <w:szCs w:val="22"/>
          <w:highlight w:val="red"/>
        </w:rPr>
      </w:pPr>
      <w:r w:rsidRPr="00DB103C">
        <w:rPr>
          <w:b/>
          <w:bCs/>
          <w:i/>
          <w:iCs/>
          <w:sz w:val="22"/>
          <w:szCs w:val="22"/>
          <w:highlight w:val="red"/>
        </w:rPr>
        <w:t>Integra White Paper 18: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583449E" w14:textId="77777777" w:rsidR="00C12112" w:rsidRPr="00DB103C" w:rsidRDefault="00C12112" w:rsidP="00C12112">
      <w:pPr>
        <w:rPr>
          <w:sz w:val="22"/>
          <w:szCs w:val="22"/>
          <w:highlight w:val="red"/>
        </w:rPr>
      </w:pPr>
    </w:p>
    <w:p w14:paraId="57EC4D8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the Efficiency of Coating Plates and Flasks with Collagen for Cell Culture</w:t>
      </w:r>
    </w:p>
    <w:p w14:paraId="1F66C547" w14:textId="77777777" w:rsidR="00C12112" w:rsidRPr="00DB103C" w:rsidRDefault="00C12112" w:rsidP="00C12112">
      <w:pPr>
        <w:rPr>
          <w:sz w:val="22"/>
          <w:szCs w:val="22"/>
          <w:highlight w:val="red"/>
        </w:rPr>
      </w:pPr>
    </w:p>
    <w:p w14:paraId="44AB061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a protocol for coating plates and flasks with collagen using the Dose </w:t>
      </w:r>
      <w:proofErr w:type="gramStart"/>
      <w:r w:rsidRPr="00DB103C">
        <w:rPr>
          <w:sz w:val="22"/>
          <w:szCs w:val="22"/>
          <w:highlight w:val="red"/>
        </w:rPr>
        <w:t>It</w:t>
      </w:r>
      <w:proofErr w:type="gramEnd"/>
      <w:r w:rsidRPr="00DB103C">
        <w:rPr>
          <w:sz w:val="22"/>
          <w:szCs w:val="22"/>
          <w:highlight w:val="red"/>
        </w:rPr>
        <w:t xml:space="preserve"> laboratory peristaltic pump to save time and reduce excess strain as compared to a regular pipette controller.</w:t>
      </w:r>
    </w:p>
    <w:p w14:paraId="70157D44" w14:textId="77777777" w:rsidR="00C12112" w:rsidRPr="00DB103C" w:rsidRDefault="00C12112" w:rsidP="00C12112">
      <w:pPr>
        <w:rPr>
          <w:sz w:val="22"/>
          <w:szCs w:val="22"/>
          <w:highlight w:val="red"/>
        </w:rPr>
      </w:pPr>
    </w:p>
    <w:p w14:paraId="03737C8A"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1" w:history="1">
        <w:r w:rsidRPr="00DB103C">
          <w:rPr>
            <w:rStyle w:val="Hyperlink"/>
            <w:sz w:val="22"/>
            <w:szCs w:val="22"/>
            <w:highlight w:val="red"/>
          </w:rPr>
          <w:t>White Paper Channel</w:t>
        </w:r>
      </w:hyperlink>
      <w:r w:rsidRPr="00DB103C">
        <w:rPr>
          <w:sz w:val="22"/>
          <w:szCs w:val="22"/>
          <w:highlight w:val="red"/>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6FA0626C" w:rsidR="00C12112" w:rsidRPr="00DB103C" w:rsidRDefault="00C12112" w:rsidP="00C12112">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FCD185" w14:textId="77777777" w:rsidR="00C12112" w:rsidRPr="00DB103C" w:rsidRDefault="00C12112" w:rsidP="00C12112">
      <w:pPr>
        <w:rPr>
          <w:sz w:val="22"/>
          <w:szCs w:val="22"/>
          <w:highlight w:val="red"/>
        </w:rPr>
      </w:pPr>
    </w:p>
    <w:p w14:paraId="70FE8BF1"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CRISPR-Based Ribodepletion for Nasopharyngeal Samples</w:t>
      </w:r>
    </w:p>
    <w:p w14:paraId="704B9854" w14:textId="77777777" w:rsidR="00C12112" w:rsidRPr="00DB103C" w:rsidRDefault="00C12112" w:rsidP="00C12112">
      <w:pPr>
        <w:rPr>
          <w:sz w:val="22"/>
          <w:szCs w:val="22"/>
          <w:highlight w:val="red"/>
        </w:rPr>
      </w:pPr>
    </w:p>
    <w:p w14:paraId="1F1FD16B" w14:textId="77777777" w:rsidR="00C12112" w:rsidRPr="00DB103C" w:rsidRDefault="00C12112" w:rsidP="00C12112">
      <w:pPr>
        <w:rPr>
          <w:sz w:val="22"/>
          <w:szCs w:val="22"/>
          <w:highlight w:val="red"/>
        </w:rPr>
      </w:pPr>
      <w:r w:rsidRPr="00DB103C">
        <w:rPr>
          <w:b/>
          <w:bCs/>
          <w:sz w:val="22"/>
          <w:szCs w:val="22"/>
          <w:highlight w:val="red"/>
        </w:rPr>
        <w:lastRenderedPageBreak/>
        <w:t>Body:</w:t>
      </w:r>
      <w:r w:rsidRPr="00DB103C">
        <w:rPr>
          <w:sz w:val="22"/>
          <w:szCs w:val="22"/>
          <w:highlight w:val="red"/>
        </w:rPr>
        <w:t xml:space="preserve"> This application note from </w:t>
      </w:r>
      <w:proofErr w:type="spellStart"/>
      <w:r w:rsidRPr="00DB103C">
        <w:rPr>
          <w:sz w:val="22"/>
          <w:szCs w:val="22"/>
          <w:highlight w:val="red"/>
        </w:rPr>
        <w:t>Jumpcode</w:t>
      </w:r>
      <w:proofErr w:type="spellEnd"/>
      <w:r w:rsidRPr="00DB103C">
        <w:rPr>
          <w:sz w:val="22"/>
          <w:szCs w:val="22"/>
          <w:highlight w:val="red"/>
        </w:rPr>
        <w:t xml:space="preserve"> Genomics provides a workflow for using </w:t>
      </w:r>
      <w:proofErr w:type="spellStart"/>
      <w:r w:rsidRPr="00DB103C">
        <w:rPr>
          <w:sz w:val="22"/>
          <w:szCs w:val="22"/>
          <w:highlight w:val="red"/>
        </w:rPr>
        <w:t>CRISPRclean</w:t>
      </w:r>
      <w:proofErr w:type="spellEnd"/>
      <w:r w:rsidRPr="00DB103C">
        <w:rPr>
          <w:sz w:val="22"/>
          <w:szCs w:val="22"/>
          <w:highlight w:val="red"/>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Pr="00DB103C" w:rsidRDefault="00C12112" w:rsidP="00C12112">
      <w:pPr>
        <w:rPr>
          <w:sz w:val="22"/>
          <w:szCs w:val="22"/>
          <w:highlight w:val="red"/>
        </w:rPr>
      </w:pPr>
    </w:p>
    <w:p w14:paraId="169D7748"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6" w:history="1">
        <w:r w:rsidRPr="00DB103C">
          <w:rPr>
            <w:rStyle w:val="Hyperlink"/>
            <w:sz w:val="22"/>
            <w:szCs w:val="22"/>
            <w:highlight w:val="red"/>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2BDF80F3"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ACD00AF" w14:textId="77777777" w:rsidR="00C12112" w:rsidRPr="00DB103C" w:rsidRDefault="00C12112" w:rsidP="00C12112">
      <w:pPr>
        <w:rPr>
          <w:sz w:val="22"/>
          <w:szCs w:val="22"/>
          <w:highlight w:val="red"/>
        </w:rPr>
      </w:pPr>
    </w:p>
    <w:p w14:paraId="159FFC0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Responsible and Compliant Data Sharing Between Diagnostics and Pharmaceutical Companies</w:t>
      </w:r>
    </w:p>
    <w:p w14:paraId="3594C388" w14:textId="77777777" w:rsidR="00C12112" w:rsidRPr="00DB103C" w:rsidRDefault="00C12112" w:rsidP="00C12112">
      <w:pPr>
        <w:rPr>
          <w:sz w:val="22"/>
          <w:szCs w:val="22"/>
          <w:highlight w:val="red"/>
        </w:rPr>
      </w:pPr>
    </w:p>
    <w:p w14:paraId="271DFF3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provides an overview of the FDA’s Quality System Regulations (QSRs) and </w:t>
      </w:r>
      <w:proofErr w:type="spellStart"/>
      <w:r w:rsidRPr="00DB103C">
        <w:rPr>
          <w:sz w:val="22"/>
          <w:szCs w:val="22"/>
          <w:highlight w:val="red"/>
        </w:rPr>
        <w:t>GxP</w:t>
      </w:r>
      <w:proofErr w:type="spellEnd"/>
      <w:r w:rsidRPr="00DB103C">
        <w:rPr>
          <w:sz w:val="22"/>
          <w:szCs w:val="22"/>
          <w:highlight w:val="red"/>
        </w:rPr>
        <w:t xml:space="preserve"> guidelines, describes how to comply with QSRs to form strategic pharma partnerships, and describes how </w:t>
      </w:r>
      <w:proofErr w:type="spellStart"/>
      <w:r w:rsidRPr="00DB103C">
        <w:rPr>
          <w:sz w:val="22"/>
          <w:szCs w:val="22"/>
          <w:highlight w:val="red"/>
        </w:rPr>
        <w:t>DNAnexus</w:t>
      </w:r>
      <w:proofErr w:type="spellEnd"/>
      <w:r w:rsidRPr="00DB103C">
        <w:rPr>
          <w:sz w:val="22"/>
          <w:szCs w:val="22"/>
          <w:highlight w:val="red"/>
        </w:rPr>
        <w:t xml:space="preserve"> can help companies build and support global compliance collaborations.</w:t>
      </w:r>
    </w:p>
    <w:p w14:paraId="44D4AD68" w14:textId="77777777" w:rsidR="00C12112" w:rsidRPr="00DB103C" w:rsidRDefault="00C12112" w:rsidP="00C12112">
      <w:pPr>
        <w:rPr>
          <w:sz w:val="22"/>
          <w:szCs w:val="22"/>
          <w:highlight w:val="red"/>
        </w:rPr>
      </w:pPr>
    </w:p>
    <w:p w14:paraId="2E0D531D" w14:textId="77777777" w:rsidR="00C12112" w:rsidRPr="00DB103C" w:rsidRDefault="00C12112" w:rsidP="00C12112">
      <w:pPr>
        <w:rPr>
          <w:sz w:val="22"/>
          <w:szCs w:val="22"/>
          <w:highlight w:val="red"/>
        </w:rPr>
      </w:pPr>
    </w:p>
    <w:p w14:paraId="503A3B5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7" w:history="1">
        <w:r w:rsidRPr="00DB103C">
          <w:rPr>
            <w:rStyle w:val="Hyperlink"/>
            <w:sz w:val="22"/>
            <w:szCs w:val="22"/>
            <w:highlight w:val="red"/>
          </w:rPr>
          <w:t>White Paper Channel</w:t>
        </w:r>
      </w:hyperlink>
      <w:r w:rsidRPr="00DB103C">
        <w:rPr>
          <w:sz w:val="22"/>
          <w:szCs w:val="22"/>
          <w:highlight w:val="red"/>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0467D024"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9:</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414658C" w14:textId="77777777" w:rsidR="00C12112" w:rsidRPr="00DB103C" w:rsidRDefault="00C12112" w:rsidP="00C12112">
      <w:pPr>
        <w:rPr>
          <w:sz w:val="22"/>
          <w:szCs w:val="22"/>
          <w:highlight w:val="red"/>
        </w:rPr>
      </w:pPr>
    </w:p>
    <w:p w14:paraId="0D88846E"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Scaling Genomic Data Infrastructure to Speed Drug Discovery and Development</w:t>
      </w:r>
    </w:p>
    <w:p w14:paraId="494D17E6" w14:textId="77777777" w:rsidR="00C12112" w:rsidRPr="00DB103C" w:rsidRDefault="00C12112" w:rsidP="00C12112">
      <w:pPr>
        <w:rPr>
          <w:sz w:val="22"/>
          <w:szCs w:val="22"/>
          <w:highlight w:val="red"/>
        </w:rPr>
      </w:pPr>
    </w:p>
    <w:p w14:paraId="2D9AA54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Pr="00DB103C" w:rsidRDefault="00C12112" w:rsidP="00C12112">
      <w:pPr>
        <w:rPr>
          <w:sz w:val="22"/>
          <w:szCs w:val="22"/>
          <w:highlight w:val="red"/>
        </w:rPr>
      </w:pPr>
    </w:p>
    <w:p w14:paraId="0F8837D1" w14:textId="01C62D91" w:rsidR="00315046" w:rsidRPr="007067CF" w:rsidRDefault="00C12112" w:rsidP="00C12112">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8" w:history="1">
        <w:r w:rsidRPr="00DB103C">
          <w:rPr>
            <w:rStyle w:val="Hyperlink"/>
            <w:sz w:val="22"/>
            <w:szCs w:val="22"/>
            <w:highlight w:val="red"/>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30BEA75F" w:rsidR="00F425CA" w:rsidRPr="00DB103C" w:rsidRDefault="00F425CA" w:rsidP="00F425CA">
      <w:pPr>
        <w:rPr>
          <w:rFonts w:eastAsiaTheme="minorHAnsi"/>
          <w:b/>
          <w:bCs/>
          <w:i/>
          <w:iCs/>
          <w:sz w:val="22"/>
          <w:szCs w:val="22"/>
          <w:highlight w:val="red"/>
        </w:rPr>
      </w:pPr>
      <w:r w:rsidRPr="00DB103C">
        <w:rPr>
          <w:b/>
          <w:bCs/>
          <w:i/>
          <w:iCs/>
          <w:sz w:val="22"/>
          <w:szCs w:val="22"/>
          <w:highlight w:val="red"/>
        </w:rPr>
        <w:t>Lenovo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187B7815" w14:textId="77777777" w:rsidR="00F425CA" w:rsidRPr="00DB103C" w:rsidRDefault="00F425CA" w:rsidP="00F425CA">
      <w:pPr>
        <w:rPr>
          <w:sz w:val="22"/>
          <w:szCs w:val="22"/>
          <w:highlight w:val="red"/>
        </w:rPr>
      </w:pPr>
    </w:p>
    <w:p w14:paraId="53BA8363"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Increasing Throughput for </w:t>
      </w:r>
      <w:proofErr w:type="spellStart"/>
      <w:r w:rsidRPr="00DB103C">
        <w:rPr>
          <w:sz w:val="22"/>
          <w:szCs w:val="22"/>
          <w:highlight w:val="red"/>
        </w:rPr>
        <w:t>Multiomic</w:t>
      </w:r>
      <w:proofErr w:type="spellEnd"/>
      <w:r w:rsidRPr="00DB103C">
        <w:rPr>
          <w:sz w:val="22"/>
          <w:szCs w:val="22"/>
          <w:highlight w:val="red"/>
        </w:rPr>
        <w:t xml:space="preserve"> Analysis at Barcelona Supercomputing Center</w:t>
      </w:r>
    </w:p>
    <w:p w14:paraId="354F4AED" w14:textId="77777777" w:rsidR="00F425CA" w:rsidRPr="00DB103C" w:rsidRDefault="00F425CA" w:rsidP="00F425CA">
      <w:pPr>
        <w:rPr>
          <w:sz w:val="22"/>
          <w:szCs w:val="22"/>
          <w:highlight w:val="red"/>
        </w:rPr>
      </w:pPr>
    </w:p>
    <w:p w14:paraId="3DFA3765"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Barcelona Supercomputing Center reduced execution times for </w:t>
      </w:r>
      <w:proofErr w:type="spellStart"/>
      <w:r w:rsidRPr="00DB103C">
        <w:rPr>
          <w:sz w:val="22"/>
          <w:szCs w:val="22"/>
          <w:highlight w:val="red"/>
        </w:rPr>
        <w:t>multiomics</w:t>
      </w:r>
      <w:proofErr w:type="spellEnd"/>
      <w:r w:rsidRPr="00DB103C">
        <w:rPr>
          <w:sz w:val="22"/>
          <w:szCs w:val="22"/>
          <w:highlight w:val="red"/>
        </w:rPr>
        <w:t xml:space="preserve"> analyses, increased throughput capacity, and accelerated time-to-insight with the Genomics Optimization and Scalability Tool.</w:t>
      </w:r>
    </w:p>
    <w:p w14:paraId="432BFA9A" w14:textId="77777777" w:rsidR="00F425CA" w:rsidRPr="00DB103C" w:rsidRDefault="00F425CA" w:rsidP="00F425CA">
      <w:pPr>
        <w:rPr>
          <w:sz w:val="22"/>
          <w:szCs w:val="22"/>
          <w:highlight w:val="red"/>
        </w:rPr>
      </w:pPr>
    </w:p>
    <w:p w14:paraId="0939C8C8"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1" w:history="1">
        <w:r w:rsidRPr="00DB103C">
          <w:rPr>
            <w:rStyle w:val="Hyperlink"/>
            <w:sz w:val="22"/>
            <w:szCs w:val="22"/>
            <w:highlight w:val="red"/>
          </w:rPr>
          <w:t>White Paper Channel</w:t>
        </w:r>
      </w:hyperlink>
      <w:r w:rsidRPr="00DB103C">
        <w:rPr>
          <w:sz w:val="22"/>
          <w:szCs w:val="22"/>
          <w:highlight w:val="red"/>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6AF8A0B7" w:rsidR="00F425CA" w:rsidRPr="00DB103C" w:rsidRDefault="00F425CA" w:rsidP="00F425CA">
      <w:pPr>
        <w:rPr>
          <w:b/>
          <w:bCs/>
          <w:i/>
          <w:iCs/>
          <w:sz w:val="22"/>
          <w:szCs w:val="22"/>
          <w:highlight w:val="red"/>
        </w:rPr>
      </w:pPr>
      <w:r w:rsidRPr="00DB103C">
        <w:rPr>
          <w:b/>
          <w:bCs/>
          <w:i/>
          <w:iCs/>
          <w:sz w:val="22"/>
          <w:szCs w:val="22"/>
          <w:highlight w:val="red"/>
        </w:rPr>
        <w:t>Lenovo White Paper 3:</w:t>
      </w:r>
      <w:r w:rsidR="00DB103C">
        <w:rPr>
          <w:b/>
          <w:bCs/>
          <w:i/>
          <w:iCs/>
          <w:sz w:val="22"/>
          <w:szCs w:val="22"/>
          <w:highlight w:val="red"/>
        </w:rPr>
        <w:t xml:space="preserve"> </w:t>
      </w:r>
      <w:proofErr w:type="gramStart"/>
      <w:r w:rsidR="00DB103C">
        <w:rPr>
          <w:b/>
          <w:bCs/>
          <w:i/>
          <w:iCs/>
          <w:sz w:val="22"/>
          <w:szCs w:val="22"/>
          <w:highlight w:val="red"/>
        </w:rPr>
        <w:t xml:space="preserve">( </w:t>
      </w:r>
      <w:proofErr w:type="spellStart"/>
      <w:r w:rsidR="00DB103C">
        <w:rPr>
          <w:b/>
          <w:bCs/>
          <w:i/>
          <w:iCs/>
          <w:sz w:val="22"/>
          <w:szCs w:val="22"/>
          <w:highlight w:val="red"/>
        </w:rPr>
        <w:t>REetired</w:t>
      </w:r>
      <w:proofErr w:type="spellEnd"/>
      <w:proofErr w:type="gramEnd"/>
      <w:r w:rsidR="00DB103C">
        <w:rPr>
          <w:b/>
          <w:bCs/>
          <w:i/>
          <w:iCs/>
          <w:sz w:val="22"/>
          <w:szCs w:val="22"/>
          <w:highlight w:val="red"/>
        </w:rPr>
        <w:t xml:space="preserve"> )</w:t>
      </w:r>
    </w:p>
    <w:p w14:paraId="24377ADD" w14:textId="77777777" w:rsidR="00F425CA" w:rsidRPr="00DB103C" w:rsidRDefault="00F425CA" w:rsidP="00F425CA">
      <w:pPr>
        <w:rPr>
          <w:sz w:val="22"/>
          <w:szCs w:val="22"/>
          <w:highlight w:val="red"/>
        </w:rPr>
      </w:pPr>
    </w:p>
    <w:p w14:paraId="7F712568"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High-Performance Computing at the University of Delhi’s Department of Genetics</w:t>
      </w:r>
    </w:p>
    <w:p w14:paraId="32B4FEAB" w14:textId="77777777" w:rsidR="00F425CA" w:rsidRPr="00DB103C" w:rsidRDefault="00F425CA" w:rsidP="00F425CA">
      <w:pPr>
        <w:rPr>
          <w:sz w:val="22"/>
          <w:szCs w:val="22"/>
          <w:highlight w:val="red"/>
        </w:rPr>
      </w:pPr>
    </w:p>
    <w:p w14:paraId="649AB192"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Pr="00DB103C" w:rsidRDefault="00F425CA" w:rsidP="00F425CA">
      <w:pPr>
        <w:rPr>
          <w:sz w:val="22"/>
          <w:szCs w:val="22"/>
          <w:highlight w:val="red"/>
        </w:rPr>
      </w:pPr>
    </w:p>
    <w:p w14:paraId="64C87803"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2" w:history="1">
        <w:r w:rsidRPr="00DB103C">
          <w:rPr>
            <w:rStyle w:val="Hyperlink"/>
            <w:sz w:val="22"/>
            <w:szCs w:val="22"/>
            <w:highlight w:val="red"/>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4ED684D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26B61CE" w14:textId="77777777" w:rsidR="00F425CA" w:rsidRPr="00015B51" w:rsidRDefault="00F425CA" w:rsidP="00F425CA">
      <w:pPr>
        <w:rPr>
          <w:sz w:val="22"/>
          <w:szCs w:val="22"/>
          <w:highlight w:val="red"/>
        </w:rPr>
      </w:pPr>
    </w:p>
    <w:p w14:paraId="2C93E75D"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411FB839" w14:textId="77777777" w:rsidR="00F425CA" w:rsidRPr="00015B51" w:rsidRDefault="00F425CA" w:rsidP="00F425CA">
      <w:pPr>
        <w:rPr>
          <w:sz w:val="22"/>
          <w:szCs w:val="22"/>
          <w:highlight w:val="red"/>
        </w:rPr>
      </w:pPr>
    </w:p>
    <w:p w14:paraId="78EB2996"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Pr="00015B51" w:rsidRDefault="00F425CA" w:rsidP="00F425CA">
      <w:pPr>
        <w:rPr>
          <w:sz w:val="22"/>
          <w:szCs w:val="22"/>
          <w:highlight w:val="red"/>
        </w:rPr>
      </w:pPr>
    </w:p>
    <w:p w14:paraId="5F17CC88"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4" w:history="1">
        <w:r w:rsidRPr="00015B51">
          <w:rPr>
            <w:rStyle w:val="Hyperlink"/>
            <w:sz w:val="22"/>
            <w:szCs w:val="22"/>
            <w:highlight w:val="red"/>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24E8D3A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F748D9F" w14:textId="77777777" w:rsidR="00F425CA" w:rsidRPr="00015B51" w:rsidRDefault="00F425CA" w:rsidP="00F425CA">
      <w:pPr>
        <w:rPr>
          <w:sz w:val="22"/>
          <w:szCs w:val="22"/>
          <w:highlight w:val="red"/>
        </w:rPr>
      </w:pPr>
    </w:p>
    <w:p w14:paraId="2569E0AF"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69DD5DD5" w14:textId="77777777" w:rsidR="00F425CA" w:rsidRPr="00015B51" w:rsidRDefault="00F425CA" w:rsidP="00F425CA">
      <w:pPr>
        <w:rPr>
          <w:sz w:val="22"/>
          <w:szCs w:val="22"/>
          <w:highlight w:val="red"/>
        </w:rPr>
      </w:pPr>
    </w:p>
    <w:p w14:paraId="6C65A06C"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Pr="00015B51" w:rsidRDefault="00F425CA" w:rsidP="00F425CA">
      <w:pPr>
        <w:rPr>
          <w:sz w:val="22"/>
          <w:szCs w:val="22"/>
          <w:highlight w:val="red"/>
        </w:rPr>
      </w:pPr>
    </w:p>
    <w:p w14:paraId="4C2F1259" w14:textId="77777777" w:rsidR="00F425CA" w:rsidRDefault="00F425CA" w:rsidP="00F425CA">
      <w:pPr>
        <w:rPr>
          <w:sz w:val="22"/>
          <w:szCs w:val="22"/>
        </w:rPr>
      </w:pPr>
      <w:r w:rsidRPr="00015B51">
        <w:rPr>
          <w:sz w:val="22"/>
          <w:szCs w:val="22"/>
          <w:highlight w:val="red"/>
        </w:rPr>
        <w:t xml:space="preserve">Download it from the </w:t>
      </w:r>
      <w:hyperlink r:id="rId985" w:anchor=".Yh500KvMJdh" w:history="1">
        <w:r w:rsidRPr="00015B51">
          <w:rPr>
            <w:rStyle w:val="Hyperlink"/>
            <w:sz w:val="22"/>
            <w:szCs w:val="22"/>
            <w:highlight w:val="red"/>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3D982073"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2:</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16F8739" w14:textId="77777777" w:rsidR="00F425CA" w:rsidRPr="00015B51" w:rsidRDefault="00F425CA" w:rsidP="00F425CA">
      <w:pPr>
        <w:rPr>
          <w:sz w:val="22"/>
          <w:szCs w:val="22"/>
          <w:highlight w:val="red"/>
        </w:rPr>
      </w:pPr>
    </w:p>
    <w:p w14:paraId="1EA356A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7B40CA77" w14:textId="77777777" w:rsidR="00F425CA" w:rsidRPr="00015B51" w:rsidRDefault="00F425CA" w:rsidP="00F425CA">
      <w:pPr>
        <w:rPr>
          <w:sz w:val="22"/>
          <w:szCs w:val="22"/>
          <w:highlight w:val="red"/>
        </w:rPr>
      </w:pPr>
    </w:p>
    <w:p w14:paraId="7FA42A18"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Pr="00015B51" w:rsidRDefault="00F425CA" w:rsidP="00F425CA">
      <w:pPr>
        <w:rPr>
          <w:sz w:val="22"/>
          <w:szCs w:val="22"/>
          <w:highlight w:val="red"/>
        </w:rPr>
      </w:pPr>
    </w:p>
    <w:p w14:paraId="248F4570"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6" w:history="1">
        <w:r w:rsidRPr="00015B51">
          <w:rPr>
            <w:rStyle w:val="Hyperlink"/>
            <w:sz w:val="22"/>
            <w:szCs w:val="22"/>
            <w:highlight w:val="red"/>
          </w:rPr>
          <w:t>White Paper Channel</w:t>
        </w:r>
      </w:hyperlink>
      <w:r w:rsidRPr="00015B51">
        <w:rPr>
          <w:sz w:val="22"/>
          <w:szCs w:val="22"/>
          <w:highlight w:val="red"/>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4CCABAA8"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2:</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1098C143" w14:textId="77777777" w:rsidR="00F425CA" w:rsidRPr="00015B51" w:rsidRDefault="00F425CA" w:rsidP="00F425CA">
      <w:pPr>
        <w:rPr>
          <w:sz w:val="22"/>
          <w:szCs w:val="22"/>
          <w:highlight w:val="red"/>
        </w:rPr>
      </w:pPr>
    </w:p>
    <w:p w14:paraId="4F3AEE4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22D4B3FA" w14:textId="77777777" w:rsidR="00F425CA" w:rsidRPr="00015B51" w:rsidRDefault="00F425CA" w:rsidP="00F425CA">
      <w:pPr>
        <w:rPr>
          <w:sz w:val="22"/>
          <w:szCs w:val="22"/>
          <w:highlight w:val="red"/>
        </w:rPr>
      </w:pPr>
    </w:p>
    <w:p w14:paraId="5509338B"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Pr="00015B51" w:rsidRDefault="00F425CA" w:rsidP="00F425CA">
      <w:pPr>
        <w:rPr>
          <w:sz w:val="22"/>
          <w:szCs w:val="22"/>
          <w:highlight w:val="red"/>
        </w:rPr>
      </w:pPr>
    </w:p>
    <w:p w14:paraId="1365C645" w14:textId="77777777" w:rsidR="00F425CA" w:rsidRDefault="00F425CA" w:rsidP="00F425CA">
      <w:pPr>
        <w:rPr>
          <w:sz w:val="22"/>
          <w:szCs w:val="22"/>
        </w:rPr>
      </w:pPr>
      <w:r w:rsidRPr="00015B51">
        <w:rPr>
          <w:sz w:val="22"/>
          <w:szCs w:val="22"/>
          <w:highlight w:val="red"/>
        </w:rPr>
        <w:t xml:space="preserve">Download it from the </w:t>
      </w:r>
      <w:hyperlink r:id="rId987" w:anchor=".Yh51P6vMJdg" w:history="1">
        <w:r w:rsidRPr="00015B51">
          <w:rPr>
            <w:rStyle w:val="Hyperlink"/>
            <w:sz w:val="22"/>
            <w:szCs w:val="22"/>
            <w:highlight w:val="red"/>
          </w:rPr>
          <w:t>Precision Oncology News White Paper Channel</w:t>
        </w:r>
      </w:hyperlink>
      <w:r w:rsidRPr="00015B51">
        <w:rPr>
          <w:sz w:val="22"/>
          <w:szCs w:val="22"/>
          <w:highlight w:val="red"/>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49855C07"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White Paper 3:</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BDF055" w14:textId="77777777" w:rsidR="00F425CA" w:rsidRPr="00015B51" w:rsidRDefault="00F425CA" w:rsidP="00F425CA">
      <w:pPr>
        <w:rPr>
          <w:sz w:val="22"/>
          <w:szCs w:val="22"/>
          <w:highlight w:val="red"/>
        </w:rPr>
      </w:pPr>
    </w:p>
    <w:p w14:paraId="5CB9D328" w14:textId="77777777" w:rsidR="00F425CA" w:rsidRPr="00015B51" w:rsidRDefault="00F425CA" w:rsidP="00F425CA">
      <w:pPr>
        <w:rPr>
          <w:sz w:val="22"/>
          <w:szCs w:val="22"/>
          <w:highlight w:val="red"/>
        </w:rPr>
      </w:pPr>
      <w:r w:rsidRPr="00015B51">
        <w:rPr>
          <w:b/>
          <w:bCs/>
          <w:sz w:val="22"/>
          <w:szCs w:val="22"/>
          <w:highlight w:val="red"/>
        </w:rPr>
        <w:lastRenderedPageBreak/>
        <w:t>Title:</w:t>
      </w:r>
      <w:r w:rsidRPr="00015B51">
        <w:rPr>
          <w:sz w:val="22"/>
          <w:szCs w:val="22"/>
          <w:highlight w:val="red"/>
        </w:rPr>
        <w:t xml:space="preserve"> Sample Logistics and Kitting Solutions</w:t>
      </w:r>
    </w:p>
    <w:p w14:paraId="5FE67D0C" w14:textId="77777777" w:rsidR="00F425CA" w:rsidRPr="00015B51" w:rsidRDefault="00F425CA" w:rsidP="00F425CA">
      <w:pPr>
        <w:rPr>
          <w:sz w:val="22"/>
          <w:szCs w:val="22"/>
          <w:highlight w:val="red"/>
        </w:rPr>
      </w:pPr>
    </w:p>
    <w:p w14:paraId="28581532"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presents case studies illustrating the capabilities of Clinical Logistics Inc. to collect, monitor, manage, store, and ship clinical samples for clinical trials and reference labs.</w:t>
      </w:r>
    </w:p>
    <w:p w14:paraId="5631DEDA" w14:textId="77777777" w:rsidR="00F425CA" w:rsidRPr="00015B51" w:rsidRDefault="00F425CA" w:rsidP="00F425CA">
      <w:pPr>
        <w:rPr>
          <w:sz w:val="22"/>
          <w:szCs w:val="22"/>
          <w:highlight w:val="red"/>
        </w:rPr>
      </w:pPr>
    </w:p>
    <w:p w14:paraId="523F3A2B"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8" w:history="1">
        <w:r w:rsidRPr="00015B51">
          <w:rPr>
            <w:rStyle w:val="Hyperlink"/>
            <w:sz w:val="22"/>
            <w:szCs w:val="22"/>
            <w:highlight w:val="red"/>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2E5EF013" w:rsidR="00520910" w:rsidRPr="00015B51" w:rsidRDefault="00520910" w:rsidP="00520910">
      <w:pPr>
        <w:rPr>
          <w:b/>
          <w:bCs/>
          <w:i/>
          <w:iCs/>
          <w:sz w:val="22"/>
          <w:szCs w:val="22"/>
          <w:highlight w:val="red"/>
        </w:rPr>
      </w:pPr>
      <w:r w:rsidRPr="00015B51">
        <w:rPr>
          <w:b/>
          <w:bCs/>
          <w:i/>
          <w:iCs/>
          <w:sz w:val="22"/>
          <w:szCs w:val="22"/>
          <w:highlight w:val="red"/>
        </w:rPr>
        <w:t>Integra White Paper 19:</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EC6714F" w14:textId="77777777" w:rsidR="00520910" w:rsidRPr="00015B51" w:rsidRDefault="00520910" w:rsidP="00520910">
      <w:pPr>
        <w:rPr>
          <w:sz w:val="22"/>
          <w:szCs w:val="22"/>
          <w:highlight w:val="red"/>
        </w:rPr>
      </w:pPr>
    </w:p>
    <w:p w14:paraId="3DF5B1B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Purifying PCR Products with a Handheld Electronic Pipette</w:t>
      </w:r>
    </w:p>
    <w:p w14:paraId="15AEFD3E" w14:textId="77777777" w:rsidR="00520910" w:rsidRPr="00015B51" w:rsidRDefault="00520910" w:rsidP="00520910">
      <w:pPr>
        <w:rPr>
          <w:sz w:val="22"/>
          <w:szCs w:val="22"/>
          <w:highlight w:val="red"/>
        </w:rPr>
      </w:pPr>
    </w:p>
    <w:p w14:paraId="7535E57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describes how to purify PCR products of impurities like primers, unincorporated nucleotides, buffers, salts, mineral oils, agarose, and enzymes with Qiagen’s </w:t>
      </w:r>
      <w:proofErr w:type="spellStart"/>
      <w:r w:rsidRPr="00015B51">
        <w:rPr>
          <w:sz w:val="22"/>
          <w:szCs w:val="22"/>
          <w:highlight w:val="red"/>
        </w:rPr>
        <w:t>QiaQuick</w:t>
      </w:r>
      <w:proofErr w:type="spellEnd"/>
      <w:r w:rsidRPr="00015B51">
        <w:rPr>
          <w:sz w:val="22"/>
          <w:szCs w:val="22"/>
          <w:highlight w:val="red"/>
        </w:rPr>
        <w:t xml:space="preserve"> 96 PCR Purification kit and the </w:t>
      </w:r>
      <w:proofErr w:type="spellStart"/>
      <w:r w:rsidRPr="00015B51">
        <w:rPr>
          <w:sz w:val="22"/>
          <w:szCs w:val="22"/>
          <w:highlight w:val="red"/>
        </w:rPr>
        <w:t>Viaflo</w:t>
      </w:r>
      <w:proofErr w:type="spellEnd"/>
      <w:r w:rsidRPr="00015B51">
        <w:rPr>
          <w:sz w:val="22"/>
          <w:szCs w:val="22"/>
          <w:highlight w:val="red"/>
        </w:rPr>
        <w:t xml:space="preserve"> 96 handheld electronic pipette, which reduces hands-on time improves reproducibility.</w:t>
      </w:r>
    </w:p>
    <w:p w14:paraId="2FB23F42" w14:textId="77777777" w:rsidR="00520910" w:rsidRPr="00015B51" w:rsidRDefault="00520910" w:rsidP="00520910">
      <w:pPr>
        <w:rPr>
          <w:sz w:val="22"/>
          <w:szCs w:val="22"/>
          <w:highlight w:val="red"/>
        </w:rPr>
      </w:pPr>
    </w:p>
    <w:p w14:paraId="6431A635"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8" w:history="1">
        <w:r w:rsidRPr="00015B51">
          <w:rPr>
            <w:rStyle w:val="Hyperlink"/>
            <w:sz w:val="22"/>
            <w:szCs w:val="22"/>
            <w:highlight w:val="red"/>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3B86F246" w:rsidR="00520910" w:rsidRPr="00015B51" w:rsidRDefault="00520910" w:rsidP="00520910">
      <w:pPr>
        <w:rPr>
          <w:b/>
          <w:bCs/>
          <w:i/>
          <w:iCs/>
          <w:sz w:val="22"/>
          <w:szCs w:val="22"/>
          <w:highlight w:val="red"/>
        </w:rPr>
      </w:pPr>
      <w:r w:rsidRPr="00015B51">
        <w:rPr>
          <w:b/>
          <w:bCs/>
          <w:i/>
          <w:iCs/>
          <w:sz w:val="22"/>
          <w:szCs w:val="22"/>
          <w:highlight w:val="red"/>
        </w:rPr>
        <w:t>Integra White Paper 20: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D3823C2" w14:textId="77777777" w:rsidR="00520910" w:rsidRPr="00015B51" w:rsidRDefault="00520910" w:rsidP="00520910">
      <w:pPr>
        <w:rPr>
          <w:sz w:val="22"/>
          <w:szCs w:val="22"/>
          <w:highlight w:val="red"/>
        </w:rPr>
      </w:pPr>
    </w:p>
    <w:p w14:paraId="7DC097C6"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Automated Sample Transfer from Tubes to Plates with a Pipetting Robot</w:t>
      </w:r>
    </w:p>
    <w:p w14:paraId="608B8003" w14:textId="77777777" w:rsidR="00520910" w:rsidRPr="00015B51" w:rsidRDefault="00520910" w:rsidP="00520910">
      <w:pPr>
        <w:rPr>
          <w:sz w:val="22"/>
          <w:szCs w:val="22"/>
          <w:highlight w:val="red"/>
        </w:rPr>
      </w:pPr>
    </w:p>
    <w:p w14:paraId="62BAE14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transferring samples from tubes to plates using the Assist Plus pipetting robot in combination with a Voyager adjustable tip spacing pipette to reduce human error and hands-on time.</w:t>
      </w:r>
    </w:p>
    <w:p w14:paraId="366274F5" w14:textId="77777777" w:rsidR="00520910" w:rsidRPr="00015B51" w:rsidRDefault="00520910" w:rsidP="00520910">
      <w:pPr>
        <w:rPr>
          <w:sz w:val="22"/>
          <w:szCs w:val="22"/>
          <w:highlight w:val="red"/>
        </w:rPr>
      </w:pPr>
    </w:p>
    <w:p w14:paraId="7A2DAC0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9" w:history="1">
        <w:r w:rsidRPr="00015B51">
          <w:rPr>
            <w:rStyle w:val="Hyperlink"/>
            <w:sz w:val="22"/>
            <w:szCs w:val="22"/>
            <w:highlight w:val="red"/>
          </w:rPr>
          <w:t>White Paper Channel</w:t>
        </w:r>
      </w:hyperlink>
      <w:r w:rsidRPr="00015B51">
        <w:rPr>
          <w:sz w:val="22"/>
          <w:szCs w:val="22"/>
          <w:highlight w:val="red"/>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23AC32F9" w:rsidR="00520910" w:rsidRPr="00015B51" w:rsidRDefault="00520910" w:rsidP="00520910">
      <w:pPr>
        <w:rPr>
          <w:b/>
          <w:bCs/>
          <w:i/>
          <w:iCs/>
          <w:sz w:val="22"/>
          <w:szCs w:val="22"/>
          <w:highlight w:val="red"/>
        </w:rPr>
      </w:pPr>
      <w:r w:rsidRPr="00015B51">
        <w:rPr>
          <w:b/>
          <w:bCs/>
          <w:i/>
          <w:iCs/>
          <w:sz w:val="22"/>
          <w:szCs w:val="22"/>
          <w:highlight w:val="red"/>
        </w:rPr>
        <w:t>Integra GW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5E09F1E" w14:textId="77777777" w:rsidR="00520910" w:rsidRPr="00015B51" w:rsidRDefault="00520910" w:rsidP="00520910">
      <w:pPr>
        <w:rPr>
          <w:sz w:val="22"/>
          <w:szCs w:val="22"/>
          <w:highlight w:val="red"/>
        </w:rPr>
      </w:pPr>
    </w:p>
    <w:p w14:paraId="6544F645"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1A8B3FF" w14:textId="77777777" w:rsidR="00520910" w:rsidRPr="00015B51" w:rsidRDefault="00520910" w:rsidP="00520910">
      <w:pPr>
        <w:rPr>
          <w:sz w:val="22"/>
          <w:szCs w:val="22"/>
          <w:highlight w:val="red"/>
        </w:rPr>
      </w:pPr>
    </w:p>
    <w:p w14:paraId="600E0BEF" w14:textId="77777777" w:rsidR="00520910" w:rsidRPr="00015B51" w:rsidRDefault="00520910" w:rsidP="00520910">
      <w:pPr>
        <w:rPr>
          <w:sz w:val="22"/>
          <w:szCs w:val="22"/>
          <w:highlight w:val="red"/>
        </w:rPr>
      </w:pPr>
      <w:r w:rsidRPr="00015B51">
        <w:rPr>
          <w:b/>
          <w:bCs/>
          <w:sz w:val="22"/>
          <w:szCs w:val="22"/>
          <w:highlight w:val="red"/>
        </w:rPr>
        <w:lastRenderedPageBreak/>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5ECC8E9" w14:textId="77777777" w:rsidR="00520910" w:rsidRPr="00015B51" w:rsidRDefault="00520910" w:rsidP="00520910">
      <w:pPr>
        <w:rPr>
          <w:sz w:val="22"/>
          <w:szCs w:val="22"/>
          <w:highlight w:val="red"/>
        </w:rPr>
      </w:pPr>
    </w:p>
    <w:p w14:paraId="37E45A8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0" w:history="1">
        <w:r w:rsidRPr="00015B51">
          <w:rPr>
            <w:rStyle w:val="Hyperlink"/>
            <w:sz w:val="22"/>
            <w:szCs w:val="22"/>
            <w:highlight w:val="red"/>
          </w:rPr>
          <w:t>White Paper Channel</w:t>
        </w:r>
      </w:hyperlink>
      <w:r w:rsidRPr="00015B51">
        <w:rPr>
          <w:sz w:val="22"/>
          <w:szCs w:val="22"/>
          <w:highlight w:val="red"/>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3787F1AD" w:rsidR="00520910" w:rsidRPr="00015B51" w:rsidRDefault="00520910" w:rsidP="00520910">
      <w:pPr>
        <w:rPr>
          <w:b/>
          <w:bCs/>
          <w:i/>
          <w:iCs/>
          <w:sz w:val="22"/>
          <w:szCs w:val="22"/>
          <w:highlight w:val="red"/>
        </w:rPr>
      </w:pPr>
      <w:r w:rsidRPr="00015B51">
        <w:rPr>
          <w:b/>
          <w:bCs/>
          <w:i/>
          <w:iCs/>
          <w:sz w:val="22"/>
          <w:szCs w:val="22"/>
          <w:highlight w:val="red"/>
        </w:rPr>
        <w:t>Integra 360Dx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3E8BA42" w14:textId="77777777" w:rsidR="00520910" w:rsidRPr="00015B51" w:rsidRDefault="00520910" w:rsidP="00520910">
      <w:pPr>
        <w:rPr>
          <w:sz w:val="22"/>
          <w:szCs w:val="22"/>
          <w:highlight w:val="red"/>
        </w:rPr>
      </w:pPr>
    </w:p>
    <w:p w14:paraId="023E3B4A"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8753A09" w14:textId="77777777" w:rsidR="00520910" w:rsidRPr="00015B51" w:rsidRDefault="00520910" w:rsidP="00520910">
      <w:pPr>
        <w:rPr>
          <w:sz w:val="22"/>
          <w:szCs w:val="22"/>
          <w:highlight w:val="red"/>
        </w:rPr>
      </w:pPr>
    </w:p>
    <w:p w14:paraId="34402EE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D555221" w14:textId="77777777" w:rsidR="00520910" w:rsidRPr="00015B51" w:rsidRDefault="00520910" w:rsidP="00520910">
      <w:pPr>
        <w:rPr>
          <w:sz w:val="22"/>
          <w:szCs w:val="22"/>
          <w:highlight w:val="red"/>
        </w:rPr>
      </w:pPr>
    </w:p>
    <w:p w14:paraId="6D3C8484" w14:textId="77777777" w:rsidR="00520910" w:rsidRDefault="00520910" w:rsidP="00520910">
      <w:pPr>
        <w:rPr>
          <w:sz w:val="22"/>
          <w:szCs w:val="22"/>
        </w:rPr>
      </w:pPr>
      <w:r w:rsidRPr="00015B51">
        <w:rPr>
          <w:sz w:val="22"/>
          <w:szCs w:val="22"/>
          <w:highlight w:val="red"/>
        </w:rPr>
        <w:t xml:space="preserve">Download it from the 360Dx </w:t>
      </w:r>
      <w:hyperlink r:id="rId1001" w:anchor=".YiuihonMJdg" w:history="1">
        <w:r w:rsidRPr="00015B51">
          <w:rPr>
            <w:rStyle w:val="Hyperlink"/>
            <w:sz w:val="22"/>
            <w:szCs w:val="22"/>
            <w:highlight w:val="red"/>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3E3A187A"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GW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5984B16" w14:textId="77777777" w:rsidR="00520910" w:rsidRPr="00015B51" w:rsidRDefault="00520910" w:rsidP="00520910">
      <w:pPr>
        <w:rPr>
          <w:sz w:val="22"/>
          <w:szCs w:val="22"/>
          <w:highlight w:val="red"/>
        </w:rPr>
      </w:pPr>
    </w:p>
    <w:p w14:paraId="4E855DA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6D661D77" w14:textId="77777777" w:rsidR="00520910" w:rsidRPr="00015B51" w:rsidRDefault="00520910" w:rsidP="00520910">
      <w:pPr>
        <w:rPr>
          <w:sz w:val="22"/>
          <w:szCs w:val="22"/>
          <w:highlight w:val="red"/>
        </w:rPr>
      </w:pPr>
    </w:p>
    <w:p w14:paraId="0185439D"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707F885E" w14:textId="77777777" w:rsidR="00520910" w:rsidRPr="00015B51" w:rsidRDefault="00520910" w:rsidP="00520910">
      <w:pPr>
        <w:rPr>
          <w:sz w:val="22"/>
          <w:szCs w:val="22"/>
          <w:highlight w:val="red"/>
        </w:rPr>
      </w:pPr>
    </w:p>
    <w:p w14:paraId="679F700A" w14:textId="77777777" w:rsidR="00520910" w:rsidRPr="00C52E57"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2" w:history="1">
        <w:r w:rsidRPr="00015B51">
          <w:rPr>
            <w:rStyle w:val="Hyperlink"/>
            <w:sz w:val="22"/>
            <w:szCs w:val="22"/>
            <w:highlight w:val="red"/>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6F4D3D85"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360Dx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06FAA06" w14:textId="77777777" w:rsidR="00520910" w:rsidRPr="00015B51" w:rsidRDefault="00520910" w:rsidP="00520910">
      <w:pPr>
        <w:rPr>
          <w:sz w:val="22"/>
          <w:szCs w:val="22"/>
          <w:highlight w:val="red"/>
        </w:rPr>
      </w:pPr>
    </w:p>
    <w:p w14:paraId="76DA611F"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32CCE443" w14:textId="77777777" w:rsidR="00520910" w:rsidRPr="00015B51" w:rsidRDefault="00520910" w:rsidP="00520910">
      <w:pPr>
        <w:rPr>
          <w:sz w:val="22"/>
          <w:szCs w:val="22"/>
          <w:highlight w:val="red"/>
        </w:rPr>
      </w:pPr>
    </w:p>
    <w:p w14:paraId="795DBDD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1C4A048E" w14:textId="77777777" w:rsidR="00520910" w:rsidRPr="00015B51" w:rsidRDefault="00520910" w:rsidP="00520910">
      <w:pPr>
        <w:rPr>
          <w:sz w:val="22"/>
          <w:szCs w:val="22"/>
          <w:highlight w:val="red"/>
        </w:rPr>
      </w:pPr>
    </w:p>
    <w:p w14:paraId="5E9D8ED4" w14:textId="77777777" w:rsidR="00520910" w:rsidRPr="00015B51" w:rsidRDefault="00520910" w:rsidP="00520910">
      <w:pPr>
        <w:rPr>
          <w:sz w:val="22"/>
          <w:szCs w:val="22"/>
          <w:highlight w:val="red"/>
        </w:rPr>
      </w:pPr>
    </w:p>
    <w:p w14:paraId="5D7D53A6" w14:textId="77777777" w:rsidR="00520910" w:rsidRDefault="00520910" w:rsidP="00520910">
      <w:pPr>
        <w:rPr>
          <w:sz w:val="22"/>
          <w:szCs w:val="22"/>
        </w:rPr>
      </w:pPr>
      <w:r w:rsidRPr="00015B51">
        <w:rPr>
          <w:sz w:val="22"/>
          <w:szCs w:val="22"/>
          <w:highlight w:val="red"/>
        </w:rPr>
        <w:t xml:space="preserve">Download it from the </w:t>
      </w:r>
      <w:hyperlink r:id="rId1003" w:history="1">
        <w:r w:rsidRPr="00015B51">
          <w:rPr>
            <w:rStyle w:val="Hyperlink"/>
            <w:sz w:val="22"/>
            <w:szCs w:val="22"/>
            <w:highlight w:val="red"/>
          </w:rPr>
          <w:t>360Dx White Paper Channel</w:t>
        </w:r>
      </w:hyperlink>
      <w:r w:rsidRPr="00015B51">
        <w:rPr>
          <w:sz w:val="22"/>
          <w:szCs w:val="22"/>
          <w:highlight w:val="red"/>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24A15DA6" w:rsidR="00A61F64" w:rsidRPr="00015B51" w:rsidRDefault="00A61F64" w:rsidP="00A61F64">
      <w:pPr>
        <w:rPr>
          <w:rFonts w:eastAsiaTheme="minorHAnsi"/>
          <w:b/>
          <w:i/>
          <w:iCs/>
          <w:sz w:val="22"/>
          <w:szCs w:val="22"/>
          <w:highlight w:val="red"/>
        </w:rPr>
      </w:pPr>
      <w:r w:rsidRPr="00015B51">
        <w:rPr>
          <w:b/>
          <w:i/>
          <w:iCs/>
          <w:sz w:val="22"/>
          <w:szCs w:val="22"/>
          <w:highlight w:val="red"/>
        </w:rPr>
        <w:t>Millipore Sigma GW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B190DAC" w14:textId="77777777" w:rsidR="00A61F64" w:rsidRPr="00015B51" w:rsidRDefault="00A61F64" w:rsidP="00A61F64">
      <w:pPr>
        <w:rPr>
          <w:sz w:val="22"/>
          <w:szCs w:val="22"/>
          <w:highlight w:val="red"/>
        </w:rPr>
      </w:pPr>
    </w:p>
    <w:p w14:paraId="7B2E4C48"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3A316D54" w14:textId="77777777" w:rsidR="00A61F64" w:rsidRPr="00015B51" w:rsidRDefault="00A61F64" w:rsidP="00A61F64">
      <w:pPr>
        <w:rPr>
          <w:sz w:val="22"/>
          <w:szCs w:val="22"/>
          <w:highlight w:val="red"/>
        </w:rPr>
      </w:pPr>
    </w:p>
    <w:p w14:paraId="153BFD12"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Pr="00015B51" w:rsidRDefault="00A61F64" w:rsidP="00A61F64">
      <w:pPr>
        <w:rPr>
          <w:sz w:val="22"/>
          <w:szCs w:val="22"/>
          <w:highlight w:val="red"/>
        </w:rPr>
      </w:pPr>
    </w:p>
    <w:p w14:paraId="71A93E40"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0" w:history="1">
        <w:r w:rsidRPr="00015B51">
          <w:rPr>
            <w:rStyle w:val="Hyperlink"/>
            <w:sz w:val="22"/>
            <w:szCs w:val="22"/>
            <w:highlight w:val="red"/>
          </w:rPr>
          <w:t>White Paper Channel</w:t>
        </w:r>
      </w:hyperlink>
      <w:r w:rsidRPr="00015B51">
        <w:rPr>
          <w:sz w:val="22"/>
          <w:szCs w:val="22"/>
          <w:highlight w:val="red"/>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189B1396" w:rsidR="00A61F64" w:rsidRPr="00015B51" w:rsidRDefault="00A61F64" w:rsidP="00A61F64">
      <w:pPr>
        <w:rPr>
          <w:b/>
          <w:i/>
          <w:iCs/>
          <w:sz w:val="22"/>
          <w:szCs w:val="22"/>
          <w:highlight w:val="red"/>
        </w:rPr>
      </w:pPr>
      <w:r w:rsidRPr="00015B51">
        <w:rPr>
          <w:b/>
          <w:i/>
          <w:iCs/>
          <w:sz w:val="22"/>
          <w:szCs w:val="22"/>
          <w:highlight w:val="red"/>
        </w:rPr>
        <w:t>Millipore Sigma 360Dx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49353F7B" w14:textId="77777777" w:rsidR="00A61F64" w:rsidRPr="00015B51" w:rsidRDefault="00A61F64" w:rsidP="00A61F64">
      <w:pPr>
        <w:rPr>
          <w:sz w:val="22"/>
          <w:szCs w:val="22"/>
          <w:highlight w:val="red"/>
        </w:rPr>
      </w:pPr>
    </w:p>
    <w:p w14:paraId="1AD137D0"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6756F024" w14:textId="77777777" w:rsidR="00A61F64" w:rsidRPr="00015B51" w:rsidRDefault="00A61F64" w:rsidP="00A61F64">
      <w:pPr>
        <w:rPr>
          <w:sz w:val="22"/>
          <w:szCs w:val="22"/>
          <w:highlight w:val="red"/>
        </w:rPr>
      </w:pPr>
    </w:p>
    <w:p w14:paraId="0D477D28"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Pr="00015B51" w:rsidRDefault="00A61F64" w:rsidP="00A61F64">
      <w:pPr>
        <w:rPr>
          <w:sz w:val="22"/>
          <w:szCs w:val="22"/>
          <w:highlight w:val="red"/>
        </w:rPr>
      </w:pPr>
    </w:p>
    <w:p w14:paraId="3065B99D" w14:textId="77777777" w:rsidR="00A61F64" w:rsidRPr="00015B51" w:rsidRDefault="00A61F64" w:rsidP="00A61F64">
      <w:pPr>
        <w:rPr>
          <w:sz w:val="22"/>
          <w:szCs w:val="22"/>
          <w:highlight w:val="red"/>
        </w:rPr>
      </w:pPr>
    </w:p>
    <w:p w14:paraId="498E84B7" w14:textId="77777777" w:rsidR="00A61F64" w:rsidRDefault="00A61F64" w:rsidP="00A61F64">
      <w:pPr>
        <w:rPr>
          <w:sz w:val="22"/>
          <w:szCs w:val="22"/>
        </w:rPr>
      </w:pPr>
      <w:r w:rsidRPr="00015B51">
        <w:rPr>
          <w:sz w:val="22"/>
          <w:szCs w:val="22"/>
          <w:highlight w:val="red"/>
        </w:rPr>
        <w:t xml:space="preserve">Download it from the </w:t>
      </w:r>
      <w:hyperlink r:id="rId1011" w:history="1">
        <w:r w:rsidRPr="00015B51">
          <w:rPr>
            <w:rStyle w:val="Hyperlink"/>
            <w:sz w:val="22"/>
            <w:szCs w:val="22"/>
            <w:highlight w:val="red"/>
          </w:rPr>
          <w:t>360Dx White Paper Channel</w:t>
        </w:r>
      </w:hyperlink>
      <w:r w:rsidRPr="00015B51">
        <w:rPr>
          <w:sz w:val="22"/>
          <w:szCs w:val="22"/>
          <w:highlight w:val="red"/>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11D6FA0A"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Webinar 1:</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7335BCE" w14:textId="77777777" w:rsidR="00A61F64" w:rsidRPr="00015B51" w:rsidRDefault="00A61F64" w:rsidP="00A61F64">
      <w:pPr>
        <w:rPr>
          <w:sz w:val="22"/>
          <w:szCs w:val="22"/>
          <w:highlight w:val="red"/>
        </w:rPr>
      </w:pPr>
    </w:p>
    <w:p w14:paraId="7855C7BF" w14:textId="77777777" w:rsidR="00A61F64" w:rsidRPr="00015B51" w:rsidRDefault="00A61F64" w:rsidP="00A61F64">
      <w:pPr>
        <w:rPr>
          <w:sz w:val="22"/>
          <w:szCs w:val="22"/>
          <w:highlight w:val="red"/>
        </w:rPr>
      </w:pPr>
      <w:r w:rsidRPr="00015B51">
        <w:rPr>
          <w:b/>
          <w:sz w:val="22"/>
          <w:szCs w:val="22"/>
          <w:highlight w:val="red"/>
        </w:rPr>
        <w:lastRenderedPageBreak/>
        <w:t>Title:</w:t>
      </w:r>
      <w:r w:rsidRPr="00015B51">
        <w:rPr>
          <w:sz w:val="22"/>
          <w:szCs w:val="22"/>
          <w:highlight w:val="red"/>
        </w:rPr>
        <w:t xml:space="preserve"> Spatial Profiling of Metabolic Regulation in the Human Tumor Microenvironment Using Multiplexed Ion Beam Imaging </w:t>
      </w:r>
    </w:p>
    <w:p w14:paraId="0DDCE965" w14:textId="77777777" w:rsidR="00A61F64" w:rsidRPr="00015B51" w:rsidRDefault="00A61F64" w:rsidP="00A61F64">
      <w:pPr>
        <w:rPr>
          <w:sz w:val="22"/>
          <w:szCs w:val="22"/>
          <w:highlight w:val="red"/>
        </w:rPr>
      </w:pPr>
    </w:p>
    <w:p w14:paraId="6EF276AB" w14:textId="77777777" w:rsidR="00A61F64" w:rsidRPr="00015B51" w:rsidRDefault="00A61F64" w:rsidP="00A61F64">
      <w:pPr>
        <w:rPr>
          <w:sz w:val="22"/>
          <w:szCs w:val="22"/>
          <w:highlight w:val="red"/>
        </w:rPr>
      </w:pPr>
      <w:r w:rsidRPr="00015B51">
        <w:rPr>
          <w:b/>
          <w:sz w:val="22"/>
          <w:szCs w:val="22"/>
          <w:highlight w:val="red"/>
        </w:rPr>
        <w:t>Body:</w:t>
      </w:r>
      <w:r w:rsidRPr="00015B51">
        <w:rPr>
          <w:sz w:val="22"/>
          <w:szCs w:val="22"/>
          <w:highlight w:val="red"/>
        </w:rPr>
        <w:t xml:space="preserve"> This on-demand </w:t>
      </w:r>
      <w:proofErr w:type="spellStart"/>
      <w:r w:rsidRPr="00015B51">
        <w:rPr>
          <w:sz w:val="22"/>
          <w:szCs w:val="22"/>
          <w:highlight w:val="red"/>
        </w:rPr>
        <w:t>GenomeWebinar</w:t>
      </w:r>
      <w:proofErr w:type="spellEnd"/>
      <w:r w:rsidRPr="00015B51">
        <w:rPr>
          <w:sz w:val="22"/>
          <w:szCs w:val="22"/>
          <w:highlight w:val="red"/>
        </w:rPr>
        <w:t xml:space="preserve"> sponsored by </w:t>
      </w:r>
      <w:proofErr w:type="spellStart"/>
      <w:r w:rsidRPr="00015B51">
        <w:rPr>
          <w:sz w:val="22"/>
          <w:szCs w:val="22"/>
          <w:highlight w:val="red"/>
        </w:rPr>
        <w:t>Ionpath</w:t>
      </w:r>
      <w:proofErr w:type="spellEnd"/>
      <w:r w:rsidRPr="00015B51">
        <w:rPr>
          <w:sz w:val="22"/>
          <w:szCs w:val="22"/>
          <w:highlight w:val="red"/>
        </w:rPr>
        <w:t xml:space="preserve"> presents a method to quantify </w:t>
      </w:r>
      <w:r w:rsidRPr="00015B51">
        <w:rPr>
          <w:sz w:val="22"/>
          <w:szCs w:val="22"/>
          <w:highlight w:val="red"/>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Pr="00015B51" w:rsidRDefault="00A61F64" w:rsidP="00A61F64">
      <w:pPr>
        <w:rPr>
          <w:sz w:val="22"/>
          <w:szCs w:val="22"/>
          <w:highlight w:val="red"/>
        </w:rPr>
      </w:pPr>
    </w:p>
    <w:p w14:paraId="5ABA2F58" w14:textId="77777777" w:rsidR="00A61F64" w:rsidRPr="00015B51" w:rsidRDefault="00A61F64" w:rsidP="00A61F64">
      <w:pPr>
        <w:rPr>
          <w:sz w:val="22"/>
          <w:szCs w:val="22"/>
          <w:highlight w:val="red"/>
        </w:rPr>
      </w:pPr>
    </w:p>
    <w:p w14:paraId="33B72F04"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2" w:history="1">
        <w:r w:rsidRPr="00015B51">
          <w:rPr>
            <w:rStyle w:val="Hyperlink"/>
            <w:sz w:val="22"/>
            <w:szCs w:val="22"/>
            <w:highlight w:val="red"/>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0B8342DB"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White Paper 2:</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13CD270F" w14:textId="77777777" w:rsidR="00A61F64" w:rsidRPr="00015B51" w:rsidRDefault="00A61F64" w:rsidP="00A61F64">
      <w:pPr>
        <w:rPr>
          <w:sz w:val="22"/>
          <w:szCs w:val="22"/>
          <w:highlight w:val="red"/>
        </w:rPr>
      </w:pPr>
    </w:p>
    <w:p w14:paraId="40602DBC"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Spatial Profiling of Metabolic Regulation in the Human Tumor Microenvironment</w:t>
      </w:r>
    </w:p>
    <w:p w14:paraId="44C7637B" w14:textId="77777777" w:rsidR="00A61F64" w:rsidRPr="00015B51" w:rsidRDefault="00A61F64" w:rsidP="00A61F64">
      <w:pPr>
        <w:rPr>
          <w:sz w:val="22"/>
          <w:szCs w:val="22"/>
          <w:highlight w:val="red"/>
        </w:rPr>
      </w:pPr>
    </w:p>
    <w:p w14:paraId="30404BE3" w14:textId="77777777" w:rsidR="00A61F64" w:rsidRPr="00015B51" w:rsidRDefault="00A61F64" w:rsidP="00A61F64">
      <w:pPr>
        <w:rPr>
          <w:sz w:val="22"/>
          <w:szCs w:val="22"/>
          <w:highlight w:val="red"/>
          <w:shd w:val="clear" w:color="auto" w:fill="FFFFFF"/>
        </w:rPr>
      </w:pPr>
      <w:r w:rsidRPr="00015B51">
        <w:rPr>
          <w:b/>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Ionpath</w:t>
      </w:r>
      <w:proofErr w:type="spellEnd"/>
      <w:r w:rsidRPr="00015B51">
        <w:rPr>
          <w:sz w:val="22"/>
          <w:szCs w:val="22"/>
          <w:highlight w:val="red"/>
        </w:rPr>
        <w:t xml:space="preserve"> summarizes a </w:t>
      </w:r>
      <w:proofErr w:type="spellStart"/>
      <w:r w:rsidRPr="00015B51">
        <w:rPr>
          <w:sz w:val="22"/>
          <w:szCs w:val="22"/>
          <w:highlight w:val="red"/>
        </w:rPr>
        <w:t>GenomeWebinar</w:t>
      </w:r>
      <w:proofErr w:type="spellEnd"/>
      <w:r w:rsidRPr="00015B51">
        <w:rPr>
          <w:sz w:val="22"/>
          <w:szCs w:val="22"/>
          <w:highlight w:val="red"/>
        </w:rPr>
        <w:t xml:space="preserve"> that presented a method to quantify </w:t>
      </w:r>
      <w:r w:rsidRPr="00015B51">
        <w:rPr>
          <w:sz w:val="22"/>
          <w:szCs w:val="22"/>
          <w:highlight w:val="red"/>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Pr="00015B51" w:rsidRDefault="00A61F64" w:rsidP="00A61F64">
      <w:pPr>
        <w:rPr>
          <w:sz w:val="22"/>
          <w:szCs w:val="22"/>
          <w:highlight w:val="red"/>
        </w:rPr>
      </w:pPr>
    </w:p>
    <w:p w14:paraId="3D889B0B"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3" w:history="1">
        <w:r w:rsidRPr="00015B51">
          <w:rPr>
            <w:rStyle w:val="Hyperlink"/>
            <w:sz w:val="22"/>
            <w:szCs w:val="22"/>
            <w:highlight w:val="red"/>
          </w:rPr>
          <w:t>White Paper Channel</w:t>
        </w:r>
      </w:hyperlink>
      <w:r w:rsidRPr="00015B51">
        <w:rPr>
          <w:sz w:val="22"/>
          <w:szCs w:val="22"/>
          <w:highlight w:val="red"/>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572B0401" w:rsidR="00115704" w:rsidRPr="00586C03" w:rsidRDefault="00115704" w:rsidP="00115704">
      <w:pPr>
        <w:rPr>
          <w:b/>
          <w:bCs/>
          <w:i/>
          <w:iCs/>
          <w:sz w:val="22"/>
          <w:szCs w:val="22"/>
          <w:highlight w:val="red"/>
        </w:rPr>
      </w:pPr>
      <w:r w:rsidRPr="00586C03">
        <w:rPr>
          <w:b/>
          <w:bCs/>
          <w:i/>
          <w:iCs/>
          <w:sz w:val="22"/>
          <w:szCs w:val="22"/>
          <w:highlight w:val="red"/>
        </w:rPr>
        <w:t>ERS Genomics GW White Paper 1:</w:t>
      </w:r>
      <w:r w:rsidR="00586C03">
        <w:rPr>
          <w:b/>
          <w:bCs/>
          <w:i/>
          <w:iCs/>
          <w:sz w:val="22"/>
          <w:szCs w:val="22"/>
          <w:highlight w:val="red"/>
        </w:rPr>
        <w:t xml:space="preserve"> (</w:t>
      </w:r>
      <w:proofErr w:type="gramStart"/>
      <w:r w:rsidR="00586C03">
        <w:rPr>
          <w:b/>
          <w:bCs/>
          <w:i/>
          <w:iCs/>
          <w:sz w:val="22"/>
          <w:szCs w:val="22"/>
          <w:highlight w:val="red"/>
        </w:rPr>
        <w:t>Retired )</w:t>
      </w:r>
      <w:proofErr w:type="gramEnd"/>
    </w:p>
    <w:p w14:paraId="0E4580FA" w14:textId="77777777" w:rsidR="00115704" w:rsidRPr="00586C03" w:rsidRDefault="00115704" w:rsidP="00115704">
      <w:pPr>
        <w:rPr>
          <w:sz w:val="22"/>
          <w:szCs w:val="22"/>
          <w:highlight w:val="red"/>
        </w:rPr>
      </w:pPr>
    </w:p>
    <w:p w14:paraId="1B71A308" w14:textId="77777777" w:rsidR="00115704" w:rsidRPr="00586C03" w:rsidRDefault="00115704" w:rsidP="00115704">
      <w:pPr>
        <w:rPr>
          <w:sz w:val="22"/>
          <w:szCs w:val="22"/>
          <w:highlight w:val="red"/>
        </w:rPr>
      </w:pPr>
      <w:r w:rsidRPr="00586C03">
        <w:rPr>
          <w:b/>
          <w:bCs/>
          <w:sz w:val="22"/>
          <w:szCs w:val="22"/>
          <w:highlight w:val="red"/>
        </w:rPr>
        <w:t>Title:</w:t>
      </w:r>
      <w:r w:rsidRPr="00586C03">
        <w:rPr>
          <w:sz w:val="22"/>
          <w:szCs w:val="22"/>
          <w:highlight w:val="red"/>
        </w:rPr>
        <w:t xml:space="preserve"> Cas9 or Cas12: Picking the Right CRISPR System for Your Needs</w:t>
      </w:r>
    </w:p>
    <w:p w14:paraId="718823D3" w14:textId="77777777" w:rsidR="00115704" w:rsidRPr="00586C03" w:rsidRDefault="00115704" w:rsidP="00115704">
      <w:pPr>
        <w:rPr>
          <w:sz w:val="22"/>
          <w:szCs w:val="22"/>
          <w:highlight w:val="red"/>
        </w:rPr>
      </w:pPr>
    </w:p>
    <w:p w14:paraId="0ED33F28" w14:textId="77777777" w:rsidR="00115704" w:rsidRPr="00586C03" w:rsidRDefault="00115704" w:rsidP="00115704">
      <w:pPr>
        <w:rPr>
          <w:sz w:val="22"/>
          <w:szCs w:val="22"/>
          <w:highlight w:val="red"/>
        </w:rPr>
      </w:pPr>
      <w:r w:rsidRPr="00586C03">
        <w:rPr>
          <w:b/>
          <w:bCs/>
          <w:sz w:val="22"/>
          <w:szCs w:val="22"/>
          <w:highlight w:val="red"/>
        </w:rPr>
        <w:t>Body:</w:t>
      </w:r>
      <w:r w:rsidRPr="00586C03">
        <w:rPr>
          <w:sz w:val="22"/>
          <w:szCs w:val="22"/>
          <w:highlight w:val="red"/>
        </w:rPr>
        <w:t xml:space="preserve"> This white paper from ERS Genomics describes the major differences between Cas9 and Cas12 CRISPR systems and discusses specificity, reliability, and patent considerations for choosing a system for commercial, research, and diagnostics applications.</w:t>
      </w:r>
    </w:p>
    <w:p w14:paraId="592A8B6A" w14:textId="77777777" w:rsidR="00115704" w:rsidRPr="00586C03" w:rsidRDefault="00115704" w:rsidP="00115704">
      <w:pPr>
        <w:rPr>
          <w:sz w:val="22"/>
          <w:szCs w:val="22"/>
          <w:highlight w:val="red"/>
        </w:rPr>
      </w:pPr>
    </w:p>
    <w:p w14:paraId="50334FF4" w14:textId="77777777" w:rsidR="00115704" w:rsidRDefault="00115704" w:rsidP="00115704">
      <w:pPr>
        <w:rPr>
          <w:sz w:val="22"/>
          <w:szCs w:val="22"/>
        </w:rPr>
      </w:pPr>
      <w:r w:rsidRPr="00586C03">
        <w:rPr>
          <w:sz w:val="22"/>
          <w:szCs w:val="22"/>
          <w:highlight w:val="red"/>
        </w:rPr>
        <w:t xml:space="preserve">Download it from </w:t>
      </w:r>
      <w:proofErr w:type="spellStart"/>
      <w:r w:rsidRPr="00586C03">
        <w:rPr>
          <w:sz w:val="22"/>
          <w:szCs w:val="22"/>
          <w:highlight w:val="red"/>
        </w:rPr>
        <w:t>GenomeWeb’s</w:t>
      </w:r>
      <w:proofErr w:type="spellEnd"/>
      <w:r w:rsidRPr="00586C03">
        <w:rPr>
          <w:sz w:val="22"/>
          <w:szCs w:val="22"/>
          <w:highlight w:val="red"/>
        </w:rPr>
        <w:t xml:space="preserve"> </w:t>
      </w:r>
      <w:hyperlink r:id="rId1064" w:history="1">
        <w:r w:rsidRPr="00586C03">
          <w:rPr>
            <w:rStyle w:val="Hyperlink"/>
            <w:sz w:val="22"/>
            <w:szCs w:val="22"/>
            <w:highlight w:val="red"/>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2873C933" w:rsidR="00115704" w:rsidRPr="00586C03" w:rsidRDefault="00115704" w:rsidP="00115704">
      <w:pPr>
        <w:rPr>
          <w:b/>
          <w:bCs/>
          <w:i/>
          <w:iCs/>
          <w:sz w:val="22"/>
          <w:szCs w:val="22"/>
          <w:highlight w:val="red"/>
        </w:rPr>
      </w:pPr>
      <w:r w:rsidRPr="00586C03">
        <w:rPr>
          <w:b/>
          <w:bCs/>
          <w:i/>
          <w:iCs/>
          <w:sz w:val="22"/>
          <w:szCs w:val="22"/>
          <w:highlight w:val="red"/>
        </w:rPr>
        <w:t>ERS Genomics 360Dx White Paper 1:</w:t>
      </w:r>
      <w:r w:rsidR="00586C03">
        <w:rPr>
          <w:b/>
          <w:bCs/>
          <w:i/>
          <w:iCs/>
          <w:sz w:val="22"/>
          <w:szCs w:val="22"/>
          <w:highlight w:val="red"/>
        </w:rPr>
        <w:t xml:space="preserve"> </w:t>
      </w:r>
      <w:r w:rsidR="00586C03">
        <w:rPr>
          <w:b/>
          <w:bCs/>
          <w:i/>
          <w:iCs/>
          <w:sz w:val="22"/>
          <w:szCs w:val="22"/>
          <w:highlight w:val="red"/>
        </w:rPr>
        <w:t>(</w:t>
      </w:r>
      <w:proofErr w:type="gramStart"/>
      <w:r w:rsidR="00586C03">
        <w:rPr>
          <w:b/>
          <w:bCs/>
          <w:i/>
          <w:iCs/>
          <w:sz w:val="22"/>
          <w:szCs w:val="22"/>
          <w:highlight w:val="red"/>
        </w:rPr>
        <w:t>Retired )</w:t>
      </w:r>
      <w:proofErr w:type="gramEnd"/>
    </w:p>
    <w:p w14:paraId="71B721AB" w14:textId="77777777" w:rsidR="00115704" w:rsidRPr="00586C03" w:rsidRDefault="00115704" w:rsidP="00115704">
      <w:pPr>
        <w:rPr>
          <w:sz w:val="22"/>
          <w:szCs w:val="22"/>
          <w:highlight w:val="red"/>
        </w:rPr>
      </w:pPr>
    </w:p>
    <w:p w14:paraId="19938E6A" w14:textId="77777777" w:rsidR="00115704" w:rsidRPr="00586C03" w:rsidRDefault="00115704" w:rsidP="00115704">
      <w:pPr>
        <w:rPr>
          <w:sz w:val="22"/>
          <w:szCs w:val="22"/>
          <w:highlight w:val="red"/>
        </w:rPr>
      </w:pPr>
      <w:r w:rsidRPr="00586C03">
        <w:rPr>
          <w:b/>
          <w:bCs/>
          <w:sz w:val="22"/>
          <w:szCs w:val="22"/>
          <w:highlight w:val="red"/>
        </w:rPr>
        <w:t>Title:</w:t>
      </w:r>
      <w:r w:rsidRPr="00586C03">
        <w:rPr>
          <w:sz w:val="22"/>
          <w:szCs w:val="22"/>
          <w:highlight w:val="red"/>
        </w:rPr>
        <w:t xml:space="preserve"> Cas9 or Cas12: Picking the Right CRISPR System for Your Needs</w:t>
      </w:r>
    </w:p>
    <w:p w14:paraId="4CCB448F" w14:textId="77777777" w:rsidR="00115704" w:rsidRPr="00586C03" w:rsidRDefault="00115704" w:rsidP="00115704">
      <w:pPr>
        <w:rPr>
          <w:sz w:val="22"/>
          <w:szCs w:val="22"/>
          <w:highlight w:val="red"/>
        </w:rPr>
      </w:pPr>
    </w:p>
    <w:p w14:paraId="2D1209CD" w14:textId="77777777" w:rsidR="00115704" w:rsidRPr="00586C03" w:rsidRDefault="00115704" w:rsidP="00115704">
      <w:pPr>
        <w:rPr>
          <w:sz w:val="22"/>
          <w:szCs w:val="22"/>
          <w:highlight w:val="red"/>
        </w:rPr>
      </w:pPr>
      <w:r w:rsidRPr="00586C03">
        <w:rPr>
          <w:b/>
          <w:bCs/>
          <w:sz w:val="22"/>
          <w:szCs w:val="22"/>
          <w:highlight w:val="red"/>
        </w:rPr>
        <w:t>Body:</w:t>
      </w:r>
      <w:r w:rsidRPr="00586C03">
        <w:rPr>
          <w:sz w:val="22"/>
          <w:szCs w:val="22"/>
          <w:highlight w:val="red"/>
        </w:rPr>
        <w:t xml:space="preserve"> This white paper from ERS Genomics describes the major differences between Cas9 and Cas12 CRISPR systems and discusses specificity, reliability, and patent considerations for choosing a system for commercial, research, and diagnostics applications.</w:t>
      </w:r>
    </w:p>
    <w:p w14:paraId="280ECDDF" w14:textId="77777777" w:rsidR="00115704" w:rsidRPr="00586C03" w:rsidRDefault="00115704" w:rsidP="00115704">
      <w:pPr>
        <w:rPr>
          <w:sz w:val="22"/>
          <w:szCs w:val="22"/>
          <w:highlight w:val="red"/>
        </w:rPr>
      </w:pPr>
    </w:p>
    <w:p w14:paraId="5AFCBA07" w14:textId="77777777" w:rsidR="00115704" w:rsidRDefault="00115704" w:rsidP="00115704">
      <w:pPr>
        <w:rPr>
          <w:sz w:val="22"/>
          <w:szCs w:val="22"/>
        </w:rPr>
      </w:pPr>
      <w:r w:rsidRPr="00586C03">
        <w:rPr>
          <w:sz w:val="22"/>
          <w:szCs w:val="22"/>
          <w:highlight w:val="red"/>
        </w:rPr>
        <w:t xml:space="preserve">Download it from the </w:t>
      </w:r>
      <w:hyperlink r:id="rId1065" w:history="1">
        <w:r w:rsidRPr="00586C03">
          <w:rPr>
            <w:rStyle w:val="Hyperlink"/>
            <w:sz w:val="22"/>
            <w:szCs w:val="22"/>
            <w:highlight w:val="red"/>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2F01FC2E" w:rsidR="001140FB" w:rsidRPr="00586C03" w:rsidRDefault="001140FB" w:rsidP="001140FB">
      <w:pPr>
        <w:rPr>
          <w:b/>
          <w:bCs/>
          <w:i/>
          <w:iCs/>
          <w:sz w:val="22"/>
          <w:szCs w:val="22"/>
          <w:highlight w:val="red"/>
        </w:rPr>
      </w:pPr>
      <w:r w:rsidRPr="00586C03">
        <w:rPr>
          <w:b/>
          <w:bCs/>
          <w:i/>
          <w:iCs/>
          <w:sz w:val="22"/>
          <w:szCs w:val="22"/>
          <w:highlight w:val="red"/>
        </w:rPr>
        <w:t>ERS Genomics White Paper 2:</w:t>
      </w:r>
      <w:r w:rsidR="00586C03">
        <w:rPr>
          <w:b/>
          <w:bCs/>
          <w:i/>
          <w:iCs/>
          <w:sz w:val="22"/>
          <w:szCs w:val="22"/>
          <w:highlight w:val="red"/>
        </w:rPr>
        <w:t xml:space="preserve"> </w:t>
      </w:r>
      <w:r w:rsidR="00586C03">
        <w:rPr>
          <w:b/>
          <w:bCs/>
          <w:i/>
          <w:iCs/>
          <w:sz w:val="22"/>
          <w:szCs w:val="22"/>
          <w:highlight w:val="red"/>
        </w:rPr>
        <w:t>(</w:t>
      </w:r>
      <w:proofErr w:type="gramStart"/>
      <w:r w:rsidR="00586C03">
        <w:rPr>
          <w:b/>
          <w:bCs/>
          <w:i/>
          <w:iCs/>
          <w:sz w:val="22"/>
          <w:szCs w:val="22"/>
          <w:highlight w:val="red"/>
        </w:rPr>
        <w:t>Retired )</w:t>
      </w:r>
      <w:proofErr w:type="gramEnd"/>
    </w:p>
    <w:p w14:paraId="6DECBD11" w14:textId="77777777" w:rsidR="001140FB" w:rsidRPr="00586C03" w:rsidRDefault="001140FB" w:rsidP="001140FB">
      <w:pPr>
        <w:rPr>
          <w:sz w:val="22"/>
          <w:szCs w:val="22"/>
          <w:highlight w:val="red"/>
        </w:rPr>
      </w:pPr>
    </w:p>
    <w:p w14:paraId="2E1E2725" w14:textId="77777777" w:rsidR="001140FB" w:rsidRPr="00586C03" w:rsidRDefault="001140FB" w:rsidP="001140FB">
      <w:pPr>
        <w:rPr>
          <w:b/>
          <w:bCs/>
          <w:sz w:val="22"/>
          <w:szCs w:val="22"/>
          <w:highlight w:val="red"/>
        </w:rPr>
      </w:pPr>
      <w:r w:rsidRPr="00586C03">
        <w:rPr>
          <w:b/>
          <w:bCs/>
          <w:sz w:val="22"/>
          <w:szCs w:val="22"/>
          <w:highlight w:val="red"/>
        </w:rPr>
        <w:t>Title:</w:t>
      </w:r>
      <w:r w:rsidRPr="00586C03">
        <w:rPr>
          <w:sz w:val="22"/>
          <w:szCs w:val="22"/>
          <w:highlight w:val="red"/>
        </w:rPr>
        <w:t xml:space="preserve"> How CRISPR Can Help the Switch to Sustainable Cosmetics</w:t>
      </w:r>
    </w:p>
    <w:p w14:paraId="55D0748E" w14:textId="77777777" w:rsidR="001140FB" w:rsidRPr="00586C03" w:rsidRDefault="001140FB" w:rsidP="001140FB">
      <w:pPr>
        <w:rPr>
          <w:sz w:val="22"/>
          <w:szCs w:val="22"/>
          <w:highlight w:val="red"/>
        </w:rPr>
      </w:pPr>
    </w:p>
    <w:p w14:paraId="39145BAE" w14:textId="77777777" w:rsidR="001140FB" w:rsidRPr="00586C03" w:rsidRDefault="001140FB" w:rsidP="001140FB">
      <w:pPr>
        <w:rPr>
          <w:b/>
          <w:bCs/>
          <w:sz w:val="22"/>
          <w:szCs w:val="22"/>
          <w:highlight w:val="red"/>
        </w:rPr>
      </w:pPr>
      <w:r w:rsidRPr="00586C03">
        <w:rPr>
          <w:b/>
          <w:bCs/>
          <w:sz w:val="22"/>
          <w:szCs w:val="22"/>
          <w:highlight w:val="red"/>
        </w:rPr>
        <w:t>Body:</w:t>
      </w:r>
      <w:r w:rsidRPr="00586C03">
        <w:rPr>
          <w:sz w:val="22"/>
          <w:szCs w:val="22"/>
          <w:highlight w:val="red"/>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586C03" w:rsidRDefault="001140FB" w:rsidP="001140FB">
      <w:pPr>
        <w:rPr>
          <w:sz w:val="22"/>
          <w:szCs w:val="22"/>
          <w:highlight w:val="red"/>
        </w:rPr>
      </w:pPr>
    </w:p>
    <w:p w14:paraId="7B0461FB" w14:textId="77777777" w:rsidR="001140FB" w:rsidRPr="00D36AC8" w:rsidRDefault="001140FB" w:rsidP="001140FB">
      <w:pPr>
        <w:rPr>
          <w:sz w:val="22"/>
          <w:szCs w:val="22"/>
        </w:rPr>
      </w:pPr>
      <w:r w:rsidRPr="00586C03">
        <w:rPr>
          <w:sz w:val="22"/>
          <w:szCs w:val="22"/>
          <w:highlight w:val="red"/>
        </w:rPr>
        <w:t xml:space="preserve">Download it from </w:t>
      </w:r>
      <w:proofErr w:type="spellStart"/>
      <w:r w:rsidRPr="00586C03">
        <w:rPr>
          <w:sz w:val="22"/>
          <w:szCs w:val="22"/>
          <w:highlight w:val="red"/>
        </w:rPr>
        <w:t>GenomeWeb’s</w:t>
      </w:r>
      <w:proofErr w:type="spellEnd"/>
      <w:r w:rsidRPr="00586C03">
        <w:rPr>
          <w:sz w:val="22"/>
          <w:szCs w:val="22"/>
          <w:highlight w:val="red"/>
        </w:rPr>
        <w:t xml:space="preserve"> </w:t>
      </w:r>
      <w:hyperlink r:id="rId1072" w:history="1">
        <w:r w:rsidRPr="00586C03">
          <w:rPr>
            <w:rStyle w:val="Hyperlink"/>
            <w:sz w:val="22"/>
            <w:szCs w:val="22"/>
            <w:highlight w:val="red"/>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3F84FE47" w:rsidR="004827C5" w:rsidRPr="00586C03" w:rsidRDefault="004827C5" w:rsidP="004827C5">
      <w:pPr>
        <w:rPr>
          <w:b/>
          <w:bCs/>
          <w:i/>
          <w:iCs/>
          <w:sz w:val="22"/>
          <w:szCs w:val="22"/>
          <w:highlight w:val="red"/>
        </w:rPr>
      </w:pPr>
      <w:r w:rsidRPr="00586C03">
        <w:rPr>
          <w:b/>
          <w:bCs/>
          <w:i/>
          <w:iCs/>
          <w:sz w:val="22"/>
          <w:szCs w:val="22"/>
          <w:highlight w:val="red"/>
        </w:rPr>
        <w:t>ERS Genomics White Paper 3:</w:t>
      </w:r>
      <w:r w:rsidR="00586C03">
        <w:rPr>
          <w:b/>
          <w:bCs/>
          <w:i/>
          <w:iCs/>
          <w:sz w:val="22"/>
          <w:szCs w:val="22"/>
          <w:highlight w:val="red"/>
        </w:rPr>
        <w:t xml:space="preserve"> </w:t>
      </w:r>
      <w:r w:rsidR="00586C03">
        <w:rPr>
          <w:b/>
          <w:bCs/>
          <w:i/>
          <w:iCs/>
          <w:sz w:val="22"/>
          <w:szCs w:val="22"/>
          <w:highlight w:val="red"/>
        </w:rPr>
        <w:t>(</w:t>
      </w:r>
      <w:proofErr w:type="gramStart"/>
      <w:r w:rsidR="00586C03">
        <w:rPr>
          <w:b/>
          <w:bCs/>
          <w:i/>
          <w:iCs/>
          <w:sz w:val="22"/>
          <w:szCs w:val="22"/>
          <w:highlight w:val="red"/>
        </w:rPr>
        <w:t>Retired )</w:t>
      </w:r>
      <w:proofErr w:type="gramEnd"/>
    </w:p>
    <w:p w14:paraId="3DAC4CD7" w14:textId="77777777" w:rsidR="004827C5" w:rsidRPr="00586C03" w:rsidRDefault="004827C5" w:rsidP="004827C5">
      <w:pPr>
        <w:rPr>
          <w:sz w:val="22"/>
          <w:szCs w:val="22"/>
          <w:highlight w:val="red"/>
        </w:rPr>
      </w:pPr>
    </w:p>
    <w:p w14:paraId="160CA21C" w14:textId="77777777" w:rsidR="004827C5" w:rsidRPr="00586C03" w:rsidRDefault="004827C5" w:rsidP="004827C5">
      <w:pPr>
        <w:rPr>
          <w:b/>
          <w:bCs/>
          <w:sz w:val="22"/>
          <w:szCs w:val="22"/>
          <w:highlight w:val="red"/>
        </w:rPr>
      </w:pPr>
      <w:r w:rsidRPr="00586C03">
        <w:rPr>
          <w:b/>
          <w:bCs/>
          <w:sz w:val="22"/>
          <w:szCs w:val="22"/>
          <w:highlight w:val="red"/>
        </w:rPr>
        <w:t>Title:</w:t>
      </w:r>
      <w:r w:rsidRPr="00586C03">
        <w:rPr>
          <w:sz w:val="22"/>
          <w:szCs w:val="22"/>
          <w:highlight w:val="red"/>
        </w:rPr>
        <w:t xml:space="preserve"> CRISPR-Cas9 for Rapid Vaccine Development</w:t>
      </w:r>
    </w:p>
    <w:p w14:paraId="7DB3C304" w14:textId="77777777" w:rsidR="004827C5" w:rsidRPr="00586C03" w:rsidRDefault="004827C5" w:rsidP="004827C5">
      <w:pPr>
        <w:rPr>
          <w:sz w:val="22"/>
          <w:szCs w:val="22"/>
          <w:highlight w:val="red"/>
        </w:rPr>
      </w:pPr>
    </w:p>
    <w:p w14:paraId="744D6F27" w14:textId="77777777" w:rsidR="004827C5" w:rsidRPr="00586C03" w:rsidRDefault="004827C5" w:rsidP="004827C5">
      <w:pPr>
        <w:rPr>
          <w:sz w:val="22"/>
          <w:szCs w:val="22"/>
          <w:highlight w:val="red"/>
        </w:rPr>
      </w:pPr>
      <w:r w:rsidRPr="00586C03">
        <w:rPr>
          <w:b/>
          <w:bCs/>
          <w:sz w:val="22"/>
          <w:szCs w:val="22"/>
          <w:highlight w:val="red"/>
        </w:rPr>
        <w:t>Body:</w:t>
      </w:r>
      <w:r w:rsidRPr="00586C03">
        <w:rPr>
          <w:sz w:val="22"/>
          <w:szCs w:val="22"/>
          <w:highlight w:val="red"/>
        </w:rPr>
        <w:t xml:space="preserve"> This white paper from ERS Genomics describes applications for CRISPR-Cas9 systems in accelerating vaccine research and development.</w:t>
      </w:r>
    </w:p>
    <w:p w14:paraId="59AE315D" w14:textId="77777777" w:rsidR="004827C5" w:rsidRPr="00586C03" w:rsidRDefault="004827C5" w:rsidP="004827C5">
      <w:pPr>
        <w:rPr>
          <w:sz w:val="22"/>
          <w:szCs w:val="22"/>
          <w:highlight w:val="red"/>
        </w:rPr>
      </w:pPr>
    </w:p>
    <w:p w14:paraId="0AA8A2EA" w14:textId="319C9465" w:rsidR="004827C5" w:rsidRDefault="004827C5" w:rsidP="004827C5">
      <w:pPr>
        <w:rPr>
          <w:rStyle w:val="Hyperlink"/>
          <w:sz w:val="22"/>
          <w:szCs w:val="22"/>
        </w:rPr>
      </w:pPr>
      <w:r w:rsidRPr="00586C03">
        <w:rPr>
          <w:sz w:val="22"/>
          <w:szCs w:val="22"/>
          <w:highlight w:val="red"/>
        </w:rPr>
        <w:t xml:space="preserve">Download it from </w:t>
      </w:r>
      <w:proofErr w:type="spellStart"/>
      <w:r w:rsidRPr="00586C03">
        <w:rPr>
          <w:sz w:val="22"/>
          <w:szCs w:val="22"/>
          <w:highlight w:val="red"/>
        </w:rPr>
        <w:t>GenomeWeb’s</w:t>
      </w:r>
      <w:proofErr w:type="spellEnd"/>
      <w:r w:rsidRPr="00586C03">
        <w:rPr>
          <w:sz w:val="22"/>
          <w:szCs w:val="22"/>
          <w:highlight w:val="red"/>
        </w:rPr>
        <w:t xml:space="preserve"> </w:t>
      </w:r>
      <w:hyperlink r:id="rId1081" w:history="1">
        <w:r w:rsidRPr="00586C03">
          <w:rPr>
            <w:rStyle w:val="Hyperlink"/>
            <w:sz w:val="22"/>
            <w:szCs w:val="22"/>
            <w:highlight w:val="red"/>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02495737" w:rsidR="00657004" w:rsidRPr="00586C03" w:rsidRDefault="00657004" w:rsidP="00657004">
      <w:pPr>
        <w:rPr>
          <w:b/>
          <w:bCs/>
          <w:i/>
          <w:iCs/>
          <w:sz w:val="22"/>
          <w:szCs w:val="22"/>
          <w:highlight w:val="red"/>
        </w:rPr>
      </w:pPr>
      <w:r w:rsidRPr="00586C03">
        <w:rPr>
          <w:b/>
          <w:bCs/>
          <w:i/>
          <w:iCs/>
          <w:sz w:val="22"/>
          <w:szCs w:val="22"/>
          <w:highlight w:val="red"/>
        </w:rPr>
        <w:t>ERS Genomics White Paper 4:</w:t>
      </w:r>
      <w:r w:rsidR="00586C03">
        <w:rPr>
          <w:b/>
          <w:bCs/>
          <w:i/>
          <w:iCs/>
          <w:sz w:val="22"/>
          <w:szCs w:val="22"/>
          <w:highlight w:val="red"/>
        </w:rPr>
        <w:t xml:space="preserve"> </w:t>
      </w:r>
      <w:r w:rsidR="00586C03">
        <w:rPr>
          <w:b/>
          <w:bCs/>
          <w:i/>
          <w:iCs/>
          <w:sz w:val="22"/>
          <w:szCs w:val="22"/>
          <w:highlight w:val="red"/>
        </w:rPr>
        <w:t>(</w:t>
      </w:r>
      <w:proofErr w:type="gramStart"/>
      <w:r w:rsidR="00586C03">
        <w:rPr>
          <w:b/>
          <w:bCs/>
          <w:i/>
          <w:iCs/>
          <w:sz w:val="22"/>
          <w:szCs w:val="22"/>
          <w:highlight w:val="red"/>
        </w:rPr>
        <w:t>Retired )</w:t>
      </w:r>
      <w:proofErr w:type="gramEnd"/>
    </w:p>
    <w:p w14:paraId="5F10B144" w14:textId="77777777" w:rsidR="00657004" w:rsidRPr="00586C03" w:rsidRDefault="00657004" w:rsidP="00657004">
      <w:pPr>
        <w:rPr>
          <w:sz w:val="22"/>
          <w:szCs w:val="22"/>
          <w:highlight w:val="red"/>
        </w:rPr>
      </w:pPr>
    </w:p>
    <w:p w14:paraId="1E6D5CB7" w14:textId="77777777" w:rsidR="00657004" w:rsidRPr="00586C03" w:rsidRDefault="00657004" w:rsidP="00657004">
      <w:pPr>
        <w:rPr>
          <w:b/>
          <w:bCs/>
          <w:sz w:val="22"/>
          <w:szCs w:val="22"/>
          <w:highlight w:val="red"/>
        </w:rPr>
      </w:pPr>
      <w:r w:rsidRPr="00586C03">
        <w:rPr>
          <w:b/>
          <w:bCs/>
          <w:sz w:val="22"/>
          <w:szCs w:val="22"/>
          <w:highlight w:val="red"/>
        </w:rPr>
        <w:t>Title:</w:t>
      </w:r>
      <w:r w:rsidRPr="00586C03">
        <w:rPr>
          <w:sz w:val="22"/>
          <w:szCs w:val="22"/>
          <w:highlight w:val="red"/>
        </w:rPr>
        <w:t xml:space="preserve"> CRISPR-Cas9 to Overcome Antibiotic-Resistant and Pathogenic Bacteria</w:t>
      </w:r>
    </w:p>
    <w:p w14:paraId="648A983E" w14:textId="77777777" w:rsidR="00657004" w:rsidRPr="00586C03" w:rsidRDefault="00657004" w:rsidP="00657004">
      <w:pPr>
        <w:rPr>
          <w:b/>
          <w:bCs/>
          <w:sz w:val="22"/>
          <w:szCs w:val="22"/>
          <w:highlight w:val="red"/>
        </w:rPr>
      </w:pPr>
    </w:p>
    <w:p w14:paraId="33FF7278" w14:textId="77777777" w:rsidR="00657004" w:rsidRPr="00586C03" w:rsidRDefault="00657004" w:rsidP="00657004">
      <w:pPr>
        <w:rPr>
          <w:sz w:val="22"/>
          <w:szCs w:val="22"/>
          <w:highlight w:val="red"/>
        </w:rPr>
      </w:pPr>
      <w:r w:rsidRPr="00586C03">
        <w:rPr>
          <w:b/>
          <w:bCs/>
          <w:sz w:val="22"/>
          <w:szCs w:val="22"/>
          <w:highlight w:val="red"/>
        </w:rPr>
        <w:lastRenderedPageBreak/>
        <w:t xml:space="preserve">Body: </w:t>
      </w:r>
      <w:r w:rsidRPr="00586C03">
        <w:rPr>
          <w:sz w:val="22"/>
          <w:szCs w:val="22"/>
          <w:highlight w:val="red"/>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586C03" w:rsidRDefault="00657004" w:rsidP="00657004">
      <w:pPr>
        <w:rPr>
          <w:sz w:val="22"/>
          <w:szCs w:val="22"/>
          <w:highlight w:val="red"/>
        </w:rPr>
      </w:pPr>
    </w:p>
    <w:p w14:paraId="7E0BC0A3" w14:textId="77777777" w:rsidR="00657004" w:rsidRDefault="00657004" w:rsidP="00657004">
      <w:pPr>
        <w:rPr>
          <w:sz w:val="22"/>
          <w:szCs w:val="22"/>
        </w:rPr>
      </w:pPr>
      <w:r w:rsidRPr="00586C03">
        <w:rPr>
          <w:sz w:val="22"/>
          <w:szCs w:val="22"/>
          <w:highlight w:val="red"/>
        </w:rPr>
        <w:t xml:space="preserve">Download it from </w:t>
      </w:r>
      <w:proofErr w:type="spellStart"/>
      <w:r w:rsidRPr="00586C03">
        <w:rPr>
          <w:sz w:val="22"/>
          <w:szCs w:val="22"/>
          <w:highlight w:val="red"/>
        </w:rPr>
        <w:t>GenomeWeb’s</w:t>
      </w:r>
      <w:proofErr w:type="spellEnd"/>
      <w:r w:rsidRPr="00586C03">
        <w:rPr>
          <w:sz w:val="22"/>
          <w:szCs w:val="22"/>
          <w:highlight w:val="red"/>
        </w:rPr>
        <w:t xml:space="preserve"> </w:t>
      </w:r>
      <w:hyperlink r:id="rId1088" w:history="1">
        <w:r w:rsidRPr="00586C03">
          <w:rPr>
            <w:rStyle w:val="Hyperlink"/>
            <w:sz w:val="22"/>
            <w:szCs w:val="22"/>
            <w:highlight w:val="red"/>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033F4B10"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GW White Paper 18:</w:t>
      </w:r>
      <w:r w:rsidR="00BE170F">
        <w:rPr>
          <w:b/>
          <w:bCs/>
          <w:i/>
          <w:iCs/>
          <w:sz w:val="22"/>
          <w:szCs w:val="22"/>
          <w:highlight w:val="red"/>
        </w:rPr>
        <w:t xml:space="preserve"> </w:t>
      </w:r>
      <w:proofErr w:type="gramStart"/>
      <w:r w:rsidR="00BE170F">
        <w:rPr>
          <w:b/>
          <w:bCs/>
          <w:i/>
          <w:iCs/>
          <w:sz w:val="22"/>
          <w:szCs w:val="22"/>
          <w:highlight w:val="red"/>
        </w:rPr>
        <w:t>( Do</w:t>
      </w:r>
      <w:proofErr w:type="gramEnd"/>
      <w:r w:rsidR="00BE170F">
        <w:rPr>
          <w:b/>
          <w:bCs/>
          <w:i/>
          <w:iCs/>
          <w:sz w:val="22"/>
          <w:szCs w:val="22"/>
          <w:highlight w:val="red"/>
        </w:rPr>
        <w:t xml:space="preserve"> not use )</w:t>
      </w:r>
    </w:p>
    <w:p w14:paraId="2C9E7872" w14:textId="77777777" w:rsidR="009C5D14" w:rsidRPr="00BE170F" w:rsidRDefault="009C5D14" w:rsidP="009C5D14">
      <w:pPr>
        <w:rPr>
          <w:sz w:val="22"/>
          <w:szCs w:val="22"/>
          <w:highlight w:val="red"/>
        </w:rPr>
      </w:pPr>
    </w:p>
    <w:p w14:paraId="567F8800"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759158FD" w14:textId="77777777" w:rsidR="009C5D14" w:rsidRPr="00BE170F" w:rsidRDefault="009C5D14" w:rsidP="009C5D14">
      <w:pPr>
        <w:rPr>
          <w:sz w:val="22"/>
          <w:szCs w:val="22"/>
          <w:highlight w:val="red"/>
        </w:rPr>
      </w:pPr>
    </w:p>
    <w:p w14:paraId="640FDED0"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BE170F">
        <w:rPr>
          <w:sz w:val="22"/>
          <w:szCs w:val="22"/>
          <w:highlight w:val="red"/>
        </w:rPr>
        <w:t xml:space="preserve">Download it from </w:t>
      </w:r>
      <w:proofErr w:type="spellStart"/>
      <w:r w:rsidRPr="00BE170F">
        <w:rPr>
          <w:sz w:val="22"/>
          <w:szCs w:val="22"/>
          <w:highlight w:val="red"/>
        </w:rPr>
        <w:t>GenomeWeb’s</w:t>
      </w:r>
      <w:proofErr w:type="spellEnd"/>
      <w:r w:rsidRPr="00BE170F">
        <w:rPr>
          <w:sz w:val="22"/>
          <w:szCs w:val="22"/>
          <w:highlight w:val="red"/>
        </w:rPr>
        <w:t xml:space="preserve"> </w:t>
      </w:r>
      <w:hyperlink r:id="rId1094" w:history="1">
        <w:r w:rsidRPr="00BE170F">
          <w:rPr>
            <w:rStyle w:val="Hyperlink"/>
            <w:sz w:val="22"/>
            <w:szCs w:val="22"/>
            <w:highlight w:val="red"/>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4F1B1067"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360Dx White Paper 18</w:t>
      </w:r>
      <w:r w:rsidR="00BE170F" w:rsidRPr="00BE170F">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BE170F" w:rsidRPr="00BE170F">
        <w:rPr>
          <w:b/>
          <w:bCs/>
          <w:i/>
          <w:iCs/>
          <w:sz w:val="22"/>
          <w:szCs w:val="22"/>
          <w:highlight w:val="red"/>
        </w:rPr>
        <w:t xml:space="preserve"> do not </w:t>
      </w:r>
      <w:proofErr w:type="gramStart"/>
      <w:r w:rsidR="00BE170F" w:rsidRPr="00BE170F">
        <w:rPr>
          <w:b/>
          <w:bCs/>
          <w:i/>
          <w:iCs/>
          <w:sz w:val="22"/>
          <w:szCs w:val="22"/>
          <w:highlight w:val="red"/>
        </w:rPr>
        <w:t>use )</w:t>
      </w:r>
      <w:proofErr w:type="gramEnd"/>
    </w:p>
    <w:p w14:paraId="7D445313" w14:textId="77777777" w:rsidR="009C5D14" w:rsidRPr="00BE170F" w:rsidRDefault="009C5D14" w:rsidP="009C5D14">
      <w:pPr>
        <w:rPr>
          <w:sz w:val="22"/>
          <w:szCs w:val="22"/>
          <w:highlight w:val="red"/>
        </w:rPr>
      </w:pPr>
    </w:p>
    <w:p w14:paraId="41340487"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039E7601" w14:textId="77777777" w:rsidR="009C5D14" w:rsidRPr="00BE170F" w:rsidRDefault="009C5D14" w:rsidP="009C5D14">
      <w:pPr>
        <w:rPr>
          <w:sz w:val="22"/>
          <w:szCs w:val="22"/>
          <w:highlight w:val="red"/>
        </w:rPr>
      </w:pPr>
    </w:p>
    <w:p w14:paraId="7121B85C"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35AAA3DF" w14:textId="77777777" w:rsidR="009C5D14" w:rsidRPr="00BE170F" w:rsidRDefault="009C5D14" w:rsidP="009C5D14">
      <w:pPr>
        <w:rPr>
          <w:sz w:val="22"/>
          <w:szCs w:val="22"/>
          <w:highlight w:val="red"/>
        </w:rPr>
      </w:pPr>
    </w:p>
    <w:p w14:paraId="6E5D84FD" w14:textId="77777777" w:rsidR="009C5D14" w:rsidRPr="001A7A09" w:rsidRDefault="009C5D14" w:rsidP="009C5D14">
      <w:pPr>
        <w:rPr>
          <w:sz w:val="22"/>
          <w:szCs w:val="22"/>
        </w:rPr>
      </w:pPr>
      <w:r w:rsidRPr="00BE170F">
        <w:rPr>
          <w:sz w:val="22"/>
          <w:szCs w:val="22"/>
          <w:highlight w:val="red"/>
        </w:rPr>
        <w:t xml:space="preserve">Download it from the </w:t>
      </w:r>
      <w:hyperlink r:id="rId1095" w:history="1">
        <w:r w:rsidRPr="00BE170F">
          <w:rPr>
            <w:rStyle w:val="Hyperlink"/>
            <w:sz w:val="22"/>
            <w:szCs w:val="22"/>
            <w:highlight w:val="red"/>
          </w:rPr>
          <w:t>360Dx White Paper Channel</w:t>
        </w:r>
      </w:hyperlink>
      <w:r w:rsidRPr="00BE170F">
        <w:rPr>
          <w:sz w:val="22"/>
          <w:szCs w:val="22"/>
          <w:highlight w:val="red"/>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457DD0BB" w14:textId="77777777" w:rsidR="00015B51" w:rsidRDefault="00015B51" w:rsidP="00015B51">
      <w:pPr>
        <w:rPr>
          <w:rFonts w:eastAsiaTheme="minorHAnsi"/>
          <w:b/>
          <w:i/>
          <w:iCs/>
          <w:sz w:val="22"/>
          <w:szCs w:val="22"/>
        </w:rPr>
      </w:pPr>
      <w:r>
        <w:rPr>
          <w:b/>
          <w:i/>
          <w:iCs/>
          <w:sz w:val="22"/>
          <w:szCs w:val="22"/>
        </w:rPr>
        <w:t>TRIBVN GW White Paper 1:</w:t>
      </w:r>
    </w:p>
    <w:p w14:paraId="06BD6DE7" w14:textId="77777777" w:rsidR="00015B51" w:rsidRDefault="00015B51" w:rsidP="00015B51">
      <w:pPr>
        <w:rPr>
          <w:sz w:val="22"/>
          <w:szCs w:val="22"/>
        </w:rPr>
      </w:pPr>
    </w:p>
    <w:p w14:paraId="2C2DF3D6"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9F02611" w14:textId="77777777" w:rsidR="00015B51" w:rsidRDefault="00015B51" w:rsidP="00015B51">
      <w:pPr>
        <w:rPr>
          <w:sz w:val="22"/>
          <w:szCs w:val="22"/>
        </w:rPr>
      </w:pPr>
    </w:p>
    <w:p w14:paraId="0CF14567"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003133" w14:textId="77777777" w:rsidR="00015B51" w:rsidRDefault="00015B51" w:rsidP="00015B51">
      <w:pPr>
        <w:rPr>
          <w:sz w:val="22"/>
          <w:szCs w:val="22"/>
        </w:rPr>
      </w:pPr>
    </w:p>
    <w:p w14:paraId="656C2E84"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2" w:history="1">
        <w:r>
          <w:rPr>
            <w:rStyle w:val="Hyperlink"/>
            <w:sz w:val="22"/>
            <w:szCs w:val="22"/>
          </w:rPr>
          <w:t>White Paper Channel</w:t>
        </w:r>
      </w:hyperlink>
      <w:r>
        <w:rPr>
          <w:sz w:val="22"/>
          <w:szCs w:val="22"/>
        </w:rPr>
        <w:t>.</w:t>
      </w:r>
    </w:p>
    <w:p w14:paraId="0241789D" w14:textId="77777777" w:rsidR="00015B51" w:rsidRDefault="00015B51" w:rsidP="00015B51">
      <w:pPr>
        <w:rPr>
          <w:sz w:val="22"/>
          <w:szCs w:val="22"/>
        </w:rPr>
      </w:pPr>
    </w:p>
    <w:p w14:paraId="24BCDFC6" w14:textId="77777777" w:rsidR="00015B51" w:rsidRDefault="00015B51" w:rsidP="00015B51">
      <w:pPr>
        <w:rPr>
          <w:sz w:val="22"/>
          <w:szCs w:val="22"/>
        </w:rPr>
      </w:pPr>
      <w:r>
        <w:rPr>
          <w:sz w:val="22"/>
          <w:szCs w:val="22"/>
        </w:rPr>
        <w:t>--</w:t>
      </w:r>
    </w:p>
    <w:p w14:paraId="7CE1865F" w14:textId="77777777" w:rsidR="00015B51" w:rsidRDefault="00015B51" w:rsidP="00015B51">
      <w:pPr>
        <w:rPr>
          <w:sz w:val="22"/>
          <w:szCs w:val="22"/>
        </w:rPr>
      </w:pPr>
    </w:p>
    <w:p w14:paraId="72ECDA60" w14:textId="77777777" w:rsidR="00015B51" w:rsidRDefault="00015B51" w:rsidP="00015B51">
      <w:pPr>
        <w:rPr>
          <w:b/>
          <w:i/>
          <w:iCs/>
          <w:sz w:val="22"/>
          <w:szCs w:val="22"/>
        </w:rPr>
      </w:pPr>
      <w:r>
        <w:rPr>
          <w:b/>
          <w:i/>
          <w:iCs/>
          <w:sz w:val="22"/>
          <w:szCs w:val="22"/>
        </w:rPr>
        <w:t>TRIBVN 360Dx White Paper 1:</w:t>
      </w:r>
    </w:p>
    <w:p w14:paraId="03829C6D" w14:textId="77777777" w:rsidR="00015B51" w:rsidRDefault="00015B51" w:rsidP="00015B51">
      <w:pPr>
        <w:rPr>
          <w:sz w:val="22"/>
          <w:szCs w:val="22"/>
        </w:rPr>
      </w:pPr>
    </w:p>
    <w:p w14:paraId="44B7A557"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544EC6BB" w14:textId="77777777" w:rsidR="00015B51" w:rsidRDefault="00015B51" w:rsidP="00015B51">
      <w:pPr>
        <w:rPr>
          <w:sz w:val="22"/>
          <w:szCs w:val="22"/>
        </w:rPr>
      </w:pPr>
    </w:p>
    <w:p w14:paraId="6D2AE2C0"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2149D264" w14:textId="77777777" w:rsidR="00015B51" w:rsidRDefault="00015B51" w:rsidP="00015B51">
      <w:pPr>
        <w:rPr>
          <w:sz w:val="22"/>
          <w:szCs w:val="22"/>
        </w:rPr>
      </w:pPr>
    </w:p>
    <w:p w14:paraId="28191CDF" w14:textId="77777777" w:rsidR="00015B51" w:rsidRDefault="00015B51" w:rsidP="00015B51">
      <w:pPr>
        <w:rPr>
          <w:sz w:val="22"/>
          <w:szCs w:val="22"/>
        </w:rPr>
      </w:pPr>
      <w:r>
        <w:rPr>
          <w:sz w:val="22"/>
          <w:szCs w:val="22"/>
        </w:rPr>
        <w:t xml:space="preserve">Download it from the </w:t>
      </w:r>
      <w:hyperlink r:id="rId1103" w:anchor=".Yr3UpxXMI2w" w:history="1">
        <w:r>
          <w:rPr>
            <w:rStyle w:val="Hyperlink"/>
            <w:sz w:val="22"/>
            <w:szCs w:val="22"/>
          </w:rPr>
          <w:t>360Dx White Paper Channel</w:t>
        </w:r>
      </w:hyperlink>
      <w:r>
        <w:rPr>
          <w:sz w:val="22"/>
          <w:szCs w:val="22"/>
        </w:rPr>
        <w:t>.</w:t>
      </w:r>
    </w:p>
    <w:p w14:paraId="667568FB" w14:textId="77777777" w:rsidR="00015B51" w:rsidRDefault="00015B51" w:rsidP="00015B51">
      <w:pPr>
        <w:rPr>
          <w:sz w:val="22"/>
          <w:szCs w:val="22"/>
        </w:rPr>
      </w:pPr>
    </w:p>
    <w:p w14:paraId="41495A72" w14:textId="77777777" w:rsidR="00015B51" w:rsidRDefault="00015B51" w:rsidP="00015B51">
      <w:pPr>
        <w:rPr>
          <w:sz w:val="22"/>
          <w:szCs w:val="22"/>
        </w:rPr>
      </w:pPr>
      <w:r>
        <w:rPr>
          <w:sz w:val="22"/>
          <w:szCs w:val="22"/>
        </w:rPr>
        <w:t>--</w:t>
      </w:r>
    </w:p>
    <w:p w14:paraId="361FAB85" w14:textId="77777777" w:rsidR="00015B51" w:rsidRDefault="00015B51" w:rsidP="00015B51">
      <w:pPr>
        <w:rPr>
          <w:sz w:val="22"/>
          <w:szCs w:val="22"/>
        </w:rPr>
      </w:pPr>
    </w:p>
    <w:p w14:paraId="7803DA90" w14:textId="77777777" w:rsidR="00015B51" w:rsidRDefault="00015B51" w:rsidP="00015B51">
      <w:pPr>
        <w:rPr>
          <w:b/>
          <w:i/>
          <w:iCs/>
          <w:sz w:val="22"/>
          <w:szCs w:val="22"/>
        </w:rPr>
      </w:pPr>
      <w:r>
        <w:rPr>
          <w:b/>
          <w:i/>
          <w:iCs/>
          <w:sz w:val="22"/>
          <w:szCs w:val="22"/>
        </w:rPr>
        <w:t>TRIBVN PON White Paper 1:</w:t>
      </w:r>
    </w:p>
    <w:p w14:paraId="46E4D0EE" w14:textId="77777777" w:rsidR="00015B51" w:rsidRDefault="00015B51" w:rsidP="00015B51">
      <w:pPr>
        <w:rPr>
          <w:sz w:val="22"/>
          <w:szCs w:val="22"/>
        </w:rPr>
      </w:pPr>
    </w:p>
    <w:p w14:paraId="533015CC"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6C11D0E" w14:textId="77777777" w:rsidR="00015B51" w:rsidRDefault="00015B51" w:rsidP="00015B51">
      <w:pPr>
        <w:rPr>
          <w:sz w:val="22"/>
          <w:szCs w:val="22"/>
        </w:rPr>
      </w:pPr>
    </w:p>
    <w:p w14:paraId="69849C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670D3D" w14:textId="77777777" w:rsidR="00015B51" w:rsidRDefault="00015B51" w:rsidP="00015B51">
      <w:pPr>
        <w:rPr>
          <w:sz w:val="22"/>
          <w:szCs w:val="22"/>
        </w:rPr>
      </w:pPr>
    </w:p>
    <w:p w14:paraId="4F738FD0" w14:textId="77777777" w:rsidR="00015B51" w:rsidRDefault="00015B51" w:rsidP="00015B51">
      <w:pPr>
        <w:rPr>
          <w:sz w:val="22"/>
          <w:szCs w:val="22"/>
        </w:rPr>
      </w:pPr>
      <w:r>
        <w:rPr>
          <w:sz w:val="22"/>
          <w:szCs w:val="22"/>
        </w:rPr>
        <w:t xml:space="preserve">Download it from the </w:t>
      </w:r>
      <w:hyperlink r:id="rId1104" w:history="1">
        <w:r>
          <w:rPr>
            <w:rStyle w:val="Hyperlink"/>
            <w:sz w:val="22"/>
            <w:szCs w:val="22"/>
          </w:rPr>
          <w:t>Precision Oncology News White Paper Channel.</w:t>
        </w:r>
      </w:hyperlink>
    </w:p>
    <w:p w14:paraId="1F60F050" w14:textId="77777777" w:rsidR="00015B51" w:rsidRDefault="00015B51" w:rsidP="00015B51">
      <w:pPr>
        <w:rPr>
          <w:sz w:val="22"/>
          <w:szCs w:val="22"/>
        </w:rPr>
      </w:pPr>
    </w:p>
    <w:p w14:paraId="64EFE70E" w14:textId="77777777" w:rsidR="00015B51" w:rsidRDefault="00015B51" w:rsidP="00015B51">
      <w:pPr>
        <w:rPr>
          <w:sz w:val="22"/>
          <w:szCs w:val="22"/>
        </w:rPr>
      </w:pPr>
      <w:r>
        <w:rPr>
          <w:sz w:val="22"/>
          <w:szCs w:val="22"/>
        </w:rPr>
        <w:t>--</w:t>
      </w:r>
    </w:p>
    <w:p w14:paraId="627FF48D" w14:textId="77777777" w:rsidR="00015B51" w:rsidRDefault="00015B51" w:rsidP="00015B51">
      <w:pPr>
        <w:rPr>
          <w:sz w:val="22"/>
          <w:szCs w:val="22"/>
        </w:rPr>
      </w:pPr>
    </w:p>
    <w:p w14:paraId="61D5B7B6" w14:textId="77777777" w:rsidR="00015B51" w:rsidRDefault="00015B51" w:rsidP="00015B51">
      <w:pPr>
        <w:rPr>
          <w:b/>
          <w:i/>
          <w:iCs/>
          <w:sz w:val="22"/>
          <w:szCs w:val="22"/>
        </w:rPr>
      </w:pPr>
      <w:r>
        <w:rPr>
          <w:b/>
          <w:i/>
          <w:iCs/>
          <w:sz w:val="22"/>
          <w:szCs w:val="22"/>
        </w:rPr>
        <w:t>TRIBVN GW White Paper 2:</w:t>
      </w:r>
    </w:p>
    <w:p w14:paraId="5EF5AFEF" w14:textId="77777777" w:rsidR="00015B51" w:rsidRDefault="00015B51" w:rsidP="00015B51">
      <w:pPr>
        <w:rPr>
          <w:sz w:val="22"/>
          <w:szCs w:val="22"/>
        </w:rPr>
      </w:pPr>
    </w:p>
    <w:p w14:paraId="126B5678" w14:textId="77777777" w:rsidR="00015B51" w:rsidRDefault="00015B51" w:rsidP="00015B51">
      <w:pPr>
        <w:rPr>
          <w:sz w:val="22"/>
          <w:szCs w:val="22"/>
        </w:rPr>
      </w:pPr>
      <w:r>
        <w:rPr>
          <w:b/>
          <w:sz w:val="22"/>
          <w:szCs w:val="22"/>
        </w:rPr>
        <w:t>Title:</w:t>
      </w:r>
      <w:r>
        <w:rPr>
          <w:sz w:val="22"/>
          <w:szCs w:val="22"/>
        </w:rPr>
        <w:t xml:space="preserve"> Switching to Digital Pathology</w:t>
      </w:r>
    </w:p>
    <w:p w14:paraId="3AE0E9A0" w14:textId="77777777" w:rsidR="00015B51" w:rsidRDefault="00015B51" w:rsidP="00015B51">
      <w:pPr>
        <w:rPr>
          <w:sz w:val="22"/>
          <w:szCs w:val="22"/>
        </w:rPr>
      </w:pPr>
    </w:p>
    <w:p w14:paraId="616F6328"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093BF30A" w14:textId="77777777" w:rsidR="00015B51" w:rsidRDefault="00015B51" w:rsidP="00015B51">
      <w:pPr>
        <w:rPr>
          <w:sz w:val="22"/>
          <w:szCs w:val="22"/>
        </w:rPr>
      </w:pPr>
    </w:p>
    <w:p w14:paraId="5BE783A0"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5" w:history="1">
        <w:r>
          <w:rPr>
            <w:rStyle w:val="Hyperlink"/>
            <w:sz w:val="22"/>
            <w:szCs w:val="22"/>
          </w:rPr>
          <w:t>White Paper Channel</w:t>
        </w:r>
      </w:hyperlink>
      <w:r>
        <w:rPr>
          <w:sz w:val="22"/>
          <w:szCs w:val="22"/>
        </w:rPr>
        <w:t>.</w:t>
      </w:r>
    </w:p>
    <w:p w14:paraId="5BB1656B" w14:textId="77777777" w:rsidR="00015B51" w:rsidRDefault="00015B51" w:rsidP="00015B51">
      <w:pPr>
        <w:rPr>
          <w:sz w:val="22"/>
          <w:szCs w:val="22"/>
        </w:rPr>
      </w:pPr>
    </w:p>
    <w:p w14:paraId="3F8CA0F9" w14:textId="77777777" w:rsidR="00015B51" w:rsidRDefault="00015B51" w:rsidP="00015B51">
      <w:pPr>
        <w:rPr>
          <w:sz w:val="22"/>
          <w:szCs w:val="22"/>
        </w:rPr>
      </w:pPr>
      <w:r>
        <w:rPr>
          <w:sz w:val="22"/>
          <w:szCs w:val="22"/>
        </w:rPr>
        <w:t>--</w:t>
      </w:r>
    </w:p>
    <w:p w14:paraId="110847E7" w14:textId="77777777" w:rsidR="00015B51" w:rsidRDefault="00015B51" w:rsidP="00015B51">
      <w:pPr>
        <w:rPr>
          <w:sz w:val="22"/>
          <w:szCs w:val="22"/>
        </w:rPr>
      </w:pPr>
    </w:p>
    <w:p w14:paraId="05BB1B6C" w14:textId="77777777" w:rsidR="00015B51" w:rsidRDefault="00015B51" w:rsidP="00015B51">
      <w:pPr>
        <w:rPr>
          <w:b/>
          <w:i/>
          <w:iCs/>
          <w:sz w:val="22"/>
          <w:szCs w:val="22"/>
        </w:rPr>
      </w:pPr>
      <w:r>
        <w:rPr>
          <w:b/>
          <w:i/>
          <w:iCs/>
          <w:sz w:val="22"/>
          <w:szCs w:val="22"/>
        </w:rPr>
        <w:t>TRIBVN 360Dx White Paper 2:</w:t>
      </w:r>
    </w:p>
    <w:p w14:paraId="7617C20B" w14:textId="77777777" w:rsidR="00015B51" w:rsidRDefault="00015B51" w:rsidP="00015B51">
      <w:pPr>
        <w:rPr>
          <w:sz w:val="22"/>
          <w:szCs w:val="22"/>
        </w:rPr>
      </w:pPr>
    </w:p>
    <w:p w14:paraId="087C089A" w14:textId="77777777" w:rsidR="00015B51" w:rsidRDefault="00015B51" w:rsidP="00015B51">
      <w:pPr>
        <w:rPr>
          <w:sz w:val="22"/>
          <w:szCs w:val="22"/>
        </w:rPr>
      </w:pPr>
      <w:r>
        <w:rPr>
          <w:b/>
          <w:sz w:val="22"/>
          <w:szCs w:val="22"/>
        </w:rPr>
        <w:t>Title:</w:t>
      </w:r>
      <w:r>
        <w:rPr>
          <w:sz w:val="22"/>
          <w:szCs w:val="22"/>
        </w:rPr>
        <w:t xml:space="preserve"> Switching to Digital Pathology</w:t>
      </w:r>
    </w:p>
    <w:p w14:paraId="19629EF1" w14:textId="77777777" w:rsidR="00015B51" w:rsidRDefault="00015B51" w:rsidP="00015B51">
      <w:pPr>
        <w:rPr>
          <w:sz w:val="22"/>
          <w:szCs w:val="22"/>
        </w:rPr>
      </w:pPr>
    </w:p>
    <w:p w14:paraId="7778305B"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58E404B9" w14:textId="77777777" w:rsidR="00015B51" w:rsidRDefault="00015B51" w:rsidP="00015B51">
      <w:pPr>
        <w:rPr>
          <w:sz w:val="22"/>
          <w:szCs w:val="22"/>
        </w:rPr>
      </w:pPr>
    </w:p>
    <w:p w14:paraId="3E961C2D" w14:textId="77777777" w:rsidR="00015B51" w:rsidRDefault="00015B51" w:rsidP="00015B51">
      <w:pPr>
        <w:rPr>
          <w:sz w:val="22"/>
          <w:szCs w:val="22"/>
        </w:rPr>
      </w:pPr>
      <w:r>
        <w:rPr>
          <w:sz w:val="22"/>
          <w:szCs w:val="22"/>
        </w:rPr>
        <w:t xml:space="preserve">Download it from the </w:t>
      </w:r>
      <w:hyperlink r:id="rId1106" w:anchor=".Yr3WbBXMI2w" w:history="1">
        <w:r>
          <w:rPr>
            <w:rStyle w:val="Hyperlink"/>
            <w:sz w:val="22"/>
            <w:szCs w:val="22"/>
          </w:rPr>
          <w:t>360Dx White Paper Channel.</w:t>
        </w:r>
      </w:hyperlink>
    </w:p>
    <w:p w14:paraId="1FC3C490" w14:textId="77777777" w:rsidR="00015B51" w:rsidRDefault="00015B51" w:rsidP="00015B51">
      <w:pPr>
        <w:rPr>
          <w:sz w:val="22"/>
          <w:szCs w:val="22"/>
        </w:rPr>
      </w:pPr>
    </w:p>
    <w:p w14:paraId="34589677" w14:textId="77777777" w:rsidR="00015B51" w:rsidRDefault="00015B51" w:rsidP="00015B51">
      <w:pPr>
        <w:rPr>
          <w:sz w:val="22"/>
          <w:szCs w:val="22"/>
        </w:rPr>
      </w:pPr>
      <w:r>
        <w:rPr>
          <w:sz w:val="22"/>
          <w:szCs w:val="22"/>
        </w:rPr>
        <w:t>--</w:t>
      </w:r>
    </w:p>
    <w:p w14:paraId="45911804" w14:textId="77777777" w:rsidR="00015B51" w:rsidRDefault="00015B51" w:rsidP="00015B51">
      <w:pPr>
        <w:rPr>
          <w:sz w:val="22"/>
          <w:szCs w:val="22"/>
        </w:rPr>
      </w:pPr>
    </w:p>
    <w:p w14:paraId="6A53218D" w14:textId="77777777" w:rsidR="00015B51" w:rsidRDefault="00015B51" w:rsidP="00015B51">
      <w:pPr>
        <w:rPr>
          <w:b/>
          <w:i/>
          <w:iCs/>
          <w:sz w:val="22"/>
          <w:szCs w:val="22"/>
        </w:rPr>
      </w:pPr>
      <w:r>
        <w:rPr>
          <w:b/>
          <w:i/>
          <w:iCs/>
          <w:sz w:val="22"/>
          <w:szCs w:val="22"/>
        </w:rPr>
        <w:t>TRIBVN PON White Paper 2:</w:t>
      </w:r>
    </w:p>
    <w:p w14:paraId="123AFEBC" w14:textId="77777777" w:rsidR="00015B51" w:rsidRDefault="00015B51" w:rsidP="00015B51">
      <w:pPr>
        <w:rPr>
          <w:sz w:val="22"/>
          <w:szCs w:val="22"/>
        </w:rPr>
      </w:pPr>
    </w:p>
    <w:p w14:paraId="7C4B23F9" w14:textId="77777777" w:rsidR="00015B51" w:rsidRDefault="00015B51" w:rsidP="00015B51">
      <w:pPr>
        <w:rPr>
          <w:sz w:val="22"/>
          <w:szCs w:val="22"/>
        </w:rPr>
      </w:pPr>
      <w:r>
        <w:rPr>
          <w:b/>
          <w:sz w:val="22"/>
          <w:szCs w:val="22"/>
        </w:rPr>
        <w:t>Title:</w:t>
      </w:r>
      <w:r>
        <w:rPr>
          <w:sz w:val="22"/>
          <w:szCs w:val="22"/>
        </w:rPr>
        <w:t xml:space="preserve"> Switching to Digital Pathology</w:t>
      </w:r>
    </w:p>
    <w:p w14:paraId="69AFF1B4" w14:textId="77777777" w:rsidR="00015B51" w:rsidRDefault="00015B51" w:rsidP="00015B51">
      <w:pPr>
        <w:rPr>
          <w:sz w:val="22"/>
          <w:szCs w:val="22"/>
        </w:rPr>
      </w:pPr>
    </w:p>
    <w:p w14:paraId="1DD8761C"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1437E358" w14:textId="77777777" w:rsidR="00015B51" w:rsidRDefault="00015B51" w:rsidP="00015B51">
      <w:pPr>
        <w:rPr>
          <w:sz w:val="22"/>
          <w:szCs w:val="22"/>
        </w:rPr>
      </w:pPr>
    </w:p>
    <w:p w14:paraId="3F197246" w14:textId="77777777" w:rsidR="00015B51" w:rsidRDefault="00015B51" w:rsidP="00015B51">
      <w:pPr>
        <w:rPr>
          <w:sz w:val="22"/>
          <w:szCs w:val="22"/>
        </w:rPr>
      </w:pPr>
      <w:r>
        <w:rPr>
          <w:sz w:val="22"/>
          <w:szCs w:val="22"/>
        </w:rPr>
        <w:t xml:space="preserve">Download it from the </w:t>
      </w:r>
      <w:hyperlink r:id="rId1107" w:anchor=".Yr3WoBXMI2w" w:history="1">
        <w:r>
          <w:rPr>
            <w:rStyle w:val="Hyperlink"/>
            <w:sz w:val="22"/>
            <w:szCs w:val="22"/>
          </w:rPr>
          <w:t>Precision Oncology News White Paper Channel.</w:t>
        </w:r>
      </w:hyperlink>
    </w:p>
    <w:p w14:paraId="4E41AFF6" w14:textId="77777777" w:rsidR="00015B51" w:rsidRDefault="00015B51" w:rsidP="00015B51">
      <w:pPr>
        <w:rPr>
          <w:sz w:val="22"/>
          <w:szCs w:val="22"/>
        </w:rPr>
      </w:pPr>
    </w:p>
    <w:p w14:paraId="4908439D" w14:textId="77777777" w:rsidR="00015B51" w:rsidRDefault="00015B51" w:rsidP="00015B51">
      <w:pPr>
        <w:rPr>
          <w:sz w:val="22"/>
          <w:szCs w:val="22"/>
        </w:rPr>
      </w:pPr>
      <w:r>
        <w:rPr>
          <w:sz w:val="22"/>
          <w:szCs w:val="22"/>
        </w:rPr>
        <w:t>--</w:t>
      </w:r>
    </w:p>
    <w:p w14:paraId="5D16B04E" w14:textId="77777777" w:rsidR="00015B51" w:rsidRDefault="00015B51" w:rsidP="00015B51">
      <w:pPr>
        <w:rPr>
          <w:sz w:val="22"/>
          <w:szCs w:val="22"/>
        </w:rPr>
      </w:pPr>
    </w:p>
    <w:p w14:paraId="4A768B1C" w14:textId="77777777" w:rsidR="00015B51" w:rsidRDefault="00015B51" w:rsidP="00015B51">
      <w:pPr>
        <w:rPr>
          <w:b/>
          <w:i/>
          <w:iCs/>
          <w:sz w:val="22"/>
          <w:szCs w:val="22"/>
        </w:rPr>
      </w:pPr>
      <w:r>
        <w:rPr>
          <w:b/>
          <w:i/>
          <w:iCs/>
          <w:sz w:val="22"/>
          <w:szCs w:val="22"/>
        </w:rPr>
        <w:t>TRIBVN GW White Paper 3:</w:t>
      </w:r>
    </w:p>
    <w:p w14:paraId="40C384CB" w14:textId="77777777" w:rsidR="00015B51" w:rsidRDefault="00015B51" w:rsidP="00015B51">
      <w:pPr>
        <w:rPr>
          <w:sz w:val="22"/>
          <w:szCs w:val="22"/>
        </w:rPr>
      </w:pPr>
    </w:p>
    <w:p w14:paraId="27CA2E7F"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1266944F" w14:textId="77777777" w:rsidR="00015B51" w:rsidRDefault="00015B51" w:rsidP="00015B51">
      <w:pPr>
        <w:rPr>
          <w:sz w:val="22"/>
          <w:szCs w:val="22"/>
        </w:rPr>
      </w:pPr>
    </w:p>
    <w:p w14:paraId="045449D5"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30A12D86" w14:textId="77777777" w:rsidR="00015B51" w:rsidRDefault="00015B51" w:rsidP="00015B51">
      <w:pPr>
        <w:rPr>
          <w:sz w:val="22"/>
          <w:szCs w:val="22"/>
        </w:rPr>
      </w:pPr>
    </w:p>
    <w:p w14:paraId="325C298C"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8" w:history="1">
        <w:r>
          <w:rPr>
            <w:rStyle w:val="Hyperlink"/>
            <w:sz w:val="22"/>
            <w:szCs w:val="22"/>
          </w:rPr>
          <w:t>White Paper Channel.</w:t>
        </w:r>
      </w:hyperlink>
    </w:p>
    <w:p w14:paraId="14B2BEB9" w14:textId="77777777" w:rsidR="00015B51" w:rsidRDefault="00015B51" w:rsidP="00015B51">
      <w:pPr>
        <w:rPr>
          <w:sz w:val="22"/>
          <w:szCs w:val="22"/>
        </w:rPr>
      </w:pPr>
    </w:p>
    <w:p w14:paraId="284B7109" w14:textId="77777777" w:rsidR="00015B51" w:rsidRDefault="00015B51" w:rsidP="00015B51">
      <w:pPr>
        <w:rPr>
          <w:sz w:val="22"/>
          <w:szCs w:val="22"/>
        </w:rPr>
      </w:pPr>
      <w:r>
        <w:rPr>
          <w:sz w:val="22"/>
          <w:szCs w:val="22"/>
        </w:rPr>
        <w:t>--</w:t>
      </w:r>
    </w:p>
    <w:p w14:paraId="713C3817" w14:textId="77777777" w:rsidR="00015B51" w:rsidRDefault="00015B51" w:rsidP="00015B51">
      <w:pPr>
        <w:rPr>
          <w:sz w:val="22"/>
          <w:szCs w:val="22"/>
        </w:rPr>
      </w:pPr>
    </w:p>
    <w:p w14:paraId="2E40B1AF" w14:textId="77777777" w:rsidR="00015B51" w:rsidRDefault="00015B51" w:rsidP="00015B51">
      <w:pPr>
        <w:rPr>
          <w:b/>
          <w:i/>
          <w:iCs/>
          <w:sz w:val="22"/>
          <w:szCs w:val="22"/>
        </w:rPr>
      </w:pPr>
      <w:r>
        <w:rPr>
          <w:b/>
          <w:i/>
          <w:iCs/>
          <w:sz w:val="22"/>
          <w:szCs w:val="22"/>
        </w:rPr>
        <w:t>TRIBVN 360Dx White Paper 3:</w:t>
      </w:r>
    </w:p>
    <w:p w14:paraId="02ED4CA3" w14:textId="77777777" w:rsidR="00015B51" w:rsidRDefault="00015B51" w:rsidP="00015B51">
      <w:pPr>
        <w:rPr>
          <w:sz w:val="22"/>
          <w:szCs w:val="22"/>
        </w:rPr>
      </w:pPr>
    </w:p>
    <w:p w14:paraId="64A1B652"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2ADC4EF8" w14:textId="77777777" w:rsidR="00015B51" w:rsidRDefault="00015B51" w:rsidP="00015B51">
      <w:pPr>
        <w:rPr>
          <w:sz w:val="22"/>
          <w:szCs w:val="22"/>
        </w:rPr>
      </w:pPr>
    </w:p>
    <w:p w14:paraId="60CE4F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65BF0A1E" w14:textId="77777777" w:rsidR="00015B51" w:rsidRDefault="00015B51" w:rsidP="00015B51">
      <w:pPr>
        <w:rPr>
          <w:sz w:val="22"/>
          <w:szCs w:val="22"/>
        </w:rPr>
      </w:pPr>
    </w:p>
    <w:p w14:paraId="6CF40C45" w14:textId="77777777" w:rsidR="00015B51" w:rsidRDefault="00015B51" w:rsidP="00015B51">
      <w:pPr>
        <w:rPr>
          <w:sz w:val="22"/>
          <w:szCs w:val="22"/>
        </w:rPr>
      </w:pPr>
      <w:r>
        <w:rPr>
          <w:sz w:val="22"/>
          <w:szCs w:val="22"/>
        </w:rPr>
        <w:t xml:space="preserve">Download it from the </w:t>
      </w:r>
      <w:hyperlink r:id="rId1109" w:anchor=".Yr3XqxXMI2w" w:history="1">
        <w:r>
          <w:rPr>
            <w:rStyle w:val="Hyperlink"/>
            <w:sz w:val="22"/>
            <w:szCs w:val="22"/>
          </w:rPr>
          <w:t>360Dx White Paper Channel</w:t>
        </w:r>
      </w:hyperlink>
      <w:r>
        <w:rPr>
          <w:sz w:val="22"/>
          <w:szCs w:val="22"/>
        </w:rPr>
        <w:t>.</w:t>
      </w:r>
    </w:p>
    <w:p w14:paraId="69879811" w14:textId="77777777" w:rsidR="00015B51" w:rsidRDefault="00015B51" w:rsidP="00015B51">
      <w:pPr>
        <w:rPr>
          <w:sz w:val="22"/>
          <w:szCs w:val="22"/>
        </w:rPr>
      </w:pPr>
    </w:p>
    <w:p w14:paraId="11E1BEB0" w14:textId="77777777" w:rsidR="00015B51" w:rsidRDefault="00015B51" w:rsidP="00015B51">
      <w:pPr>
        <w:rPr>
          <w:sz w:val="22"/>
          <w:szCs w:val="22"/>
        </w:rPr>
      </w:pPr>
      <w:r>
        <w:rPr>
          <w:sz w:val="22"/>
          <w:szCs w:val="22"/>
        </w:rPr>
        <w:t>--</w:t>
      </w:r>
    </w:p>
    <w:p w14:paraId="1C5D18BE" w14:textId="77777777" w:rsidR="00015B51" w:rsidRDefault="00015B51" w:rsidP="00015B51">
      <w:pPr>
        <w:rPr>
          <w:sz w:val="22"/>
          <w:szCs w:val="22"/>
        </w:rPr>
      </w:pPr>
    </w:p>
    <w:p w14:paraId="3A8AEA58" w14:textId="77777777" w:rsidR="00015B51" w:rsidRDefault="00015B51" w:rsidP="00015B51">
      <w:pPr>
        <w:rPr>
          <w:b/>
          <w:i/>
          <w:iCs/>
          <w:sz w:val="22"/>
          <w:szCs w:val="22"/>
        </w:rPr>
      </w:pPr>
      <w:r>
        <w:rPr>
          <w:b/>
          <w:i/>
          <w:iCs/>
          <w:sz w:val="22"/>
          <w:szCs w:val="22"/>
        </w:rPr>
        <w:t>TRIBVN PON White Paper 3:</w:t>
      </w:r>
    </w:p>
    <w:p w14:paraId="7E4D0A15" w14:textId="77777777" w:rsidR="00015B51" w:rsidRDefault="00015B51" w:rsidP="00015B51">
      <w:pPr>
        <w:rPr>
          <w:sz w:val="22"/>
          <w:szCs w:val="22"/>
        </w:rPr>
      </w:pPr>
    </w:p>
    <w:p w14:paraId="6C88B8D8"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542821FD" w14:textId="77777777" w:rsidR="00015B51" w:rsidRDefault="00015B51" w:rsidP="00015B51">
      <w:pPr>
        <w:rPr>
          <w:sz w:val="22"/>
          <w:szCs w:val="22"/>
        </w:rPr>
      </w:pPr>
    </w:p>
    <w:p w14:paraId="22ACD9ED"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5C312BF8" w14:textId="77777777" w:rsidR="00015B51" w:rsidRDefault="00015B51" w:rsidP="00015B51">
      <w:pPr>
        <w:rPr>
          <w:sz w:val="22"/>
          <w:szCs w:val="22"/>
        </w:rPr>
      </w:pPr>
    </w:p>
    <w:p w14:paraId="65709EE2" w14:textId="77777777" w:rsidR="00015B51" w:rsidRDefault="00015B51" w:rsidP="00015B51">
      <w:pPr>
        <w:rPr>
          <w:sz w:val="22"/>
          <w:szCs w:val="22"/>
        </w:rPr>
      </w:pPr>
      <w:r>
        <w:rPr>
          <w:sz w:val="22"/>
          <w:szCs w:val="22"/>
        </w:rPr>
        <w:t xml:space="preserve">Download it from the </w:t>
      </w:r>
      <w:hyperlink r:id="rId1110" w:anchor=".Yr3X4BXMI2w" w:history="1">
        <w:r>
          <w:rPr>
            <w:rStyle w:val="Hyperlink"/>
            <w:sz w:val="22"/>
            <w:szCs w:val="22"/>
          </w:rPr>
          <w:t>Precision Oncology News White Paper Channel.</w:t>
        </w:r>
      </w:hyperlink>
    </w:p>
    <w:p w14:paraId="2C8C437B" w14:textId="77777777" w:rsidR="00015B51" w:rsidRDefault="00015B51" w:rsidP="00015B51">
      <w:pPr>
        <w:rPr>
          <w:sz w:val="22"/>
          <w:szCs w:val="22"/>
        </w:rPr>
      </w:pPr>
    </w:p>
    <w:p w14:paraId="1C05976F" w14:textId="77777777" w:rsidR="00015B51" w:rsidRDefault="00015B51" w:rsidP="00015B51">
      <w:pPr>
        <w:rPr>
          <w:sz w:val="22"/>
          <w:szCs w:val="22"/>
        </w:rPr>
      </w:pPr>
    </w:p>
    <w:p w14:paraId="3DE1E3FE" w14:textId="77777777" w:rsidR="00BE170F" w:rsidRPr="0034798E" w:rsidRDefault="00BE170F" w:rsidP="00BE170F">
      <w:pPr>
        <w:rPr>
          <w:b/>
          <w:bCs/>
          <w:i/>
          <w:iCs/>
          <w:sz w:val="22"/>
          <w:szCs w:val="22"/>
        </w:rPr>
      </w:pPr>
      <w:proofErr w:type="spellStart"/>
      <w:r w:rsidRPr="003D4F9B">
        <w:rPr>
          <w:b/>
          <w:bCs/>
          <w:i/>
          <w:iCs/>
          <w:sz w:val="22"/>
          <w:szCs w:val="22"/>
        </w:rPr>
        <w:t>Olink</w:t>
      </w:r>
      <w:proofErr w:type="spellEnd"/>
      <w:r w:rsidRPr="003D4F9B">
        <w:rPr>
          <w:b/>
          <w:bCs/>
          <w:i/>
          <w:iCs/>
          <w:sz w:val="22"/>
          <w:szCs w:val="22"/>
        </w:rPr>
        <w:t xml:space="preserve"> GW White Paper 7</w:t>
      </w:r>
      <w:r w:rsidRPr="0034798E">
        <w:rPr>
          <w:b/>
          <w:bCs/>
          <w:i/>
          <w:iCs/>
          <w:sz w:val="22"/>
          <w:szCs w:val="22"/>
        </w:rPr>
        <w:t>:</w:t>
      </w:r>
    </w:p>
    <w:p w14:paraId="1DF4598C" w14:textId="77777777" w:rsidR="00BE170F" w:rsidRPr="00317785" w:rsidRDefault="00BE170F" w:rsidP="00BE170F">
      <w:pPr>
        <w:rPr>
          <w:sz w:val="22"/>
          <w:szCs w:val="22"/>
        </w:rPr>
      </w:pPr>
    </w:p>
    <w:p w14:paraId="421C1445"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4A426EB0" w14:textId="77777777" w:rsidR="00BE170F" w:rsidRPr="00317785" w:rsidRDefault="00BE170F" w:rsidP="00BE170F">
      <w:pPr>
        <w:rPr>
          <w:sz w:val="22"/>
          <w:szCs w:val="22"/>
        </w:rPr>
      </w:pPr>
    </w:p>
    <w:p w14:paraId="719D24AF"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34954A1B" w14:textId="77777777" w:rsidR="00BE170F" w:rsidRDefault="00BE170F" w:rsidP="00BE170F">
      <w:pPr>
        <w:rPr>
          <w:sz w:val="22"/>
          <w:szCs w:val="22"/>
        </w:rPr>
      </w:pPr>
    </w:p>
    <w:p w14:paraId="5E48C373"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1" w:history="1">
        <w:r w:rsidRPr="00E97967">
          <w:rPr>
            <w:rStyle w:val="Hyperlink"/>
            <w:sz w:val="22"/>
            <w:szCs w:val="22"/>
          </w:rPr>
          <w:t>White Paper Channel.</w:t>
        </w:r>
      </w:hyperlink>
    </w:p>
    <w:p w14:paraId="287F0438" w14:textId="77777777" w:rsidR="00BE170F" w:rsidRDefault="00BE170F" w:rsidP="00BE170F">
      <w:pPr>
        <w:rPr>
          <w:sz w:val="22"/>
          <w:szCs w:val="22"/>
        </w:rPr>
      </w:pPr>
    </w:p>
    <w:p w14:paraId="2BD1B256" w14:textId="77777777" w:rsidR="00BE170F" w:rsidRDefault="00BE170F" w:rsidP="00BE170F">
      <w:pPr>
        <w:rPr>
          <w:sz w:val="22"/>
          <w:szCs w:val="22"/>
        </w:rPr>
      </w:pPr>
      <w:r>
        <w:rPr>
          <w:sz w:val="22"/>
          <w:szCs w:val="22"/>
        </w:rPr>
        <w:t>--</w:t>
      </w:r>
    </w:p>
    <w:p w14:paraId="26B3467D" w14:textId="77777777" w:rsidR="00BE170F" w:rsidRDefault="00BE170F" w:rsidP="00BE170F">
      <w:pPr>
        <w:rPr>
          <w:sz w:val="22"/>
          <w:szCs w:val="22"/>
        </w:rPr>
      </w:pPr>
    </w:p>
    <w:p w14:paraId="46A3FA8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PON White Paper 7</w:t>
      </w:r>
      <w:r w:rsidRPr="0034798E">
        <w:rPr>
          <w:b/>
          <w:bCs/>
          <w:i/>
          <w:iCs/>
          <w:sz w:val="22"/>
          <w:szCs w:val="22"/>
        </w:rPr>
        <w:t>:</w:t>
      </w:r>
    </w:p>
    <w:p w14:paraId="1BD00EED" w14:textId="77777777" w:rsidR="00BE170F" w:rsidRPr="00317785" w:rsidRDefault="00BE170F" w:rsidP="00BE170F">
      <w:pPr>
        <w:rPr>
          <w:sz w:val="22"/>
          <w:szCs w:val="22"/>
        </w:rPr>
      </w:pPr>
    </w:p>
    <w:p w14:paraId="17D95ECF"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0916F455" w14:textId="77777777" w:rsidR="00BE170F" w:rsidRPr="00317785" w:rsidRDefault="00BE170F" w:rsidP="00BE170F">
      <w:pPr>
        <w:rPr>
          <w:sz w:val="22"/>
          <w:szCs w:val="22"/>
        </w:rPr>
      </w:pPr>
    </w:p>
    <w:p w14:paraId="50A81F25"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5CBFA61B" w14:textId="77777777" w:rsidR="00BE170F" w:rsidRPr="00317785" w:rsidRDefault="00BE170F" w:rsidP="00BE170F">
      <w:pPr>
        <w:rPr>
          <w:sz w:val="22"/>
          <w:szCs w:val="22"/>
        </w:rPr>
      </w:pPr>
    </w:p>
    <w:p w14:paraId="3F544794" w14:textId="77777777" w:rsidR="00BE170F" w:rsidRDefault="00BE170F" w:rsidP="00BE170F">
      <w:pPr>
        <w:rPr>
          <w:sz w:val="22"/>
          <w:szCs w:val="22"/>
        </w:rPr>
      </w:pPr>
      <w:r w:rsidRPr="0034798E">
        <w:rPr>
          <w:sz w:val="22"/>
          <w:szCs w:val="22"/>
        </w:rPr>
        <w:t xml:space="preserve">Download it from </w:t>
      </w:r>
      <w:r>
        <w:rPr>
          <w:sz w:val="22"/>
          <w:szCs w:val="22"/>
        </w:rPr>
        <w:t xml:space="preserve">the </w:t>
      </w:r>
      <w:hyperlink r:id="rId1112" w:history="1">
        <w:r w:rsidRPr="00682AA8">
          <w:rPr>
            <w:rStyle w:val="Hyperlink"/>
            <w:sz w:val="22"/>
            <w:szCs w:val="22"/>
          </w:rPr>
          <w:t>Precision Oncology News White Paper Channel.</w:t>
        </w:r>
      </w:hyperlink>
    </w:p>
    <w:p w14:paraId="1F4AD694" w14:textId="77777777" w:rsidR="00BE170F" w:rsidRDefault="00BE170F" w:rsidP="00BE170F">
      <w:pPr>
        <w:rPr>
          <w:sz w:val="22"/>
          <w:szCs w:val="22"/>
        </w:rPr>
      </w:pPr>
    </w:p>
    <w:p w14:paraId="1516AF21" w14:textId="77777777" w:rsidR="00BE170F" w:rsidRDefault="00BE170F" w:rsidP="00BE170F">
      <w:pPr>
        <w:rPr>
          <w:sz w:val="22"/>
          <w:szCs w:val="22"/>
        </w:rPr>
      </w:pPr>
      <w:r>
        <w:rPr>
          <w:sz w:val="22"/>
          <w:szCs w:val="22"/>
        </w:rPr>
        <w:t>--</w:t>
      </w:r>
    </w:p>
    <w:p w14:paraId="224943C8" w14:textId="77777777" w:rsidR="00BE170F" w:rsidRPr="00317785" w:rsidRDefault="00BE170F" w:rsidP="00BE170F">
      <w:pPr>
        <w:rPr>
          <w:sz w:val="22"/>
          <w:szCs w:val="22"/>
        </w:rPr>
      </w:pPr>
    </w:p>
    <w:p w14:paraId="6FBA0B5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White Paper 8</w:t>
      </w:r>
      <w:r w:rsidRPr="0034798E">
        <w:rPr>
          <w:b/>
          <w:bCs/>
          <w:i/>
          <w:iCs/>
          <w:sz w:val="22"/>
          <w:szCs w:val="22"/>
        </w:rPr>
        <w:t>:</w:t>
      </w:r>
    </w:p>
    <w:p w14:paraId="4F5332CC" w14:textId="77777777" w:rsidR="00BE170F" w:rsidRPr="00317785" w:rsidRDefault="00BE170F" w:rsidP="00BE170F">
      <w:pPr>
        <w:rPr>
          <w:sz w:val="22"/>
          <w:szCs w:val="22"/>
        </w:rPr>
      </w:pPr>
    </w:p>
    <w:p w14:paraId="45D09C8B" w14:textId="77777777" w:rsidR="00BE170F" w:rsidRDefault="00BE170F" w:rsidP="00BE170F">
      <w:pPr>
        <w:rPr>
          <w:b/>
          <w:bCs/>
          <w:sz w:val="22"/>
          <w:szCs w:val="22"/>
        </w:rPr>
      </w:pPr>
      <w:r w:rsidRPr="004D426A">
        <w:rPr>
          <w:b/>
          <w:bCs/>
          <w:sz w:val="22"/>
          <w:szCs w:val="22"/>
        </w:rPr>
        <w:t>Title:</w:t>
      </w:r>
      <w:r w:rsidRPr="00317785">
        <w:rPr>
          <w:sz w:val="22"/>
          <w:szCs w:val="22"/>
        </w:rPr>
        <w:t xml:space="preserve"> </w:t>
      </w:r>
      <w:r w:rsidRPr="0062564B">
        <w:rPr>
          <w:sz w:val="22"/>
          <w:szCs w:val="22"/>
        </w:rPr>
        <w:t xml:space="preserve">Multiplex High-Throughput Proteomics with </w:t>
      </w:r>
      <w:r>
        <w:rPr>
          <w:sz w:val="22"/>
          <w:szCs w:val="22"/>
        </w:rPr>
        <w:t>High</w:t>
      </w:r>
      <w:r w:rsidRPr="0062564B">
        <w:rPr>
          <w:sz w:val="22"/>
          <w:szCs w:val="22"/>
        </w:rPr>
        <w:t xml:space="preserve"> Analytical Specificity</w:t>
      </w:r>
    </w:p>
    <w:p w14:paraId="6F125191" w14:textId="77777777" w:rsidR="00BE170F" w:rsidRPr="00317785" w:rsidRDefault="00BE170F" w:rsidP="00BE170F">
      <w:pPr>
        <w:rPr>
          <w:sz w:val="22"/>
          <w:szCs w:val="22"/>
        </w:rPr>
      </w:pPr>
    </w:p>
    <w:p w14:paraId="2CD0160C"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Pr>
          <w:sz w:val="22"/>
          <w:szCs w:val="22"/>
        </w:rPr>
        <w:t xml:space="preserve">This technical note from </w:t>
      </w:r>
      <w:proofErr w:type="spellStart"/>
      <w:r>
        <w:rPr>
          <w:sz w:val="22"/>
          <w:szCs w:val="22"/>
        </w:rPr>
        <w:t>Olink</w:t>
      </w:r>
      <w:proofErr w:type="spellEnd"/>
      <w:r>
        <w:rPr>
          <w:sz w:val="22"/>
          <w:szCs w:val="22"/>
        </w:rPr>
        <w:t xml:space="preserve"> </w:t>
      </w:r>
      <w:r w:rsidRPr="0062564B">
        <w:rPr>
          <w:sz w:val="22"/>
          <w:szCs w:val="22"/>
        </w:rPr>
        <w:t xml:space="preserve">outlines a protocol to detect thousands of proteins representing major biological pathways simultaneously with high sensitivity and specificity </w:t>
      </w:r>
      <w:r>
        <w:rPr>
          <w:sz w:val="22"/>
          <w:szCs w:val="22"/>
        </w:rPr>
        <w:t xml:space="preserve">using </w:t>
      </w:r>
      <w:proofErr w:type="spellStart"/>
      <w:r>
        <w:rPr>
          <w:sz w:val="22"/>
          <w:szCs w:val="22"/>
        </w:rPr>
        <w:t>Olink</w:t>
      </w:r>
      <w:proofErr w:type="spellEnd"/>
      <w:r>
        <w:rPr>
          <w:sz w:val="22"/>
          <w:szCs w:val="22"/>
        </w:rPr>
        <w:t xml:space="preserve"> Explore, a </w:t>
      </w:r>
      <w:r w:rsidRPr="0062564B">
        <w:rPr>
          <w:sz w:val="22"/>
          <w:szCs w:val="22"/>
        </w:rPr>
        <w:t xml:space="preserve">high-throughput protein biomarker discovery platform based on </w:t>
      </w:r>
      <w:proofErr w:type="spellStart"/>
      <w:r w:rsidRPr="0062564B">
        <w:rPr>
          <w:sz w:val="22"/>
          <w:szCs w:val="22"/>
        </w:rPr>
        <w:t>Olink’s</w:t>
      </w:r>
      <w:proofErr w:type="spellEnd"/>
      <w:r w:rsidRPr="0062564B">
        <w:rPr>
          <w:sz w:val="22"/>
          <w:szCs w:val="22"/>
        </w:rPr>
        <w:t xml:space="preserve"> Proximity Extension Assay (PEA) technology coupled with NGS readout</w:t>
      </w:r>
      <w:r>
        <w:rPr>
          <w:sz w:val="22"/>
          <w:szCs w:val="22"/>
        </w:rPr>
        <w:t>.</w:t>
      </w:r>
    </w:p>
    <w:p w14:paraId="45EA9344" w14:textId="77777777" w:rsidR="00BE170F" w:rsidRDefault="00BE170F" w:rsidP="00BE170F">
      <w:pPr>
        <w:rPr>
          <w:sz w:val="22"/>
          <w:szCs w:val="22"/>
        </w:rPr>
      </w:pPr>
    </w:p>
    <w:p w14:paraId="5320676D"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3" w:history="1">
        <w:r w:rsidRPr="00FE13D8">
          <w:rPr>
            <w:rStyle w:val="Hyperlink"/>
            <w:sz w:val="22"/>
            <w:szCs w:val="22"/>
          </w:rPr>
          <w:t>White Paper Channel.</w:t>
        </w:r>
      </w:hyperlink>
    </w:p>
    <w:p w14:paraId="1D2CA4A1" w14:textId="77777777" w:rsidR="00BE170F" w:rsidRPr="00FD6E67" w:rsidRDefault="00BE170F" w:rsidP="00BE170F">
      <w:pPr>
        <w:rPr>
          <w:sz w:val="22"/>
          <w:szCs w:val="22"/>
        </w:rPr>
      </w:pPr>
    </w:p>
    <w:p w14:paraId="54B47AC5" w14:textId="77777777" w:rsidR="00BE170F" w:rsidRPr="00FD6E67" w:rsidRDefault="00BE170F" w:rsidP="00BE170F">
      <w:pPr>
        <w:rPr>
          <w:sz w:val="22"/>
          <w:szCs w:val="22"/>
        </w:rPr>
      </w:pPr>
      <w:r w:rsidRPr="00FD6E67">
        <w:rPr>
          <w:sz w:val="22"/>
          <w:szCs w:val="22"/>
        </w:rPr>
        <w:t>--</w:t>
      </w:r>
    </w:p>
    <w:p w14:paraId="2AD6BFF1" w14:textId="77777777" w:rsidR="00BE170F" w:rsidRPr="00FD6E67" w:rsidRDefault="00BE170F" w:rsidP="00BE170F">
      <w:pPr>
        <w:rPr>
          <w:sz w:val="22"/>
          <w:szCs w:val="22"/>
        </w:rPr>
      </w:pPr>
    </w:p>
    <w:p w14:paraId="0B8E5B5E" w14:textId="77777777" w:rsidR="00BE170F" w:rsidRPr="00FD6E67" w:rsidRDefault="00BE170F" w:rsidP="00BE170F">
      <w:pPr>
        <w:rPr>
          <w:b/>
          <w:bCs/>
          <w:i/>
          <w:iCs/>
          <w:sz w:val="22"/>
          <w:szCs w:val="22"/>
        </w:rPr>
      </w:pPr>
      <w:proofErr w:type="spellStart"/>
      <w:r w:rsidRPr="0040724D">
        <w:rPr>
          <w:b/>
          <w:bCs/>
          <w:i/>
          <w:iCs/>
          <w:sz w:val="22"/>
          <w:szCs w:val="22"/>
        </w:rPr>
        <w:t>DNA</w:t>
      </w:r>
      <w:r>
        <w:rPr>
          <w:b/>
          <w:bCs/>
          <w:i/>
          <w:iCs/>
          <w:sz w:val="22"/>
          <w:szCs w:val="22"/>
        </w:rPr>
        <w:t>n</w:t>
      </w:r>
      <w:r w:rsidRPr="0040724D">
        <w:rPr>
          <w:b/>
          <w:bCs/>
          <w:i/>
          <w:iCs/>
          <w:sz w:val="22"/>
          <w:szCs w:val="22"/>
        </w:rPr>
        <w:t>exus</w:t>
      </w:r>
      <w:proofErr w:type="spellEnd"/>
      <w:r w:rsidRPr="0040724D">
        <w:rPr>
          <w:b/>
          <w:bCs/>
          <w:i/>
          <w:iCs/>
          <w:sz w:val="22"/>
          <w:szCs w:val="22"/>
        </w:rPr>
        <w:t xml:space="preserve"> Wh</w:t>
      </w:r>
      <w:r>
        <w:rPr>
          <w:b/>
          <w:bCs/>
          <w:i/>
          <w:iCs/>
          <w:sz w:val="22"/>
          <w:szCs w:val="22"/>
        </w:rPr>
        <w:t>i</w:t>
      </w:r>
      <w:r w:rsidRPr="0040724D">
        <w:rPr>
          <w:b/>
          <w:bCs/>
          <w:i/>
          <w:iCs/>
          <w:sz w:val="22"/>
          <w:szCs w:val="22"/>
        </w:rPr>
        <w:t>te Paper 11</w:t>
      </w:r>
      <w:r w:rsidRPr="00FD6E67">
        <w:rPr>
          <w:b/>
          <w:bCs/>
          <w:i/>
          <w:iCs/>
          <w:sz w:val="22"/>
          <w:szCs w:val="22"/>
        </w:rPr>
        <w:t>:</w:t>
      </w:r>
    </w:p>
    <w:p w14:paraId="6F53DE51" w14:textId="77777777" w:rsidR="00BE170F" w:rsidRPr="00FD6E67" w:rsidRDefault="00BE170F" w:rsidP="00BE170F">
      <w:pPr>
        <w:rPr>
          <w:sz w:val="22"/>
          <w:szCs w:val="22"/>
        </w:rPr>
      </w:pPr>
    </w:p>
    <w:p w14:paraId="7F84B9F7" w14:textId="77777777" w:rsidR="00BE170F" w:rsidRPr="00FD6E67" w:rsidRDefault="00BE170F" w:rsidP="00BE170F">
      <w:pPr>
        <w:rPr>
          <w:sz w:val="22"/>
          <w:szCs w:val="22"/>
        </w:rPr>
      </w:pPr>
      <w:r w:rsidRPr="00FD6E67">
        <w:rPr>
          <w:b/>
          <w:bCs/>
          <w:sz w:val="22"/>
          <w:szCs w:val="22"/>
        </w:rPr>
        <w:t>Title:</w:t>
      </w:r>
      <w:r w:rsidRPr="00FD6E67">
        <w:rPr>
          <w:sz w:val="22"/>
          <w:szCs w:val="22"/>
        </w:rPr>
        <w:t xml:space="preserve"> Overcoming Bioinformatics Challenges to Rapidly Scale Genomics Pipelines</w:t>
      </w:r>
    </w:p>
    <w:p w14:paraId="21DF3257" w14:textId="77777777" w:rsidR="00BE170F" w:rsidRPr="00FD6E67" w:rsidRDefault="00BE170F" w:rsidP="00BE170F">
      <w:pPr>
        <w:rPr>
          <w:sz w:val="22"/>
          <w:szCs w:val="22"/>
        </w:rPr>
      </w:pPr>
    </w:p>
    <w:p w14:paraId="0A9B05F5" w14:textId="77777777" w:rsidR="00BE170F" w:rsidRPr="00FD6E67" w:rsidRDefault="00BE170F" w:rsidP="00BE170F">
      <w:pPr>
        <w:rPr>
          <w:sz w:val="22"/>
          <w:szCs w:val="22"/>
        </w:rPr>
      </w:pPr>
      <w:r w:rsidRPr="00FD6E67">
        <w:rPr>
          <w:b/>
          <w:bCs/>
          <w:sz w:val="22"/>
          <w:szCs w:val="22"/>
        </w:rPr>
        <w:t>Body:</w:t>
      </w:r>
      <w:r w:rsidRPr="00FD6E67">
        <w:rPr>
          <w:sz w:val="22"/>
          <w:szCs w:val="22"/>
        </w:rPr>
        <w:t xml:space="preserve"> This case study from </w:t>
      </w:r>
      <w:proofErr w:type="spellStart"/>
      <w:r w:rsidRPr="00FD6E67">
        <w:rPr>
          <w:sz w:val="22"/>
          <w:szCs w:val="22"/>
        </w:rPr>
        <w:t>DNAnexus</w:t>
      </w:r>
      <w:proofErr w:type="spellEnd"/>
      <w:r w:rsidRPr="00FD6E67">
        <w:rPr>
          <w:sz w:val="22"/>
          <w:szCs w:val="22"/>
        </w:rPr>
        <w:t xml:space="preserve"> describes how </w:t>
      </w:r>
      <w:proofErr w:type="spellStart"/>
      <w:r w:rsidRPr="00FD6E67">
        <w:rPr>
          <w:sz w:val="22"/>
          <w:szCs w:val="22"/>
        </w:rPr>
        <w:t>TwinStrand</w:t>
      </w:r>
      <w:proofErr w:type="spellEnd"/>
      <w:r w:rsidRPr="00FD6E67">
        <w:rPr>
          <w:sz w:val="22"/>
          <w:szCs w:val="22"/>
        </w:rPr>
        <w:t xml:space="preserve"> Biosciences chose the </w:t>
      </w:r>
      <w:proofErr w:type="spellStart"/>
      <w:r w:rsidRPr="00FD6E67">
        <w:rPr>
          <w:sz w:val="22"/>
          <w:szCs w:val="22"/>
        </w:rPr>
        <w:t>DNAnexus</w:t>
      </w:r>
      <w:proofErr w:type="spellEnd"/>
      <w:r w:rsidRPr="00FD6E67">
        <w:rPr>
          <w:sz w:val="22"/>
          <w:szCs w:val="22"/>
        </w:rPr>
        <w:t xml:space="preserve"> cloud infrastructure to host proprietary functional, flexible, secure, and scalable bioinformatics applications to support users of </w:t>
      </w:r>
      <w:proofErr w:type="spellStart"/>
      <w:r w:rsidRPr="00FD6E67">
        <w:rPr>
          <w:sz w:val="22"/>
          <w:szCs w:val="22"/>
        </w:rPr>
        <w:t>TwinStrand</w:t>
      </w:r>
      <w:proofErr w:type="spellEnd"/>
      <w:r w:rsidRPr="00FD6E67">
        <w:rPr>
          <w:sz w:val="22"/>
          <w:szCs w:val="22"/>
        </w:rPr>
        <w:t xml:space="preserve"> Duplex Sequencing technology.</w:t>
      </w:r>
    </w:p>
    <w:p w14:paraId="78402D04" w14:textId="77777777" w:rsidR="00BE170F" w:rsidRPr="00FD6E67" w:rsidRDefault="00BE170F" w:rsidP="00BE170F">
      <w:pPr>
        <w:rPr>
          <w:sz w:val="22"/>
          <w:szCs w:val="22"/>
        </w:rPr>
      </w:pPr>
    </w:p>
    <w:p w14:paraId="510BE851" w14:textId="77777777" w:rsidR="00BE170F" w:rsidRPr="00FD6E67" w:rsidRDefault="00BE170F" w:rsidP="00BE170F">
      <w:pPr>
        <w:rPr>
          <w:sz w:val="22"/>
          <w:szCs w:val="22"/>
        </w:rPr>
      </w:pPr>
      <w:r w:rsidRPr="00FD6E67">
        <w:rPr>
          <w:sz w:val="22"/>
          <w:szCs w:val="22"/>
        </w:rPr>
        <w:t xml:space="preserve">Download it from </w:t>
      </w:r>
      <w:proofErr w:type="spellStart"/>
      <w:r w:rsidRPr="00FD6E67">
        <w:rPr>
          <w:sz w:val="22"/>
          <w:szCs w:val="22"/>
        </w:rPr>
        <w:t>GenomeWeb’s</w:t>
      </w:r>
      <w:proofErr w:type="spellEnd"/>
      <w:r w:rsidRPr="00FD6E67">
        <w:rPr>
          <w:sz w:val="22"/>
          <w:szCs w:val="22"/>
        </w:rPr>
        <w:t xml:space="preserve"> </w:t>
      </w:r>
      <w:hyperlink r:id="rId1114" w:history="1">
        <w:r w:rsidRPr="00FD6E67">
          <w:rPr>
            <w:rStyle w:val="Hyperlink"/>
            <w:sz w:val="22"/>
            <w:szCs w:val="22"/>
          </w:rPr>
          <w:t>White Paper Channel.</w:t>
        </w:r>
      </w:hyperlink>
    </w:p>
    <w:p w14:paraId="50DC3AA0" w14:textId="77777777" w:rsidR="00BE170F" w:rsidRPr="00255FA5" w:rsidRDefault="00BE170F" w:rsidP="00BE170F">
      <w:pPr>
        <w:rPr>
          <w:sz w:val="22"/>
          <w:szCs w:val="22"/>
        </w:rPr>
      </w:pPr>
    </w:p>
    <w:p w14:paraId="2BC1E5BE" w14:textId="77777777" w:rsidR="00BE170F" w:rsidRPr="00255FA5" w:rsidRDefault="00BE170F" w:rsidP="00BE170F">
      <w:pPr>
        <w:rPr>
          <w:sz w:val="22"/>
          <w:szCs w:val="22"/>
        </w:rPr>
      </w:pPr>
      <w:r w:rsidRPr="00255FA5">
        <w:rPr>
          <w:sz w:val="22"/>
          <w:szCs w:val="22"/>
        </w:rPr>
        <w:t>--</w:t>
      </w:r>
    </w:p>
    <w:p w14:paraId="489766CA" w14:textId="77777777" w:rsidR="00BE170F" w:rsidRPr="00255FA5" w:rsidRDefault="00BE170F" w:rsidP="00BE170F">
      <w:pPr>
        <w:rPr>
          <w:sz w:val="22"/>
          <w:szCs w:val="22"/>
        </w:rPr>
      </w:pPr>
    </w:p>
    <w:p w14:paraId="734F3922" w14:textId="77777777" w:rsidR="00BE170F" w:rsidRPr="00255FA5" w:rsidRDefault="00BE170F" w:rsidP="00BE170F">
      <w:pPr>
        <w:rPr>
          <w:b/>
          <w:bCs/>
          <w:i/>
          <w:iCs/>
          <w:sz w:val="22"/>
          <w:szCs w:val="22"/>
        </w:rPr>
      </w:pPr>
      <w:proofErr w:type="spellStart"/>
      <w:r w:rsidRPr="00FF1F4D">
        <w:rPr>
          <w:b/>
          <w:bCs/>
          <w:i/>
          <w:iCs/>
          <w:sz w:val="22"/>
          <w:szCs w:val="22"/>
        </w:rPr>
        <w:t>Thermo</w:t>
      </w:r>
      <w:proofErr w:type="spellEnd"/>
      <w:r w:rsidRPr="00FF1F4D">
        <w:rPr>
          <w:b/>
          <w:bCs/>
          <w:i/>
          <w:iCs/>
          <w:sz w:val="22"/>
          <w:szCs w:val="22"/>
        </w:rPr>
        <w:t xml:space="preserve"> Fisher GW White Paper 18</w:t>
      </w:r>
      <w:r w:rsidRPr="00255FA5">
        <w:rPr>
          <w:b/>
          <w:bCs/>
          <w:i/>
          <w:iCs/>
          <w:sz w:val="22"/>
          <w:szCs w:val="22"/>
        </w:rPr>
        <w:t>:</w:t>
      </w:r>
    </w:p>
    <w:p w14:paraId="414FC0D1" w14:textId="77777777" w:rsidR="00BE170F" w:rsidRPr="00255FA5" w:rsidRDefault="00BE170F" w:rsidP="00BE170F">
      <w:pPr>
        <w:rPr>
          <w:sz w:val="22"/>
          <w:szCs w:val="22"/>
        </w:rPr>
      </w:pPr>
    </w:p>
    <w:p w14:paraId="2BA4E85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707155D2" w14:textId="77777777" w:rsidR="00BE170F" w:rsidRPr="00255FA5" w:rsidRDefault="00BE170F" w:rsidP="00BE170F">
      <w:pPr>
        <w:rPr>
          <w:sz w:val="22"/>
          <w:szCs w:val="22"/>
        </w:rPr>
      </w:pPr>
    </w:p>
    <w:p w14:paraId="46F656CB"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736C8D2C" w14:textId="77777777" w:rsidR="00BE170F" w:rsidRPr="00255FA5" w:rsidRDefault="00BE170F" w:rsidP="00BE170F">
      <w:pPr>
        <w:rPr>
          <w:sz w:val="22"/>
          <w:szCs w:val="22"/>
        </w:rPr>
      </w:pPr>
      <w:r w:rsidRPr="00255FA5">
        <w:rPr>
          <w:sz w:val="22"/>
          <w:szCs w:val="22"/>
        </w:rPr>
        <w:t xml:space="preserve">Download it from </w:t>
      </w:r>
      <w:proofErr w:type="spellStart"/>
      <w:r w:rsidRPr="00255FA5">
        <w:rPr>
          <w:sz w:val="22"/>
          <w:szCs w:val="22"/>
        </w:rPr>
        <w:t>GenomeWeb’s</w:t>
      </w:r>
      <w:proofErr w:type="spellEnd"/>
      <w:r w:rsidRPr="00255FA5">
        <w:rPr>
          <w:sz w:val="22"/>
          <w:szCs w:val="22"/>
        </w:rPr>
        <w:t xml:space="preserve"> </w:t>
      </w:r>
      <w:hyperlink r:id="rId1115" w:history="1">
        <w:r w:rsidRPr="00255FA5">
          <w:rPr>
            <w:rStyle w:val="Hyperlink"/>
            <w:sz w:val="22"/>
            <w:szCs w:val="22"/>
          </w:rPr>
          <w:t>White Paper Channel</w:t>
        </w:r>
      </w:hyperlink>
      <w:r w:rsidRPr="00255FA5">
        <w:rPr>
          <w:sz w:val="22"/>
          <w:szCs w:val="22"/>
        </w:rPr>
        <w:t>.</w:t>
      </w:r>
    </w:p>
    <w:p w14:paraId="2670D29D" w14:textId="77777777" w:rsidR="00BE170F" w:rsidRPr="00255FA5" w:rsidRDefault="00BE170F" w:rsidP="00BE170F">
      <w:pPr>
        <w:rPr>
          <w:sz w:val="22"/>
          <w:szCs w:val="22"/>
        </w:rPr>
      </w:pPr>
    </w:p>
    <w:p w14:paraId="514C8DCD" w14:textId="77777777" w:rsidR="00BE170F" w:rsidRPr="00255FA5" w:rsidRDefault="00BE170F" w:rsidP="00BE170F">
      <w:pPr>
        <w:rPr>
          <w:sz w:val="22"/>
          <w:szCs w:val="22"/>
        </w:rPr>
      </w:pPr>
      <w:r w:rsidRPr="00255FA5">
        <w:rPr>
          <w:sz w:val="22"/>
          <w:szCs w:val="22"/>
        </w:rPr>
        <w:t>--</w:t>
      </w:r>
    </w:p>
    <w:p w14:paraId="00E8D73B" w14:textId="77777777" w:rsidR="00BE170F" w:rsidRPr="00255FA5" w:rsidRDefault="00BE170F" w:rsidP="00BE170F">
      <w:pPr>
        <w:rPr>
          <w:sz w:val="22"/>
          <w:szCs w:val="22"/>
        </w:rPr>
      </w:pPr>
    </w:p>
    <w:p w14:paraId="7F95992B" w14:textId="77777777" w:rsidR="00BE170F" w:rsidRPr="00255FA5" w:rsidRDefault="00BE170F" w:rsidP="00BE170F">
      <w:pPr>
        <w:rPr>
          <w:b/>
          <w:bCs/>
          <w:i/>
          <w:iCs/>
          <w:sz w:val="22"/>
          <w:szCs w:val="22"/>
        </w:rPr>
      </w:pPr>
      <w:proofErr w:type="spellStart"/>
      <w:r w:rsidRPr="00B438B9">
        <w:rPr>
          <w:b/>
          <w:bCs/>
          <w:i/>
          <w:iCs/>
          <w:sz w:val="22"/>
          <w:szCs w:val="22"/>
        </w:rPr>
        <w:t>Thermo</w:t>
      </w:r>
      <w:proofErr w:type="spellEnd"/>
      <w:r w:rsidRPr="00B438B9">
        <w:rPr>
          <w:b/>
          <w:bCs/>
          <w:i/>
          <w:iCs/>
          <w:sz w:val="22"/>
          <w:szCs w:val="22"/>
        </w:rPr>
        <w:t xml:space="preserve"> Fisher 360Dx White Paper 18</w:t>
      </w:r>
      <w:r w:rsidRPr="00255FA5">
        <w:rPr>
          <w:b/>
          <w:bCs/>
          <w:i/>
          <w:iCs/>
          <w:sz w:val="22"/>
          <w:szCs w:val="22"/>
        </w:rPr>
        <w:t>:</w:t>
      </w:r>
    </w:p>
    <w:p w14:paraId="2922034E" w14:textId="77777777" w:rsidR="00BE170F" w:rsidRPr="00255FA5" w:rsidRDefault="00BE170F" w:rsidP="00BE170F">
      <w:pPr>
        <w:rPr>
          <w:sz w:val="22"/>
          <w:szCs w:val="22"/>
        </w:rPr>
      </w:pPr>
    </w:p>
    <w:p w14:paraId="18E58FF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39CFEAC4" w14:textId="77777777" w:rsidR="00BE170F" w:rsidRPr="00255FA5" w:rsidRDefault="00BE170F" w:rsidP="00BE170F">
      <w:pPr>
        <w:rPr>
          <w:sz w:val="22"/>
          <w:szCs w:val="22"/>
        </w:rPr>
      </w:pPr>
    </w:p>
    <w:p w14:paraId="786E2F5A"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361B7AD8" w14:textId="77777777" w:rsidR="00BE170F" w:rsidRPr="00255FA5" w:rsidRDefault="00BE170F" w:rsidP="00BE170F">
      <w:pPr>
        <w:rPr>
          <w:sz w:val="22"/>
          <w:szCs w:val="22"/>
        </w:rPr>
      </w:pPr>
    </w:p>
    <w:p w14:paraId="574480B7" w14:textId="77777777" w:rsidR="00BE170F" w:rsidRPr="00255FA5" w:rsidRDefault="00BE170F" w:rsidP="00BE170F">
      <w:pPr>
        <w:rPr>
          <w:sz w:val="22"/>
          <w:szCs w:val="22"/>
        </w:rPr>
      </w:pPr>
      <w:r w:rsidRPr="00255FA5">
        <w:rPr>
          <w:sz w:val="22"/>
          <w:szCs w:val="22"/>
        </w:rPr>
        <w:t xml:space="preserve">Download it from the </w:t>
      </w:r>
      <w:hyperlink r:id="rId1116" w:history="1">
        <w:r w:rsidRPr="00255FA5">
          <w:rPr>
            <w:rStyle w:val="Hyperlink"/>
            <w:sz w:val="22"/>
            <w:szCs w:val="22"/>
          </w:rPr>
          <w:t>360Dx White Paper Channel.</w:t>
        </w:r>
      </w:hyperlink>
    </w:p>
    <w:p w14:paraId="7A0ADAEC" w14:textId="77777777" w:rsidR="00BE170F" w:rsidRPr="00484370" w:rsidRDefault="00BE170F" w:rsidP="00BE170F">
      <w:pPr>
        <w:rPr>
          <w:sz w:val="22"/>
          <w:szCs w:val="22"/>
        </w:rPr>
      </w:pPr>
    </w:p>
    <w:p w14:paraId="0D7D85E6" w14:textId="77777777" w:rsidR="00BE170F" w:rsidRPr="00484370" w:rsidRDefault="00BE170F" w:rsidP="00BE170F">
      <w:pPr>
        <w:rPr>
          <w:sz w:val="22"/>
          <w:szCs w:val="22"/>
        </w:rPr>
      </w:pPr>
      <w:r w:rsidRPr="00484370">
        <w:rPr>
          <w:sz w:val="22"/>
          <w:szCs w:val="22"/>
        </w:rPr>
        <w:t>--</w:t>
      </w:r>
    </w:p>
    <w:p w14:paraId="23868D44" w14:textId="77777777" w:rsidR="00BE170F" w:rsidRPr="00484370" w:rsidRDefault="00BE170F" w:rsidP="00BE170F">
      <w:pPr>
        <w:rPr>
          <w:sz w:val="22"/>
          <w:szCs w:val="22"/>
        </w:rPr>
      </w:pPr>
    </w:p>
    <w:p w14:paraId="7BE632D4" w14:textId="77777777" w:rsidR="00BE170F" w:rsidRPr="00484370" w:rsidRDefault="00BE170F" w:rsidP="00BE170F">
      <w:pPr>
        <w:rPr>
          <w:b/>
          <w:bCs/>
          <w:i/>
          <w:iCs/>
          <w:sz w:val="22"/>
          <w:szCs w:val="22"/>
        </w:rPr>
      </w:pPr>
      <w:proofErr w:type="spellStart"/>
      <w:r w:rsidRPr="008041CA">
        <w:rPr>
          <w:b/>
          <w:bCs/>
          <w:i/>
          <w:iCs/>
          <w:sz w:val="22"/>
          <w:szCs w:val="22"/>
        </w:rPr>
        <w:t>Thermo</w:t>
      </w:r>
      <w:proofErr w:type="spellEnd"/>
      <w:r w:rsidRPr="008041CA">
        <w:rPr>
          <w:b/>
          <w:bCs/>
          <w:i/>
          <w:iCs/>
          <w:sz w:val="22"/>
          <w:szCs w:val="22"/>
        </w:rPr>
        <w:t xml:space="preserve"> Fisher White Paper 19</w:t>
      </w:r>
      <w:r w:rsidRPr="00484370">
        <w:rPr>
          <w:b/>
          <w:bCs/>
          <w:i/>
          <w:iCs/>
          <w:sz w:val="22"/>
          <w:szCs w:val="22"/>
        </w:rPr>
        <w:t>:</w:t>
      </w:r>
    </w:p>
    <w:p w14:paraId="4938FA02" w14:textId="77777777" w:rsidR="00BE170F" w:rsidRPr="00484370" w:rsidRDefault="00BE170F" w:rsidP="00BE170F">
      <w:pPr>
        <w:rPr>
          <w:sz w:val="22"/>
          <w:szCs w:val="22"/>
        </w:rPr>
      </w:pPr>
    </w:p>
    <w:p w14:paraId="29DBF678" w14:textId="77777777" w:rsidR="00BE170F" w:rsidRPr="00484370" w:rsidRDefault="00BE170F" w:rsidP="00BE170F">
      <w:pPr>
        <w:rPr>
          <w:sz w:val="22"/>
          <w:szCs w:val="22"/>
        </w:rPr>
      </w:pPr>
      <w:r w:rsidRPr="00484370">
        <w:rPr>
          <w:b/>
          <w:bCs/>
          <w:sz w:val="22"/>
          <w:szCs w:val="22"/>
        </w:rPr>
        <w:t>Title:</w:t>
      </w:r>
      <w:r w:rsidRPr="00484370">
        <w:rPr>
          <w:sz w:val="22"/>
          <w:szCs w:val="22"/>
        </w:rPr>
        <w:t xml:space="preserve"> Metagenomic Analysis of the Human Microbiome with a Microbiome Nucleic Acid Isolation Kit</w:t>
      </w:r>
    </w:p>
    <w:p w14:paraId="768B27F7" w14:textId="77777777" w:rsidR="00BE170F" w:rsidRPr="00484370" w:rsidRDefault="00BE170F" w:rsidP="00BE170F">
      <w:pPr>
        <w:rPr>
          <w:sz w:val="22"/>
          <w:szCs w:val="22"/>
        </w:rPr>
      </w:pPr>
    </w:p>
    <w:p w14:paraId="53892EC8" w14:textId="77777777" w:rsidR="00BE170F" w:rsidRPr="00484370" w:rsidRDefault="00BE170F" w:rsidP="00BE170F">
      <w:pPr>
        <w:rPr>
          <w:b/>
          <w:bCs/>
          <w:sz w:val="22"/>
          <w:szCs w:val="22"/>
        </w:rPr>
      </w:pPr>
      <w:r w:rsidRPr="00484370">
        <w:rPr>
          <w:b/>
          <w:bCs/>
          <w:sz w:val="22"/>
          <w:szCs w:val="22"/>
        </w:rPr>
        <w:t>Body:</w:t>
      </w:r>
      <w:r w:rsidRPr="00484370">
        <w:rPr>
          <w:sz w:val="22"/>
          <w:szCs w:val="22"/>
        </w:rPr>
        <w:t xml:space="preserve"> This application </w:t>
      </w:r>
      <w:proofErr w:type="gramStart"/>
      <w:r w:rsidRPr="00484370">
        <w:rPr>
          <w:sz w:val="22"/>
          <w:szCs w:val="22"/>
        </w:rPr>
        <w:t>note</w:t>
      </w:r>
      <w:proofErr w:type="gramEnd"/>
      <w:r w:rsidRPr="00484370">
        <w:rPr>
          <w:sz w:val="22"/>
          <w:szCs w:val="22"/>
        </w:rPr>
        <w:t xml:space="preserve"> from </w:t>
      </w:r>
      <w:proofErr w:type="spellStart"/>
      <w:r w:rsidRPr="00484370">
        <w:rPr>
          <w:sz w:val="22"/>
          <w:szCs w:val="22"/>
        </w:rPr>
        <w:t>Thermo</w:t>
      </w:r>
      <w:proofErr w:type="spellEnd"/>
      <w:r w:rsidRPr="00484370">
        <w:rPr>
          <w:sz w:val="22"/>
          <w:szCs w:val="22"/>
        </w:rPr>
        <w:t xml:space="preserve"> Fisher Scientific presents data on the microbial diversity of feces, urine, and saliva samples, demonstrating the capability of the </w:t>
      </w:r>
      <w:proofErr w:type="spellStart"/>
      <w:r w:rsidRPr="00484370">
        <w:rPr>
          <w:sz w:val="22"/>
          <w:szCs w:val="22"/>
        </w:rPr>
        <w:t>MagMax</w:t>
      </w:r>
      <w:proofErr w:type="spellEnd"/>
      <w:r w:rsidRPr="00484370">
        <w:rPr>
          <w:sz w:val="22"/>
          <w:szCs w:val="22"/>
        </w:rPr>
        <w:t xml:space="preserve"> Microbiome Ultra Nucleic Acid Isolation Kit to isolate the total nucleic acid from each sample type and highlighting the potential for utilization of the microbiome as a disease marker.</w:t>
      </w:r>
    </w:p>
    <w:p w14:paraId="50D498D4" w14:textId="77777777" w:rsidR="00BE170F" w:rsidRPr="00484370" w:rsidRDefault="00BE170F" w:rsidP="00BE170F">
      <w:pPr>
        <w:rPr>
          <w:sz w:val="22"/>
          <w:szCs w:val="22"/>
        </w:rPr>
      </w:pPr>
    </w:p>
    <w:p w14:paraId="06F7E59F" w14:textId="77777777" w:rsidR="00BE170F" w:rsidRDefault="00BE170F" w:rsidP="00BE170F">
      <w:pPr>
        <w:rPr>
          <w:sz w:val="22"/>
          <w:szCs w:val="22"/>
        </w:rPr>
      </w:pPr>
      <w:r w:rsidRPr="00484370">
        <w:rPr>
          <w:sz w:val="22"/>
          <w:szCs w:val="22"/>
        </w:rPr>
        <w:t xml:space="preserve">Download it from </w:t>
      </w:r>
      <w:proofErr w:type="spellStart"/>
      <w:r w:rsidRPr="00484370">
        <w:rPr>
          <w:sz w:val="22"/>
          <w:szCs w:val="22"/>
        </w:rPr>
        <w:t>GenomeWeb’s</w:t>
      </w:r>
      <w:proofErr w:type="spellEnd"/>
      <w:r w:rsidRPr="00484370">
        <w:rPr>
          <w:sz w:val="22"/>
          <w:szCs w:val="22"/>
        </w:rPr>
        <w:t xml:space="preserve"> </w:t>
      </w:r>
      <w:hyperlink r:id="rId1117" w:history="1">
        <w:r w:rsidRPr="00484370">
          <w:rPr>
            <w:rStyle w:val="Hyperlink"/>
            <w:sz w:val="22"/>
            <w:szCs w:val="22"/>
          </w:rPr>
          <w:t>White Paper Channel</w:t>
        </w:r>
      </w:hyperlink>
      <w:r w:rsidRPr="00484370">
        <w:rPr>
          <w:sz w:val="22"/>
          <w:szCs w:val="22"/>
        </w:rPr>
        <w:t>.</w:t>
      </w:r>
    </w:p>
    <w:p w14:paraId="6F30A7C0" w14:textId="77777777" w:rsidR="00BE170F" w:rsidRPr="00580B00" w:rsidRDefault="00BE170F" w:rsidP="00BE170F">
      <w:pPr>
        <w:rPr>
          <w:sz w:val="22"/>
          <w:szCs w:val="22"/>
        </w:rPr>
      </w:pPr>
    </w:p>
    <w:p w14:paraId="38A06A49" w14:textId="77777777" w:rsidR="00BE170F" w:rsidRPr="00580B00" w:rsidRDefault="00BE170F" w:rsidP="00BE170F">
      <w:pPr>
        <w:rPr>
          <w:sz w:val="22"/>
          <w:szCs w:val="22"/>
        </w:rPr>
      </w:pPr>
      <w:r w:rsidRPr="00580B00">
        <w:rPr>
          <w:sz w:val="22"/>
          <w:szCs w:val="22"/>
        </w:rPr>
        <w:t>--</w:t>
      </w:r>
    </w:p>
    <w:p w14:paraId="7D1A3DF8" w14:textId="77777777" w:rsidR="00BE170F" w:rsidRPr="00580B00" w:rsidRDefault="00BE170F" w:rsidP="00BE170F">
      <w:pPr>
        <w:rPr>
          <w:sz w:val="22"/>
          <w:szCs w:val="22"/>
        </w:rPr>
      </w:pPr>
    </w:p>
    <w:p w14:paraId="72C84FEC" w14:textId="77777777" w:rsidR="00BE170F" w:rsidRPr="00580B00" w:rsidRDefault="00BE170F" w:rsidP="00BE170F">
      <w:pPr>
        <w:rPr>
          <w:b/>
          <w:bCs/>
          <w:i/>
          <w:iCs/>
          <w:sz w:val="22"/>
          <w:szCs w:val="22"/>
        </w:rPr>
      </w:pPr>
      <w:proofErr w:type="spellStart"/>
      <w:r w:rsidRPr="0053485F">
        <w:rPr>
          <w:b/>
          <w:bCs/>
          <w:i/>
          <w:iCs/>
          <w:sz w:val="22"/>
          <w:szCs w:val="22"/>
        </w:rPr>
        <w:t>Thermo</w:t>
      </w:r>
      <w:proofErr w:type="spellEnd"/>
      <w:r w:rsidRPr="0053485F">
        <w:rPr>
          <w:b/>
          <w:bCs/>
          <w:i/>
          <w:iCs/>
          <w:sz w:val="22"/>
          <w:szCs w:val="22"/>
        </w:rPr>
        <w:t xml:space="preserve"> Fisher White Paper </w:t>
      </w:r>
      <w:r>
        <w:rPr>
          <w:b/>
          <w:bCs/>
          <w:i/>
          <w:iCs/>
          <w:sz w:val="22"/>
          <w:szCs w:val="22"/>
        </w:rPr>
        <w:t>20</w:t>
      </w:r>
      <w:r w:rsidRPr="00580B00">
        <w:rPr>
          <w:b/>
          <w:bCs/>
          <w:i/>
          <w:iCs/>
          <w:sz w:val="22"/>
          <w:szCs w:val="22"/>
        </w:rPr>
        <w:t>:</w:t>
      </w:r>
    </w:p>
    <w:p w14:paraId="09AF0241" w14:textId="77777777" w:rsidR="00BE170F" w:rsidRPr="00580B00" w:rsidRDefault="00BE170F" w:rsidP="00BE170F">
      <w:pPr>
        <w:rPr>
          <w:sz w:val="22"/>
          <w:szCs w:val="22"/>
        </w:rPr>
      </w:pPr>
    </w:p>
    <w:p w14:paraId="19F63249" w14:textId="77777777" w:rsidR="00BE170F" w:rsidRPr="00580B00" w:rsidRDefault="00BE170F" w:rsidP="00BE170F">
      <w:pPr>
        <w:rPr>
          <w:sz w:val="22"/>
          <w:szCs w:val="22"/>
        </w:rPr>
      </w:pPr>
      <w:r w:rsidRPr="00580B00">
        <w:rPr>
          <w:b/>
          <w:bCs/>
          <w:sz w:val="22"/>
          <w:szCs w:val="22"/>
        </w:rPr>
        <w:t>Title:</w:t>
      </w:r>
      <w:r w:rsidRPr="00580B00">
        <w:rPr>
          <w:sz w:val="22"/>
          <w:szCs w:val="22"/>
        </w:rPr>
        <w:t xml:space="preserve"> Investigating Microbiomes in Various Sample Types with a Microbiome Nucleic Acid Isolation Kit</w:t>
      </w:r>
    </w:p>
    <w:p w14:paraId="14F3D69D" w14:textId="77777777" w:rsidR="00BE170F" w:rsidRPr="00580B00" w:rsidRDefault="00BE170F" w:rsidP="00BE170F">
      <w:pPr>
        <w:rPr>
          <w:sz w:val="22"/>
          <w:szCs w:val="22"/>
        </w:rPr>
      </w:pPr>
    </w:p>
    <w:p w14:paraId="697D126F" w14:textId="77777777" w:rsidR="00BE170F" w:rsidRPr="00580B00" w:rsidRDefault="00BE170F" w:rsidP="00BE170F">
      <w:pPr>
        <w:rPr>
          <w:sz w:val="22"/>
          <w:szCs w:val="22"/>
        </w:rPr>
      </w:pPr>
      <w:r w:rsidRPr="00580B00">
        <w:rPr>
          <w:b/>
          <w:bCs/>
          <w:sz w:val="22"/>
          <w:szCs w:val="22"/>
        </w:rPr>
        <w:t>Body:</w:t>
      </w:r>
      <w:r w:rsidRPr="00580B00">
        <w:rPr>
          <w:sz w:val="22"/>
          <w:szCs w:val="22"/>
        </w:rPr>
        <w:t xml:space="preserve"> This application </w:t>
      </w:r>
      <w:proofErr w:type="gramStart"/>
      <w:r w:rsidRPr="00580B00">
        <w:rPr>
          <w:sz w:val="22"/>
          <w:szCs w:val="22"/>
        </w:rPr>
        <w:t>note</w:t>
      </w:r>
      <w:proofErr w:type="gramEnd"/>
      <w:r w:rsidRPr="00580B00">
        <w:rPr>
          <w:sz w:val="22"/>
          <w:szCs w:val="22"/>
        </w:rPr>
        <w:t xml:space="preserve"> from </w:t>
      </w:r>
      <w:proofErr w:type="spellStart"/>
      <w:r w:rsidRPr="00580B00">
        <w:rPr>
          <w:sz w:val="22"/>
          <w:szCs w:val="22"/>
        </w:rPr>
        <w:t>Thermo</w:t>
      </w:r>
      <w:proofErr w:type="spellEnd"/>
      <w:r w:rsidRPr="00580B00">
        <w:rPr>
          <w:sz w:val="22"/>
          <w:szCs w:val="22"/>
        </w:rPr>
        <w:t xml:space="preserve"> Fisher Scientific presents data demonstrating the effectiveness of the </w:t>
      </w:r>
      <w:proofErr w:type="spellStart"/>
      <w:r w:rsidRPr="00580B00">
        <w:rPr>
          <w:sz w:val="22"/>
          <w:szCs w:val="22"/>
        </w:rPr>
        <w:t>MagMax</w:t>
      </w:r>
      <w:proofErr w:type="spellEnd"/>
      <w:r w:rsidRPr="00580B00">
        <w:rPr>
          <w:sz w:val="22"/>
          <w:szCs w:val="22"/>
        </w:rPr>
        <w:t xml:space="preserve"> Microbiome Ultra Nucleic Acid Isolation Kit for extracting nucleic acids from soil samples, stool samples, skin swabs, armpit swabs, cow milk, and human milk.</w:t>
      </w:r>
    </w:p>
    <w:p w14:paraId="7E391E83" w14:textId="77777777" w:rsidR="00BE170F" w:rsidRPr="00580B00" w:rsidRDefault="00BE170F" w:rsidP="00BE170F">
      <w:pPr>
        <w:rPr>
          <w:sz w:val="22"/>
          <w:szCs w:val="22"/>
        </w:rPr>
      </w:pPr>
    </w:p>
    <w:p w14:paraId="705480E5" w14:textId="77777777" w:rsidR="00BE170F" w:rsidRDefault="00BE170F" w:rsidP="00BE170F">
      <w:pPr>
        <w:rPr>
          <w:sz w:val="22"/>
          <w:szCs w:val="22"/>
        </w:rPr>
      </w:pPr>
      <w:r w:rsidRPr="00580B00">
        <w:rPr>
          <w:sz w:val="22"/>
          <w:szCs w:val="22"/>
        </w:rPr>
        <w:t xml:space="preserve">Download it from </w:t>
      </w:r>
      <w:proofErr w:type="spellStart"/>
      <w:r w:rsidRPr="00580B00">
        <w:rPr>
          <w:sz w:val="22"/>
          <w:szCs w:val="22"/>
        </w:rPr>
        <w:t>GenomeWeb’s</w:t>
      </w:r>
      <w:proofErr w:type="spellEnd"/>
      <w:r w:rsidRPr="00580B00">
        <w:rPr>
          <w:sz w:val="22"/>
          <w:szCs w:val="22"/>
        </w:rPr>
        <w:t xml:space="preserve"> </w:t>
      </w:r>
      <w:hyperlink r:id="rId1118" w:history="1">
        <w:r w:rsidRPr="00580B00">
          <w:rPr>
            <w:rStyle w:val="Hyperlink"/>
            <w:sz w:val="22"/>
            <w:szCs w:val="22"/>
          </w:rPr>
          <w:t>White Paper Channel.</w:t>
        </w:r>
      </w:hyperlink>
    </w:p>
    <w:p w14:paraId="74E1D463" w14:textId="77777777" w:rsidR="00BE170F" w:rsidRPr="00037C3A" w:rsidRDefault="00BE170F" w:rsidP="00BE170F">
      <w:pPr>
        <w:rPr>
          <w:sz w:val="22"/>
          <w:szCs w:val="22"/>
        </w:rPr>
      </w:pPr>
    </w:p>
    <w:p w14:paraId="169DDC45" w14:textId="77777777" w:rsidR="00BE170F" w:rsidRPr="00037C3A" w:rsidRDefault="00BE170F" w:rsidP="00BE170F">
      <w:pPr>
        <w:rPr>
          <w:sz w:val="22"/>
          <w:szCs w:val="22"/>
        </w:rPr>
      </w:pPr>
      <w:r w:rsidRPr="00037C3A">
        <w:rPr>
          <w:sz w:val="22"/>
          <w:szCs w:val="22"/>
        </w:rPr>
        <w:t>--</w:t>
      </w:r>
    </w:p>
    <w:p w14:paraId="4117F1BF" w14:textId="77777777" w:rsidR="00BE170F" w:rsidRPr="00037C3A" w:rsidRDefault="00BE170F" w:rsidP="00BE170F">
      <w:pPr>
        <w:rPr>
          <w:sz w:val="22"/>
          <w:szCs w:val="22"/>
        </w:rPr>
      </w:pPr>
    </w:p>
    <w:p w14:paraId="4EA20C72" w14:textId="77777777" w:rsidR="00BE170F" w:rsidRPr="00037C3A" w:rsidRDefault="00BE170F" w:rsidP="00BE170F">
      <w:pPr>
        <w:rPr>
          <w:b/>
          <w:bCs/>
          <w:i/>
          <w:iCs/>
          <w:sz w:val="22"/>
          <w:szCs w:val="22"/>
        </w:rPr>
      </w:pPr>
      <w:proofErr w:type="spellStart"/>
      <w:r w:rsidRPr="00037C3A">
        <w:rPr>
          <w:b/>
          <w:bCs/>
          <w:i/>
          <w:iCs/>
          <w:sz w:val="22"/>
          <w:szCs w:val="22"/>
        </w:rPr>
        <w:t>Thermo</w:t>
      </w:r>
      <w:proofErr w:type="spellEnd"/>
      <w:r w:rsidRPr="00037C3A">
        <w:rPr>
          <w:b/>
          <w:bCs/>
          <w:i/>
          <w:iCs/>
          <w:sz w:val="22"/>
          <w:szCs w:val="22"/>
        </w:rPr>
        <w:t xml:space="preserve"> Fisher White Paper 2</w:t>
      </w:r>
      <w:r>
        <w:rPr>
          <w:b/>
          <w:bCs/>
          <w:i/>
          <w:iCs/>
          <w:sz w:val="22"/>
          <w:szCs w:val="22"/>
        </w:rPr>
        <w:t>1</w:t>
      </w:r>
      <w:r w:rsidRPr="00037C3A">
        <w:rPr>
          <w:b/>
          <w:bCs/>
          <w:i/>
          <w:iCs/>
          <w:sz w:val="22"/>
          <w:szCs w:val="22"/>
        </w:rPr>
        <w:t>:</w:t>
      </w:r>
    </w:p>
    <w:p w14:paraId="39C44602" w14:textId="77777777" w:rsidR="00BE170F" w:rsidRPr="00037C3A" w:rsidRDefault="00BE170F" w:rsidP="00BE170F">
      <w:pPr>
        <w:rPr>
          <w:sz w:val="22"/>
          <w:szCs w:val="22"/>
        </w:rPr>
      </w:pPr>
    </w:p>
    <w:p w14:paraId="39BE9757" w14:textId="77777777" w:rsidR="00BE170F" w:rsidRPr="00037C3A" w:rsidRDefault="00BE170F" w:rsidP="00BE170F">
      <w:pPr>
        <w:rPr>
          <w:sz w:val="22"/>
          <w:szCs w:val="22"/>
        </w:rPr>
      </w:pPr>
      <w:r w:rsidRPr="00037C3A">
        <w:rPr>
          <w:b/>
          <w:bCs/>
          <w:sz w:val="22"/>
          <w:szCs w:val="22"/>
        </w:rPr>
        <w:t>Title:</w:t>
      </w:r>
      <w:r w:rsidRPr="00037C3A">
        <w:rPr>
          <w:sz w:val="22"/>
          <w:szCs w:val="22"/>
        </w:rPr>
        <w:t xml:space="preserve"> A Complete Workflow Solution for Detecting Respiratory Tract Microbiota</w:t>
      </w:r>
    </w:p>
    <w:p w14:paraId="5FC0AB90" w14:textId="77777777" w:rsidR="00BE170F" w:rsidRPr="00037C3A" w:rsidRDefault="00BE170F" w:rsidP="00BE170F">
      <w:pPr>
        <w:rPr>
          <w:sz w:val="22"/>
          <w:szCs w:val="22"/>
        </w:rPr>
      </w:pPr>
    </w:p>
    <w:p w14:paraId="7D828DAC" w14:textId="77777777" w:rsidR="00BE170F" w:rsidRPr="00037C3A" w:rsidRDefault="00BE170F" w:rsidP="00BE170F">
      <w:pPr>
        <w:rPr>
          <w:sz w:val="22"/>
          <w:szCs w:val="22"/>
        </w:rPr>
      </w:pPr>
      <w:r w:rsidRPr="00037C3A">
        <w:rPr>
          <w:b/>
          <w:bCs/>
          <w:sz w:val="22"/>
          <w:szCs w:val="22"/>
        </w:rPr>
        <w:t>Body:</w:t>
      </w:r>
      <w:r w:rsidRPr="00037C3A">
        <w:rPr>
          <w:sz w:val="22"/>
          <w:szCs w:val="22"/>
        </w:rPr>
        <w:t xml:space="preserve"> This application </w:t>
      </w:r>
      <w:proofErr w:type="gramStart"/>
      <w:r w:rsidRPr="00037C3A">
        <w:rPr>
          <w:sz w:val="22"/>
          <w:szCs w:val="22"/>
        </w:rPr>
        <w:t>note</w:t>
      </w:r>
      <w:proofErr w:type="gramEnd"/>
      <w:r w:rsidRPr="00037C3A">
        <w:rPr>
          <w:sz w:val="22"/>
          <w:szCs w:val="22"/>
        </w:rPr>
        <w:t xml:space="preserve"> from </w:t>
      </w:r>
      <w:proofErr w:type="spellStart"/>
      <w:r w:rsidRPr="00037C3A">
        <w:rPr>
          <w:sz w:val="22"/>
          <w:szCs w:val="22"/>
        </w:rPr>
        <w:t>Thermo</w:t>
      </w:r>
      <w:proofErr w:type="spellEnd"/>
      <w:r w:rsidRPr="00037C3A">
        <w:rPr>
          <w:sz w:val="22"/>
          <w:szCs w:val="22"/>
        </w:rPr>
        <w:t xml:space="preserve"> Fisher Scientific presents data demonstrating the sensitivity and specificity of the Applied Biosystems TaqMan Array Respiratory Tract Microbiota Comprehensive Card in detecting a range of common and opportunistic respiratory pathogens and describes an end-to-end workflow for respiratory pathogen detection.</w:t>
      </w:r>
    </w:p>
    <w:p w14:paraId="148201F0" w14:textId="77777777" w:rsidR="00BE170F" w:rsidRPr="00037C3A" w:rsidRDefault="00BE170F" w:rsidP="00BE170F">
      <w:pPr>
        <w:rPr>
          <w:sz w:val="22"/>
          <w:szCs w:val="22"/>
        </w:rPr>
      </w:pPr>
    </w:p>
    <w:p w14:paraId="5A9110CE" w14:textId="77777777" w:rsidR="00BE170F" w:rsidRPr="00037C3A" w:rsidRDefault="00BE170F" w:rsidP="00BE170F">
      <w:pPr>
        <w:rPr>
          <w:sz w:val="22"/>
          <w:szCs w:val="22"/>
        </w:rPr>
      </w:pPr>
      <w:r w:rsidRPr="00037C3A">
        <w:rPr>
          <w:sz w:val="22"/>
          <w:szCs w:val="22"/>
        </w:rPr>
        <w:t xml:space="preserve">Download it from </w:t>
      </w:r>
      <w:proofErr w:type="spellStart"/>
      <w:r w:rsidRPr="00037C3A">
        <w:rPr>
          <w:sz w:val="22"/>
          <w:szCs w:val="22"/>
        </w:rPr>
        <w:t>GenomeWeb’s</w:t>
      </w:r>
      <w:proofErr w:type="spellEnd"/>
      <w:r w:rsidRPr="00037C3A">
        <w:rPr>
          <w:sz w:val="22"/>
          <w:szCs w:val="22"/>
        </w:rPr>
        <w:t xml:space="preserve"> </w:t>
      </w:r>
      <w:hyperlink r:id="rId1119" w:history="1">
        <w:r w:rsidRPr="00037C3A">
          <w:rPr>
            <w:rStyle w:val="Hyperlink"/>
            <w:sz w:val="22"/>
            <w:szCs w:val="22"/>
          </w:rPr>
          <w:t>White Paper Channel.</w:t>
        </w:r>
      </w:hyperlink>
    </w:p>
    <w:p w14:paraId="0A3E86A8" w14:textId="77777777" w:rsidR="00BE170F" w:rsidRPr="00D23244" w:rsidRDefault="00BE170F" w:rsidP="00BE170F">
      <w:pPr>
        <w:rPr>
          <w:sz w:val="22"/>
          <w:szCs w:val="22"/>
        </w:rPr>
      </w:pPr>
    </w:p>
    <w:p w14:paraId="1BC08A04" w14:textId="77777777" w:rsidR="00BE170F" w:rsidRPr="00D23244" w:rsidRDefault="00BE170F" w:rsidP="00BE170F">
      <w:pPr>
        <w:rPr>
          <w:sz w:val="22"/>
          <w:szCs w:val="22"/>
        </w:rPr>
      </w:pPr>
      <w:r w:rsidRPr="00D23244">
        <w:rPr>
          <w:sz w:val="22"/>
          <w:szCs w:val="22"/>
        </w:rPr>
        <w:t>--</w:t>
      </w:r>
    </w:p>
    <w:p w14:paraId="447B6AA8" w14:textId="77777777" w:rsidR="00BE170F" w:rsidRPr="00D23244" w:rsidRDefault="00BE170F" w:rsidP="00BE170F">
      <w:pPr>
        <w:rPr>
          <w:sz w:val="22"/>
          <w:szCs w:val="22"/>
        </w:rPr>
      </w:pPr>
    </w:p>
    <w:p w14:paraId="4DB79981" w14:textId="77777777" w:rsidR="00BE170F" w:rsidRPr="00D23244" w:rsidRDefault="00BE170F" w:rsidP="00BE170F">
      <w:pPr>
        <w:rPr>
          <w:b/>
          <w:bCs/>
          <w:i/>
          <w:iCs/>
          <w:sz w:val="22"/>
          <w:szCs w:val="22"/>
        </w:rPr>
      </w:pPr>
      <w:proofErr w:type="spellStart"/>
      <w:r w:rsidRPr="00D23244">
        <w:rPr>
          <w:b/>
          <w:bCs/>
          <w:i/>
          <w:iCs/>
          <w:sz w:val="22"/>
          <w:szCs w:val="22"/>
        </w:rPr>
        <w:lastRenderedPageBreak/>
        <w:t>Thermo</w:t>
      </w:r>
      <w:proofErr w:type="spellEnd"/>
      <w:r w:rsidRPr="00D23244">
        <w:rPr>
          <w:b/>
          <w:bCs/>
          <w:i/>
          <w:iCs/>
          <w:sz w:val="22"/>
          <w:szCs w:val="22"/>
        </w:rPr>
        <w:t xml:space="preserve"> Fisher White Paper 2</w:t>
      </w:r>
      <w:r>
        <w:rPr>
          <w:b/>
          <w:bCs/>
          <w:i/>
          <w:iCs/>
          <w:sz w:val="22"/>
          <w:szCs w:val="22"/>
        </w:rPr>
        <w:t>2</w:t>
      </w:r>
      <w:r w:rsidRPr="00D23244">
        <w:rPr>
          <w:b/>
          <w:bCs/>
          <w:i/>
          <w:iCs/>
          <w:sz w:val="22"/>
          <w:szCs w:val="22"/>
        </w:rPr>
        <w:t>:</w:t>
      </w:r>
    </w:p>
    <w:p w14:paraId="1788C7FA" w14:textId="77777777" w:rsidR="00BE170F" w:rsidRPr="00D23244" w:rsidRDefault="00BE170F" w:rsidP="00BE170F">
      <w:pPr>
        <w:rPr>
          <w:sz w:val="22"/>
          <w:szCs w:val="22"/>
        </w:rPr>
      </w:pPr>
    </w:p>
    <w:p w14:paraId="756C7AB0" w14:textId="77777777" w:rsidR="00BE170F" w:rsidRPr="00D23244" w:rsidRDefault="00BE170F" w:rsidP="00BE170F">
      <w:pPr>
        <w:rPr>
          <w:sz w:val="22"/>
          <w:szCs w:val="22"/>
        </w:rPr>
      </w:pPr>
      <w:r w:rsidRPr="00D23244">
        <w:rPr>
          <w:b/>
          <w:bCs/>
          <w:sz w:val="22"/>
          <w:szCs w:val="22"/>
        </w:rPr>
        <w:t>Title:</w:t>
      </w:r>
      <w:r w:rsidRPr="00D23244">
        <w:rPr>
          <w:sz w:val="22"/>
          <w:szCs w:val="22"/>
        </w:rPr>
        <w:t xml:space="preserve"> A High-Throughput Workflow for Profiling Vaginal Microbiota</w:t>
      </w:r>
    </w:p>
    <w:p w14:paraId="5DABACF8" w14:textId="77777777" w:rsidR="00BE170F" w:rsidRPr="00D23244" w:rsidRDefault="00BE170F" w:rsidP="00BE170F">
      <w:pPr>
        <w:rPr>
          <w:sz w:val="22"/>
          <w:szCs w:val="22"/>
        </w:rPr>
      </w:pPr>
    </w:p>
    <w:p w14:paraId="1E1789D3" w14:textId="77777777" w:rsidR="00BE170F" w:rsidRPr="00D23244" w:rsidRDefault="00BE170F" w:rsidP="00BE170F">
      <w:pPr>
        <w:rPr>
          <w:sz w:val="22"/>
          <w:szCs w:val="22"/>
        </w:rPr>
      </w:pPr>
      <w:r w:rsidRPr="00D23244">
        <w:rPr>
          <w:b/>
          <w:bCs/>
          <w:sz w:val="22"/>
          <w:szCs w:val="22"/>
        </w:rPr>
        <w:t>Body:</w:t>
      </w:r>
      <w:r w:rsidRPr="00D23244">
        <w:rPr>
          <w:sz w:val="22"/>
          <w:szCs w:val="22"/>
        </w:rPr>
        <w:t xml:space="preserve"> This application note from </w:t>
      </w:r>
      <w:proofErr w:type="spellStart"/>
      <w:r w:rsidRPr="00D23244">
        <w:rPr>
          <w:sz w:val="22"/>
          <w:szCs w:val="22"/>
        </w:rPr>
        <w:t>Thermo</w:t>
      </w:r>
      <w:proofErr w:type="spellEnd"/>
      <w:r w:rsidRPr="00D23244">
        <w:rPr>
          <w:sz w:val="22"/>
          <w:szCs w:val="22"/>
        </w:rPr>
        <w:t xml:space="preserve"> Fisher Scientific describes a semi-automatable, end-to-end workflow for profiling commensal and pathogenic vaginal microbiota — including gram-positive and gram-negative bacteria, yeasts, viruses, and protozoa — compatible with multiple storage and collection solutions. </w:t>
      </w:r>
    </w:p>
    <w:p w14:paraId="080F346E" w14:textId="77777777" w:rsidR="00BE170F" w:rsidRPr="00D23244" w:rsidRDefault="00BE170F" w:rsidP="00BE170F">
      <w:pPr>
        <w:rPr>
          <w:sz w:val="22"/>
          <w:szCs w:val="22"/>
        </w:rPr>
      </w:pPr>
    </w:p>
    <w:p w14:paraId="4A5B0C18" w14:textId="77777777" w:rsidR="00BE170F" w:rsidRPr="00D23244" w:rsidRDefault="00BE170F" w:rsidP="00BE170F">
      <w:pPr>
        <w:rPr>
          <w:sz w:val="22"/>
          <w:szCs w:val="22"/>
        </w:rPr>
      </w:pPr>
      <w:r w:rsidRPr="00D23244">
        <w:rPr>
          <w:sz w:val="22"/>
          <w:szCs w:val="22"/>
        </w:rPr>
        <w:t xml:space="preserve">Download it from </w:t>
      </w:r>
      <w:proofErr w:type="spellStart"/>
      <w:r w:rsidRPr="00D23244">
        <w:rPr>
          <w:sz w:val="22"/>
          <w:szCs w:val="22"/>
        </w:rPr>
        <w:t>GenomeWeb’s</w:t>
      </w:r>
      <w:proofErr w:type="spellEnd"/>
      <w:r w:rsidRPr="00D23244">
        <w:rPr>
          <w:sz w:val="22"/>
          <w:szCs w:val="22"/>
        </w:rPr>
        <w:t xml:space="preserve"> </w:t>
      </w:r>
      <w:hyperlink r:id="rId1120" w:history="1">
        <w:r w:rsidRPr="00D23244">
          <w:rPr>
            <w:rStyle w:val="Hyperlink"/>
            <w:sz w:val="22"/>
            <w:szCs w:val="22"/>
          </w:rPr>
          <w:t>White Paper Channel</w:t>
        </w:r>
      </w:hyperlink>
      <w:r w:rsidRPr="00D23244">
        <w:rPr>
          <w:sz w:val="22"/>
          <w:szCs w:val="22"/>
        </w:rPr>
        <w:t>.</w:t>
      </w:r>
    </w:p>
    <w:p w14:paraId="21EBCE09" w14:textId="77777777" w:rsidR="00BE170F" w:rsidRPr="00A67383" w:rsidRDefault="00BE170F" w:rsidP="00BE170F">
      <w:pPr>
        <w:rPr>
          <w:sz w:val="22"/>
          <w:szCs w:val="22"/>
        </w:rPr>
      </w:pPr>
    </w:p>
    <w:p w14:paraId="6E4BF686" w14:textId="77777777" w:rsidR="00BE170F" w:rsidRPr="00A67383" w:rsidRDefault="00BE170F" w:rsidP="00BE170F">
      <w:pPr>
        <w:rPr>
          <w:sz w:val="22"/>
          <w:szCs w:val="22"/>
        </w:rPr>
      </w:pPr>
      <w:r w:rsidRPr="00A67383">
        <w:rPr>
          <w:sz w:val="22"/>
          <w:szCs w:val="22"/>
        </w:rPr>
        <w:t>--</w:t>
      </w:r>
    </w:p>
    <w:p w14:paraId="733D68EA" w14:textId="77777777" w:rsidR="00BE170F" w:rsidRPr="00A67383" w:rsidRDefault="00BE170F" w:rsidP="00BE170F">
      <w:pPr>
        <w:rPr>
          <w:sz w:val="22"/>
          <w:szCs w:val="22"/>
        </w:rPr>
      </w:pPr>
    </w:p>
    <w:p w14:paraId="15EECB20" w14:textId="77777777" w:rsidR="00BE170F" w:rsidRPr="00A67383" w:rsidRDefault="00BE170F" w:rsidP="00BE170F">
      <w:pPr>
        <w:rPr>
          <w:b/>
          <w:bCs/>
          <w:i/>
          <w:iCs/>
          <w:sz w:val="22"/>
          <w:szCs w:val="22"/>
        </w:rPr>
      </w:pPr>
      <w:r w:rsidRPr="00530E3C">
        <w:rPr>
          <w:b/>
          <w:bCs/>
          <w:i/>
          <w:iCs/>
          <w:sz w:val="22"/>
          <w:szCs w:val="22"/>
        </w:rPr>
        <w:t>Tecan White Paper 14</w:t>
      </w:r>
      <w:r w:rsidRPr="00A67383">
        <w:rPr>
          <w:b/>
          <w:bCs/>
          <w:i/>
          <w:iCs/>
          <w:sz w:val="22"/>
          <w:szCs w:val="22"/>
        </w:rPr>
        <w:t>:</w:t>
      </w:r>
    </w:p>
    <w:p w14:paraId="04F356AE" w14:textId="77777777" w:rsidR="00BE170F" w:rsidRPr="00A67383" w:rsidRDefault="00BE170F" w:rsidP="00BE170F">
      <w:pPr>
        <w:rPr>
          <w:sz w:val="22"/>
          <w:szCs w:val="22"/>
        </w:rPr>
      </w:pPr>
    </w:p>
    <w:p w14:paraId="17F6CC95" w14:textId="77777777" w:rsidR="00854916" w:rsidRPr="00854916" w:rsidRDefault="00854916" w:rsidP="00854916">
      <w:pPr>
        <w:rPr>
          <w:rFonts w:eastAsiaTheme="minorHAnsi"/>
          <w:sz w:val="22"/>
          <w:szCs w:val="22"/>
        </w:rPr>
      </w:pPr>
      <w:r w:rsidRPr="00854916">
        <w:rPr>
          <w:b/>
          <w:bCs/>
          <w:sz w:val="22"/>
          <w:szCs w:val="22"/>
        </w:rPr>
        <w:t>Title:</w:t>
      </w:r>
      <w:r w:rsidRPr="00854916">
        <w:rPr>
          <w:sz w:val="22"/>
          <w:szCs w:val="22"/>
        </w:rPr>
        <w:t xml:space="preserve"> Simplified Automated Library Preparation</w:t>
      </w:r>
    </w:p>
    <w:p w14:paraId="72132C72" w14:textId="77777777" w:rsidR="00854916" w:rsidRPr="00854916" w:rsidRDefault="00854916" w:rsidP="00854916">
      <w:pPr>
        <w:rPr>
          <w:sz w:val="22"/>
          <w:szCs w:val="22"/>
        </w:rPr>
      </w:pPr>
    </w:p>
    <w:p w14:paraId="649CF3B8" w14:textId="77777777" w:rsidR="00854916" w:rsidRPr="00854916" w:rsidRDefault="00854916" w:rsidP="00854916">
      <w:pPr>
        <w:rPr>
          <w:sz w:val="22"/>
          <w:szCs w:val="22"/>
        </w:rPr>
      </w:pPr>
      <w:r w:rsidRPr="00854916">
        <w:rPr>
          <w:b/>
          <w:bCs/>
          <w:sz w:val="22"/>
          <w:szCs w:val="22"/>
        </w:rPr>
        <w:t>Body:</w:t>
      </w:r>
      <w:r w:rsidRPr="00854916">
        <w:rPr>
          <w:sz w:val="22"/>
          <w:szCs w:val="22"/>
        </w:rPr>
        <w:t xml:space="preserve"> This application note from Tecan presents data supporting the use of the </w:t>
      </w:r>
      <w:proofErr w:type="spellStart"/>
      <w:r w:rsidRPr="00854916">
        <w:rPr>
          <w:sz w:val="22"/>
          <w:szCs w:val="22"/>
        </w:rPr>
        <w:t>MagicPrep</w:t>
      </w:r>
      <w:proofErr w:type="spellEnd"/>
      <w:r w:rsidRPr="00854916">
        <w:rPr>
          <w:sz w:val="22"/>
          <w:szCs w:val="22"/>
        </w:rPr>
        <w:t xml:space="preserve"> NGS system, which combines automation, software, scripts, reagents, and consumables into a simplified workflow to generate libraries for Illumina sequencing platforms.</w:t>
      </w:r>
    </w:p>
    <w:p w14:paraId="743EBFAB" w14:textId="77777777" w:rsidR="00854916" w:rsidRPr="00854916" w:rsidRDefault="00854916" w:rsidP="00854916">
      <w:pPr>
        <w:rPr>
          <w:sz w:val="22"/>
          <w:szCs w:val="22"/>
        </w:rPr>
      </w:pPr>
    </w:p>
    <w:p w14:paraId="264BFD8E" w14:textId="77777777" w:rsidR="00854916" w:rsidRPr="00854916" w:rsidRDefault="00854916" w:rsidP="00854916">
      <w:pPr>
        <w:rPr>
          <w:sz w:val="22"/>
          <w:szCs w:val="22"/>
        </w:rPr>
      </w:pPr>
      <w:r w:rsidRPr="00854916">
        <w:rPr>
          <w:sz w:val="22"/>
          <w:szCs w:val="22"/>
        </w:rPr>
        <w:t>For research use only. Not for use in diagnostic procedures.</w:t>
      </w:r>
    </w:p>
    <w:p w14:paraId="4C4B02EF" w14:textId="77777777" w:rsidR="00854916" w:rsidRPr="00854916" w:rsidRDefault="00854916" w:rsidP="00854916">
      <w:pPr>
        <w:rPr>
          <w:sz w:val="22"/>
          <w:szCs w:val="22"/>
        </w:rPr>
      </w:pPr>
    </w:p>
    <w:p w14:paraId="74BC5633" w14:textId="77777777" w:rsidR="00854916" w:rsidRPr="00854916" w:rsidRDefault="00854916" w:rsidP="00854916">
      <w:pPr>
        <w:rPr>
          <w:sz w:val="22"/>
          <w:szCs w:val="22"/>
        </w:rPr>
      </w:pPr>
      <w:r w:rsidRPr="00854916">
        <w:rPr>
          <w:sz w:val="22"/>
          <w:szCs w:val="22"/>
        </w:rPr>
        <w:t xml:space="preserve">Download it from </w:t>
      </w:r>
      <w:proofErr w:type="spellStart"/>
      <w:r w:rsidRPr="00854916">
        <w:rPr>
          <w:sz w:val="22"/>
          <w:szCs w:val="22"/>
        </w:rPr>
        <w:t>GenomeWeb’s</w:t>
      </w:r>
      <w:proofErr w:type="spellEnd"/>
      <w:r w:rsidRPr="00854916">
        <w:rPr>
          <w:sz w:val="22"/>
          <w:szCs w:val="22"/>
        </w:rPr>
        <w:t xml:space="preserve"> </w:t>
      </w:r>
      <w:hyperlink r:id="rId1121" w:history="1">
        <w:r w:rsidRPr="00854916">
          <w:rPr>
            <w:rStyle w:val="Hyperlink"/>
            <w:sz w:val="22"/>
            <w:szCs w:val="22"/>
          </w:rPr>
          <w:t>White Paper Channel.</w:t>
        </w:r>
      </w:hyperlink>
    </w:p>
    <w:p w14:paraId="78216B72" w14:textId="77777777" w:rsidR="00BE170F" w:rsidRPr="009A3AFC" w:rsidRDefault="00BE170F" w:rsidP="00BE170F">
      <w:pPr>
        <w:rPr>
          <w:sz w:val="22"/>
          <w:szCs w:val="22"/>
        </w:rPr>
      </w:pPr>
    </w:p>
    <w:p w14:paraId="3523DA51" w14:textId="77777777" w:rsidR="00BE170F" w:rsidRPr="009A3AFC" w:rsidRDefault="00BE170F" w:rsidP="00BE170F">
      <w:pPr>
        <w:rPr>
          <w:sz w:val="22"/>
          <w:szCs w:val="22"/>
        </w:rPr>
      </w:pPr>
      <w:r w:rsidRPr="009A3AFC">
        <w:rPr>
          <w:sz w:val="22"/>
          <w:szCs w:val="22"/>
        </w:rPr>
        <w:t>--</w:t>
      </w:r>
    </w:p>
    <w:p w14:paraId="3B7B3077" w14:textId="77777777" w:rsidR="00BE170F" w:rsidRPr="009A3AFC" w:rsidRDefault="00BE170F" w:rsidP="00BE170F">
      <w:pPr>
        <w:rPr>
          <w:sz w:val="22"/>
          <w:szCs w:val="22"/>
        </w:rPr>
      </w:pPr>
    </w:p>
    <w:p w14:paraId="7FFF134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GW Webinar 2</w:t>
      </w:r>
      <w:r w:rsidRPr="009A3AFC">
        <w:rPr>
          <w:b/>
          <w:bCs/>
          <w:i/>
          <w:iCs/>
          <w:sz w:val="22"/>
          <w:szCs w:val="22"/>
        </w:rPr>
        <w:t>:</w:t>
      </w:r>
    </w:p>
    <w:p w14:paraId="77947B83" w14:textId="77777777" w:rsidR="00BE170F" w:rsidRPr="009A3AFC" w:rsidRDefault="00BE170F" w:rsidP="00BE170F">
      <w:pPr>
        <w:rPr>
          <w:sz w:val="22"/>
          <w:szCs w:val="22"/>
        </w:rPr>
      </w:pPr>
    </w:p>
    <w:p w14:paraId="16534B40"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147A9711" w14:textId="77777777" w:rsidR="00BE170F" w:rsidRPr="009A3AFC" w:rsidRDefault="00BE170F" w:rsidP="00BE170F">
      <w:pPr>
        <w:rPr>
          <w:sz w:val="22"/>
          <w:szCs w:val="22"/>
        </w:rPr>
      </w:pPr>
    </w:p>
    <w:p w14:paraId="3E021F39"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7274A273" w14:textId="77777777" w:rsidR="00BE170F" w:rsidRPr="009A3AFC" w:rsidRDefault="00BE170F" w:rsidP="00BE170F">
      <w:pPr>
        <w:rPr>
          <w:sz w:val="22"/>
          <w:szCs w:val="22"/>
        </w:rPr>
      </w:pPr>
    </w:p>
    <w:p w14:paraId="7F890052" w14:textId="77777777" w:rsidR="00BE170F" w:rsidRPr="009A3AFC" w:rsidRDefault="00BE170F" w:rsidP="00BE170F">
      <w:pPr>
        <w:rPr>
          <w:sz w:val="22"/>
          <w:szCs w:val="22"/>
        </w:rPr>
      </w:pPr>
      <w:r w:rsidRPr="009A3AFC">
        <w:rPr>
          <w:sz w:val="22"/>
          <w:szCs w:val="22"/>
        </w:rPr>
        <w:t xml:space="preserve">Download it from </w:t>
      </w:r>
      <w:proofErr w:type="spellStart"/>
      <w:r w:rsidRPr="009A3AFC">
        <w:rPr>
          <w:sz w:val="22"/>
          <w:szCs w:val="22"/>
        </w:rPr>
        <w:t>GenomeWeb’s</w:t>
      </w:r>
      <w:proofErr w:type="spellEnd"/>
      <w:r w:rsidRPr="009A3AFC">
        <w:rPr>
          <w:sz w:val="22"/>
          <w:szCs w:val="22"/>
        </w:rPr>
        <w:t xml:space="preserve"> </w:t>
      </w:r>
      <w:hyperlink r:id="rId1122" w:history="1">
        <w:r w:rsidRPr="009A3AFC">
          <w:rPr>
            <w:rStyle w:val="Hyperlink"/>
            <w:sz w:val="22"/>
            <w:szCs w:val="22"/>
          </w:rPr>
          <w:t>Webinar Library.</w:t>
        </w:r>
      </w:hyperlink>
    </w:p>
    <w:p w14:paraId="45DE5561" w14:textId="77777777" w:rsidR="00BE170F" w:rsidRPr="009A3AFC" w:rsidRDefault="00BE170F" w:rsidP="00BE170F">
      <w:pPr>
        <w:rPr>
          <w:sz w:val="22"/>
          <w:szCs w:val="22"/>
        </w:rPr>
      </w:pPr>
    </w:p>
    <w:p w14:paraId="7D7E535C" w14:textId="77777777" w:rsidR="00BE170F" w:rsidRPr="009A3AFC" w:rsidRDefault="00BE170F" w:rsidP="00BE170F">
      <w:pPr>
        <w:rPr>
          <w:sz w:val="22"/>
          <w:szCs w:val="22"/>
        </w:rPr>
      </w:pPr>
      <w:r w:rsidRPr="009A3AFC">
        <w:rPr>
          <w:sz w:val="22"/>
          <w:szCs w:val="22"/>
        </w:rPr>
        <w:t>--</w:t>
      </w:r>
    </w:p>
    <w:p w14:paraId="7250EA8D" w14:textId="77777777" w:rsidR="00BE170F" w:rsidRPr="009A3AFC" w:rsidRDefault="00BE170F" w:rsidP="00BE170F">
      <w:pPr>
        <w:rPr>
          <w:sz w:val="22"/>
          <w:szCs w:val="22"/>
        </w:rPr>
      </w:pPr>
    </w:p>
    <w:p w14:paraId="2543266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PON Webinar 2</w:t>
      </w:r>
      <w:r w:rsidRPr="009A3AFC">
        <w:rPr>
          <w:b/>
          <w:bCs/>
          <w:i/>
          <w:iCs/>
          <w:sz w:val="22"/>
          <w:szCs w:val="22"/>
        </w:rPr>
        <w:t>:</w:t>
      </w:r>
    </w:p>
    <w:p w14:paraId="1C25D92D" w14:textId="77777777" w:rsidR="00BE170F" w:rsidRPr="009A3AFC" w:rsidRDefault="00BE170F" w:rsidP="00BE170F">
      <w:pPr>
        <w:rPr>
          <w:sz w:val="22"/>
          <w:szCs w:val="22"/>
        </w:rPr>
      </w:pPr>
    </w:p>
    <w:p w14:paraId="730941F3"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453406BB" w14:textId="77777777" w:rsidR="00BE170F" w:rsidRPr="009A3AFC" w:rsidRDefault="00BE170F" w:rsidP="00BE170F">
      <w:pPr>
        <w:rPr>
          <w:sz w:val="22"/>
          <w:szCs w:val="22"/>
        </w:rPr>
      </w:pPr>
    </w:p>
    <w:p w14:paraId="77F30CB8"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423BF86A" w14:textId="77777777" w:rsidR="00BE170F" w:rsidRPr="009A3AFC" w:rsidRDefault="00BE170F" w:rsidP="00BE170F">
      <w:pPr>
        <w:rPr>
          <w:sz w:val="22"/>
          <w:szCs w:val="22"/>
        </w:rPr>
      </w:pPr>
    </w:p>
    <w:p w14:paraId="11B5C0DE" w14:textId="77777777" w:rsidR="00BE170F" w:rsidRPr="009A3AFC" w:rsidRDefault="00BE170F" w:rsidP="00BE170F">
      <w:pPr>
        <w:rPr>
          <w:sz w:val="22"/>
          <w:szCs w:val="22"/>
        </w:rPr>
      </w:pPr>
    </w:p>
    <w:p w14:paraId="04B4CDA2" w14:textId="77777777" w:rsidR="00BE170F" w:rsidRPr="009A3AFC" w:rsidRDefault="00BE170F" w:rsidP="00BE170F">
      <w:pPr>
        <w:rPr>
          <w:sz w:val="22"/>
          <w:szCs w:val="22"/>
        </w:rPr>
      </w:pPr>
      <w:r w:rsidRPr="009A3AFC">
        <w:rPr>
          <w:sz w:val="22"/>
          <w:szCs w:val="22"/>
        </w:rPr>
        <w:t xml:space="preserve">Download it from the </w:t>
      </w:r>
      <w:hyperlink r:id="rId1123" w:history="1">
        <w:r w:rsidRPr="009A3AFC">
          <w:rPr>
            <w:rStyle w:val="Hyperlink"/>
            <w:sz w:val="22"/>
            <w:szCs w:val="22"/>
          </w:rPr>
          <w:t>Precision Oncology News Webinar Library.</w:t>
        </w:r>
      </w:hyperlink>
    </w:p>
    <w:p w14:paraId="2741702F" w14:textId="77777777" w:rsidR="00BE170F" w:rsidRPr="00311E0D" w:rsidRDefault="00BE170F" w:rsidP="00BE170F">
      <w:pPr>
        <w:rPr>
          <w:sz w:val="22"/>
          <w:szCs w:val="22"/>
        </w:rPr>
      </w:pPr>
    </w:p>
    <w:p w14:paraId="1479749F" w14:textId="77777777" w:rsidR="00BE170F" w:rsidRPr="00311E0D" w:rsidRDefault="00BE170F" w:rsidP="00BE170F">
      <w:pPr>
        <w:rPr>
          <w:sz w:val="22"/>
          <w:szCs w:val="22"/>
        </w:rPr>
      </w:pPr>
      <w:r w:rsidRPr="00311E0D">
        <w:rPr>
          <w:sz w:val="22"/>
          <w:szCs w:val="22"/>
        </w:rPr>
        <w:t>--</w:t>
      </w:r>
    </w:p>
    <w:p w14:paraId="127BBE6C" w14:textId="77777777" w:rsidR="00BE170F" w:rsidRPr="00311E0D" w:rsidRDefault="00BE170F" w:rsidP="00BE170F">
      <w:pPr>
        <w:rPr>
          <w:sz w:val="22"/>
          <w:szCs w:val="22"/>
        </w:rPr>
      </w:pPr>
    </w:p>
    <w:p w14:paraId="3044F3BA" w14:textId="77777777" w:rsidR="00BE170F" w:rsidRPr="00311E0D" w:rsidRDefault="00BE170F" w:rsidP="00BE170F">
      <w:pPr>
        <w:rPr>
          <w:b/>
          <w:bCs/>
          <w:i/>
          <w:iCs/>
          <w:sz w:val="22"/>
          <w:szCs w:val="22"/>
        </w:rPr>
      </w:pPr>
      <w:proofErr w:type="spellStart"/>
      <w:r w:rsidRPr="005B22D5">
        <w:rPr>
          <w:b/>
          <w:bCs/>
          <w:i/>
          <w:iCs/>
          <w:sz w:val="22"/>
          <w:szCs w:val="22"/>
        </w:rPr>
        <w:t>Zymo</w:t>
      </w:r>
      <w:proofErr w:type="spellEnd"/>
      <w:r w:rsidRPr="005B22D5">
        <w:rPr>
          <w:b/>
          <w:bCs/>
          <w:i/>
          <w:iCs/>
          <w:sz w:val="22"/>
          <w:szCs w:val="22"/>
        </w:rPr>
        <w:t xml:space="preserve"> Research TT White Paper 13</w:t>
      </w:r>
      <w:r w:rsidRPr="00311E0D">
        <w:rPr>
          <w:b/>
          <w:bCs/>
          <w:i/>
          <w:iCs/>
          <w:sz w:val="22"/>
          <w:szCs w:val="22"/>
        </w:rPr>
        <w:t>:</w:t>
      </w:r>
    </w:p>
    <w:p w14:paraId="6046ECC7" w14:textId="77777777" w:rsidR="00BE170F" w:rsidRPr="00311E0D" w:rsidRDefault="00BE170F" w:rsidP="00BE170F">
      <w:pPr>
        <w:rPr>
          <w:sz w:val="22"/>
          <w:szCs w:val="22"/>
        </w:rPr>
      </w:pPr>
    </w:p>
    <w:p w14:paraId="1BF66FB4" w14:textId="77777777" w:rsidR="00BE170F" w:rsidRPr="00311E0D" w:rsidRDefault="00BE170F" w:rsidP="00BE170F">
      <w:pPr>
        <w:rPr>
          <w:sz w:val="22"/>
          <w:szCs w:val="22"/>
        </w:rPr>
      </w:pPr>
      <w:r w:rsidRPr="00311E0D">
        <w:rPr>
          <w:b/>
          <w:bCs/>
          <w:sz w:val="22"/>
          <w:szCs w:val="22"/>
        </w:rPr>
        <w:t>Title:</w:t>
      </w:r>
      <w:r w:rsidRPr="00311E0D">
        <w:rPr>
          <w:sz w:val="22"/>
          <w:szCs w:val="22"/>
        </w:rPr>
        <w:t xml:space="preserve"> Evaluating Quality of Input RNA for NGS Library Preparation</w:t>
      </w:r>
    </w:p>
    <w:p w14:paraId="582804F6" w14:textId="77777777" w:rsidR="00BE170F" w:rsidRPr="00311E0D" w:rsidRDefault="00BE170F" w:rsidP="00BE170F">
      <w:pPr>
        <w:rPr>
          <w:sz w:val="22"/>
          <w:szCs w:val="22"/>
        </w:rPr>
      </w:pPr>
    </w:p>
    <w:p w14:paraId="12533087" w14:textId="77777777" w:rsidR="00BE170F" w:rsidRPr="00311E0D" w:rsidRDefault="00BE170F" w:rsidP="00BE170F">
      <w:pPr>
        <w:rPr>
          <w:b/>
          <w:bCs/>
          <w:sz w:val="22"/>
          <w:szCs w:val="22"/>
        </w:rPr>
      </w:pPr>
      <w:r w:rsidRPr="00311E0D">
        <w:rPr>
          <w:b/>
          <w:bCs/>
          <w:sz w:val="22"/>
          <w:szCs w:val="22"/>
        </w:rPr>
        <w:t>Body:</w:t>
      </w:r>
      <w:r w:rsidRPr="00311E0D">
        <w:rPr>
          <w:sz w:val="22"/>
          <w:szCs w:val="22"/>
        </w:rPr>
        <w:t xml:space="preserve"> This white paper from </w:t>
      </w:r>
      <w:proofErr w:type="spellStart"/>
      <w:r w:rsidRPr="00311E0D">
        <w:rPr>
          <w:sz w:val="22"/>
          <w:szCs w:val="22"/>
        </w:rPr>
        <w:t>Zymo</w:t>
      </w:r>
      <w:proofErr w:type="spellEnd"/>
      <w:r w:rsidRPr="00311E0D">
        <w:rPr>
          <w:sz w:val="22"/>
          <w:szCs w:val="22"/>
        </w:rPr>
        <w:t xml:space="preserve"> Research provides recommendations to help preserve and verify the quality of input RNA for more robust RNA-seq libraries.</w:t>
      </w:r>
    </w:p>
    <w:p w14:paraId="1C7978BF" w14:textId="77777777" w:rsidR="00BE170F" w:rsidRPr="00311E0D" w:rsidRDefault="00BE170F" w:rsidP="00BE170F">
      <w:pPr>
        <w:rPr>
          <w:sz w:val="22"/>
          <w:szCs w:val="22"/>
        </w:rPr>
      </w:pPr>
    </w:p>
    <w:p w14:paraId="7B19F8B9" w14:textId="77777777" w:rsidR="00BE170F" w:rsidRPr="00311E0D" w:rsidRDefault="00BE170F" w:rsidP="00BE170F">
      <w:pPr>
        <w:rPr>
          <w:sz w:val="22"/>
          <w:szCs w:val="22"/>
        </w:rPr>
      </w:pPr>
      <w:r w:rsidRPr="00311E0D">
        <w:rPr>
          <w:sz w:val="22"/>
          <w:szCs w:val="22"/>
        </w:rPr>
        <w:t xml:space="preserve">Download it from </w:t>
      </w:r>
      <w:proofErr w:type="spellStart"/>
      <w:r w:rsidRPr="00311E0D">
        <w:rPr>
          <w:sz w:val="22"/>
          <w:szCs w:val="22"/>
        </w:rPr>
        <w:t>GenomeWeb’s</w:t>
      </w:r>
      <w:proofErr w:type="spellEnd"/>
      <w:r w:rsidRPr="00311E0D">
        <w:rPr>
          <w:sz w:val="22"/>
          <w:szCs w:val="22"/>
        </w:rPr>
        <w:t xml:space="preserve"> </w:t>
      </w:r>
      <w:hyperlink r:id="rId1124" w:history="1">
        <w:r w:rsidRPr="007254B9">
          <w:rPr>
            <w:rStyle w:val="Hyperlink"/>
            <w:sz w:val="22"/>
            <w:szCs w:val="22"/>
          </w:rPr>
          <w:t>White Paper Channel.</w:t>
        </w:r>
      </w:hyperlink>
    </w:p>
    <w:p w14:paraId="2E67BA08" w14:textId="77777777" w:rsidR="00BE170F" w:rsidRPr="00D3228C" w:rsidRDefault="00BE170F" w:rsidP="00BE170F">
      <w:pPr>
        <w:rPr>
          <w:sz w:val="22"/>
          <w:szCs w:val="22"/>
        </w:rPr>
      </w:pPr>
    </w:p>
    <w:p w14:paraId="5C58A33D" w14:textId="77777777" w:rsidR="00BE170F" w:rsidRPr="00D3228C" w:rsidRDefault="00BE170F" w:rsidP="00BE170F">
      <w:pPr>
        <w:rPr>
          <w:sz w:val="22"/>
          <w:szCs w:val="22"/>
        </w:rPr>
      </w:pPr>
      <w:r w:rsidRPr="00D3228C">
        <w:rPr>
          <w:sz w:val="22"/>
          <w:szCs w:val="22"/>
        </w:rPr>
        <w:t>--</w:t>
      </w:r>
    </w:p>
    <w:p w14:paraId="4F7B4F4C" w14:textId="77777777" w:rsidR="00BE170F" w:rsidRPr="00D3228C" w:rsidRDefault="00BE170F" w:rsidP="00BE170F">
      <w:pPr>
        <w:rPr>
          <w:sz w:val="22"/>
          <w:szCs w:val="22"/>
        </w:rPr>
      </w:pPr>
    </w:p>
    <w:p w14:paraId="489E0547" w14:textId="77777777" w:rsidR="00BE170F" w:rsidRPr="00D3228C"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14</w:t>
      </w:r>
      <w:r w:rsidRPr="00D3228C">
        <w:rPr>
          <w:b/>
          <w:bCs/>
          <w:i/>
          <w:iCs/>
          <w:sz w:val="22"/>
          <w:szCs w:val="22"/>
        </w:rPr>
        <w:t>:</w:t>
      </w:r>
    </w:p>
    <w:p w14:paraId="713D597E" w14:textId="77777777" w:rsidR="00BE170F" w:rsidRPr="00D3228C" w:rsidRDefault="00BE170F" w:rsidP="00BE170F">
      <w:pPr>
        <w:rPr>
          <w:sz w:val="22"/>
          <w:szCs w:val="22"/>
        </w:rPr>
      </w:pPr>
    </w:p>
    <w:p w14:paraId="599F3BC5" w14:textId="77777777" w:rsidR="00BE170F" w:rsidRPr="00D3228C" w:rsidRDefault="00BE170F" w:rsidP="00BE170F">
      <w:pPr>
        <w:rPr>
          <w:sz w:val="22"/>
          <w:szCs w:val="22"/>
        </w:rPr>
      </w:pPr>
      <w:r w:rsidRPr="00D3228C">
        <w:rPr>
          <w:b/>
          <w:bCs/>
          <w:sz w:val="22"/>
          <w:szCs w:val="22"/>
        </w:rPr>
        <w:t>Title:</w:t>
      </w:r>
      <w:r w:rsidRPr="00D3228C">
        <w:rPr>
          <w:sz w:val="22"/>
          <w:szCs w:val="22"/>
        </w:rPr>
        <w:t xml:space="preserve"> How to Get Quality DNA for </w:t>
      </w:r>
      <w:proofErr w:type="spellStart"/>
      <w:r w:rsidRPr="00D3228C">
        <w:rPr>
          <w:sz w:val="22"/>
          <w:szCs w:val="22"/>
        </w:rPr>
        <w:t>ChIP</w:t>
      </w:r>
      <w:proofErr w:type="spellEnd"/>
      <w:r w:rsidRPr="00D3228C">
        <w:rPr>
          <w:sz w:val="22"/>
          <w:szCs w:val="22"/>
        </w:rPr>
        <w:t xml:space="preserve"> Sequencing</w:t>
      </w:r>
    </w:p>
    <w:p w14:paraId="4CC4DE4A" w14:textId="77777777" w:rsidR="00BE170F" w:rsidRPr="00D3228C" w:rsidRDefault="00BE170F" w:rsidP="00BE170F">
      <w:pPr>
        <w:rPr>
          <w:sz w:val="22"/>
          <w:szCs w:val="22"/>
        </w:rPr>
      </w:pPr>
    </w:p>
    <w:p w14:paraId="3790A209" w14:textId="77777777" w:rsidR="00BE170F" w:rsidRPr="00D3228C" w:rsidRDefault="00BE170F" w:rsidP="00BE170F">
      <w:pPr>
        <w:rPr>
          <w:b/>
          <w:bCs/>
          <w:sz w:val="22"/>
          <w:szCs w:val="22"/>
        </w:rPr>
      </w:pPr>
      <w:r w:rsidRPr="00D3228C">
        <w:rPr>
          <w:b/>
          <w:bCs/>
          <w:sz w:val="22"/>
          <w:szCs w:val="22"/>
        </w:rPr>
        <w:t>Body:</w:t>
      </w:r>
      <w:r w:rsidRPr="00D3228C">
        <w:rPr>
          <w:sz w:val="22"/>
          <w:szCs w:val="22"/>
        </w:rPr>
        <w:t xml:space="preserve"> This white paper from </w:t>
      </w:r>
      <w:proofErr w:type="spellStart"/>
      <w:r w:rsidRPr="00D3228C">
        <w:rPr>
          <w:sz w:val="22"/>
          <w:szCs w:val="22"/>
        </w:rPr>
        <w:t>Zymo</w:t>
      </w:r>
      <w:proofErr w:type="spellEnd"/>
      <w:r w:rsidRPr="00D3228C">
        <w:rPr>
          <w:sz w:val="22"/>
          <w:szCs w:val="22"/>
        </w:rPr>
        <w:t xml:space="preserve"> Research provides recommendations to obtain clean and concentrated pulldown DNA for </w:t>
      </w:r>
      <w:proofErr w:type="spellStart"/>
      <w:r w:rsidRPr="00D3228C">
        <w:rPr>
          <w:sz w:val="22"/>
          <w:szCs w:val="22"/>
        </w:rPr>
        <w:t>ChIP</w:t>
      </w:r>
      <w:proofErr w:type="spellEnd"/>
      <w:r w:rsidRPr="00D3228C">
        <w:rPr>
          <w:sz w:val="22"/>
          <w:szCs w:val="22"/>
        </w:rPr>
        <w:t>-seq.</w:t>
      </w:r>
    </w:p>
    <w:p w14:paraId="42A5155A" w14:textId="77777777" w:rsidR="00BE170F" w:rsidRPr="00D3228C" w:rsidRDefault="00BE170F" w:rsidP="00BE170F">
      <w:pPr>
        <w:rPr>
          <w:sz w:val="22"/>
          <w:szCs w:val="22"/>
        </w:rPr>
      </w:pPr>
    </w:p>
    <w:p w14:paraId="5230EE9E" w14:textId="77777777" w:rsidR="00BE170F" w:rsidRPr="00D3228C" w:rsidRDefault="00BE170F" w:rsidP="00BE170F">
      <w:pPr>
        <w:rPr>
          <w:sz w:val="22"/>
          <w:szCs w:val="22"/>
        </w:rPr>
      </w:pPr>
      <w:r w:rsidRPr="00D3228C">
        <w:rPr>
          <w:sz w:val="22"/>
          <w:szCs w:val="22"/>
        </w:rPr>
        <w:t xml:space="preserve">Download it from </w:t>
      </w:r>
      <w:proofErr w:type="spellStart"/>
      <w:r w:rsidRPr="00D3228C">
        <w:rPr>
          <w:sz w:val="22"/>
          <w:szCs w:val="22"/>
        </w:rPr>
        <w:t>GenomeWeb’s</w:t>
      </w:r>
      <w:proofErr w:type="spellEnd"/>
      <w:r w:rsidRPr="00D3228C">
        <w:rPr>
          <w:sz w:val="22"/>
          <w:szCs w:val="22"/>
        </w:rPr>
        <w:t xml:space="preserve"> </w:t>
      </w:r>
      <w:hyperlink r:id="rId1125" w:history="1">
        <w:r w:rsidRPr="00F52F86">
          <w:rPr>
            <w:rStyle w:val="Hyperlink"/>
            <w:sz w:val="22"/>
            <w:szCs w:val="22"/>
          </w:rPr>
          <w:t>White Paper Channel.</w:t>
        </w:r>
      </w:hyperlink>
    </w:p>
    <w:p w14:paraId="3A3F03D5" w14:textId="77777777" w:rsidR="00BE170F" w:rsidRPr="000152A8" w:rsidRDefault="00BE170F" w:rsidP="00BE170F">
      <w:pPr>
        <w:rPr>
          <w:sz w:val="22"/>
          <w:szCs w:val="22"/>
        </w:rPr>
      </w:pPr>
    </w:p>
    <w:p w14:paraId="1E82D374" w14:textId="77777777" w:rsidR="00BE170F" w:rsidRPr="000152A8" w:rsidRDefault="00BE170F" w:rsidP="00BE170F">
      <w:pPr>
        <w:rPr>
          <w:sz w:val="22"/>
          <w:szCs w:val="22"/>
        </w:rPr>
      </w:pPr>
      <w:r w:rsidRPr="000152A8">
        <w:rPr>
          <w:sz w:val="22"/>
          <w:szCs w:val="22"/>
        </w:rPr>
        <w:t>--</w:t>
      </w:r>
    </w:p>
    <w:p w14:paraId="1BF6D126" w14:textId="77777777" w:rsidR="00BE170F" w:rsidRPr="000152A8" w:rsidRDefault="00BE170F" w:rsidP="00BE170F">
      <w:pPr>
        <w:rPr>
          <w:sz w:val="22"/>
          <w:szCs w:val="22"/>
        </w:rPr>
      </w:pPr>
    </w:p>
    <w:p w14:paraId="66C267A2" w14:textId="77777777" w:rsidR="00BE170F" w:rsidRPr="000152A8"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15</w:t>
      </w:r>
      <w:r w:rsidRPr="000152A8">
        <w:rPr>
          <w:b/>
          <w:bCs/>
          <w:i/>
          <w:iCs/>
          <w:sz w:val="22"/>
          <w:szCs w:val="22"/>
        </w:rPr>
        <w:t>:</w:t>
      </w:r>
    </w:p>
    <w:p w14:paraId="4B0EA0F8" w14:textId="77777777" w:rsidR="00BE170F" w:rsidRPr="000152A8" w:rsidRDefault="00BE170F" w:rsidP="00BE170F">
      <w:pPr>
        <w:rPr>
          <w:sz w:val="22"/>
          <w:szCs w:val="22"/>
        </w:rPr>
      </w:pPr>
    </w:p>
    <w:p w14:paraId="0B42323F" w14:textId="77777777" w:rsidR="00BE170F" w:rsidRPr="000152A8" w:rsidRDefault="00BE170F" w:rsidP="00BE170F">
      <w:pPr>
        <w:rPr>
          <w:sz w:val="22"/>
          <w:szCs w:val="22"/>
        </w:rPr>
      </w:pPr>
      <w:r w:rsidRPr="000152A8">
        <w:rPr>
          <w:b/>
          <w:bCs/>
          <w:sz w:val="22"/>
          <w:szCs w:val="22"/>
        </w:rPr>
        <w:t>Title:</w:t>
      </w:r>
      <w:r w:rsidRPr="000152A8">
        <w:rPr>
          <w:sz w:val="22"/>
          <w:szCs w:val="22"/>
        </w:rPr>
        <w:t xml:space="preserve"> Multi-Organism Transcriptomics with an RNA Library Kit</w:t>
      </w:r>
    </w:p>
    <w:p w14:paraId="058E60CC" w14:textId="77777777" w:rsidR="00BE170F" w:rsidRPr="000152A8" w:rsidRDefault="00BE170F" w:rsidP="00BE170F">
      <w:pPr>
        <w:rPr>
          <w:sz w:val="22"/>
          <w:szCs w:val="22"/>
        </w:rPr>
      </w:pPr>
    </w:p>
    <w:p w14:paraId="422437A5" w14:textId="77777777" w:rsidR="00BE170F" w:rsidRPr="000152A8" w:rsidRDefault="00BE170F" w:rsidP="00BE170F">
      <w:pPr>
        <w:rPr>
          <w:sz w:val="22"/>
          <w:szCs w:val="22"/>
        </w:rPr>
      </w:pPr>
      <w:r w:rsidRPr="000152A8">
        <w:rPr>
          <w:b/>
          <w:bCs/>
          <w:sz w:val="22"/>
          <w:szCs w:val="22"/>
        </w:rPr>
        <w:t>Body:</w:t>
      </w:r>
      <w:r w:rsidRPr="000152A8">
        <w:rPr>
          <w:sz w:val="22"/>
          <w:szCs w:val="22"/>
        </w:rPr>
        <w:t xml:space="preserve"> This application note from </w:t>
      </w:r>
      <w:proofErr w:type="spellStart"/>
      <w:r w:rsidRPr="000152A8">
        <w:rPr>
          <w:sz w:val="22"/>
          <w:szCs w:val="22"/>
        </w:rPr>
        <w:t>Zymo</w:t>
      </w:r>
      <w:proofErr w:type="spellEnd"/>
      <w:r w:rsidRPr="000152A8">
        <w:rPr>
          <w:sz w:val="22"/>
          <w:szCs w:val="22"/>
        </w:rPr>
        <w:t xml:space="preserve"> Research describes a whole-transcriptome analysis on several model organisms using the Zymo-Seq </w:t>
      </w:r>
      <w:proofErr w:type="spellStart"/>
      <w:r w:rsidRPr="000152A8">
        <w:rPr>
          <w:sz w:val="22"/>
          <w:szCs w:val="22"/>
        </w:rPr>
        <w:t>RiboFree</w:t>
      </w:r>
      <w:proofErr w:type="spellEnd"/>
      <w:r w:rsidRPr="000152A8">
        <w:rPr>
          <w:sz w:val="22"/>
          <w:szCs w:val="22"/>
        </w:rPr>
        <w:t xml:space="preserve"> Total RNA Library Kit to validate its cross-species compatibility and introduces a complete workflow from RNA extraction to bioinformatic analysis.</w:t>
      </w:r>
    </w:p>
    <w:p w14:paraId="02777E00" w14:textId="77777777" w:rsidR="00BE170F" w:rsidRPr="000152A8" w:rsidRDefault="00BE170F" w:rsidP="00BE170F">
      <w:pPr>
        <w:rPr>
          <w:sz w:val="22"/>
          <w:szCs w:val="22"/>
        </w:rPr>
      </w:pPr>
    </w:p>
    <w:p w14:paraId="3D297D4C" w14:textId="77777777" w:rsidR="00BE170F" w:rsidRPr="000152A8" w:rsidRDefault="00BE170F" w:rsidP="00BE170F">
      <w:pPr>
        <w:rPr>
          <w:sz w:val="22"/>
          <w:szCs w:val="22"/>
        </w:rPr>
      </w:pPr>
      <w:r w:rsidRPr="000152A8">
        <w:rPr>
          <w:sz w:val="22"/>
          <w:szCs w:val="22"/>
        </w:rPr>
        <w:t xml:space="preserve">Download it from </w:t>
      </w:r>
      <w:proofErr w:type="spellStart"/>
      <w:r w:rsidRPr="000152A8">
        <w:rPr>
          <w:sz w:val="22"/>
          <w:szCs w:val="22"/>
        </w:rPr>
        <w:t>GenomeWeb’s</w:t>
      </w:r>
      <w:proofErr w:type="spellEnd"/>
      <w:r w:rsidRPr="000152A8">
        <w:rPr>
          <w:sz w:val="22"/>
          <w:szCs w:val="22"/>
        </w:rPr>
        <w:t xml:space="preserve"> </w:t>
      </w:r>
      <w:hyperlink r:id="rId1126" w:history="1">
        <w:r w:rsidRPr="001D4B3E">
          <w:rPr>
            <w:rStyle w:val="Hyperlink"/>
            <w:sz w:val="22"/>
            <w:szCs w:val="22"/>
          </w:rPr>
          <w:t>White Paper Channel</w:t>
        </w:r>
      </w:hyperlink>
      <w:r w:rsidRPr="000152A8">
        <w:rPr>
          <w:sz w:val="22"/>
          <w:szCs w:val="22"/>
        </w:rPr>
        <w:t>.</w:t>
      </w:r>
    </w:p>
    <w:p w14:paraId="7BB8A865" w14:textId="77777777" w:rsidR="00BE170F" w:rsidRPr="009A3AFC" w:rsidRDefault="00BE170F" w:rsidP="00BE170F">
      <w:pPr>
        <w:rPr>
          <w:sz w:val="22"/>
          <w:szCs w:val="22"/>
        </w:rPr>
      </w:pPr>
    </w:p>
    <w:p w14:paraId="1A20F60F" w14:textId="0BC87CBE" w:rsidR="0001729C" w:rsidRPr="00105589" w:rsidRDefault="0001729C" w:rsidP="0001729C">
      <w:pPr>
        <w:pStyle w:val="NoSpacing"/>
        <w:rPr>
          <w:b/>
          <w:bCs/>
          <w:highlight w:val="red"/>
        </w:rPr>
      </w:pPr>
      <w:r w:rsidRPr="00105589">
        <w:rPr>
          <w:b/>
          <w:bCs/>
          <w:highlight w:val="red"/>
        </w:rPr>
        <w:t>Glen Research White Paper 9:</w:t>
      </w:r>
      <w:r w:rsidR="00105589">
        <w:rPr>
          <w:b/>
          <w:bCs/>
          <w:highlight w:val="red"/>
        </w:rPr>
        <w:t xml:space="preserve"> Paused</w:t>
      </w:r>
    </w:p>
    <w:p w14:paraId="7D8C4A2E" w14:textId="77777777" w:rsidR="0001729C" w:rsidRPr="00105589" w:rsidRDefault="0001729C" w:rsidP="0001729C">
      <w:pPr>
        <w:rPr>
          <w:sz w:val="22"/>
          <w:szCs w:val="22"/>
          <w:highlight w:val="red"/>
        </w:rPr>
      </w:pPr>
    </w:p>
    <w:p w14:paraId="0A06B16A"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L-DNA: Applications and the Recognition of Mirror-Image Nucleic Acids</w:t>
      </w:r>
    </w:p>
    <w:p w14:paraId="3DD0D5CC" w14:textId="77777777" w:rsidR="0001729C" w:rsidRPr="00105589" w:rsidRDefault="0001729C" w:rsidP="0001729C">
      <w:pPr>
        <w:rPr>
          <w:sz w:val="22"/>
          <w:szCs w:val="22"/>
          <w:highlight w:val="red"/>
        </w:rPr>
      </w:pPr>
    </w:p>
    <w:p w14:paraId="0FA6C5FC"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uses for L-DNA, mirror-image DNA that is orthogonal to the stereospecific environment of native biology and provides an opportunity to develop nucleic acid-based technologies with capabilities not possible by using only the native stereoisomer. </w:t>
      </w:r>
    </w:p>
    <w:p w14:paraId="0C0603FB" w14:textId="77777777" w:rsidR="0001729C" w:rsidRPr="00105589" w:rsidRDefault="0001729C" w:rsidP="0001729C">
      <w:pPr>
        <w:rPr>
          <w:sz w:val="22"/>
          <w:szCs w:val="22"/>
          <w:highlight w:val="red"/>
        </w:rPr>
      </w:pPr>
    </w:p>
    <w:p w14:paraId="5DD366D5" w14:textId="77777777" w:rsidR="0001729C"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7" w:history="1">
        <w:r w:rsidRPr="00105589">
          <w:rPr>
            <w:rStyle w:val="Hyperlink"/>
            <w:sz w:val="22"/>
            <w:szCs w:val="22"/>
            <w:highlight w:val="red"/>
          </w:rPr>
          <w:t>White Paper Channel.</w:t>
        </w:r>
      </w:hyperlink>
    </w:p>
    <w:p w14:paraId="121CF17E" w14:textId="77777777" w:rsidR="0001729C" w:rsidRPr="003049F3" w:rsidRDefault="0001729C" w:rsidP="0001729C">
      <w:pPr>
        <w:rPr>
          <w:sz w:val="22"/>
          <w:szCs w:val="22"/>
        </w:rPr>
      </w:pPr>
    </w:p>
    <w:p w14:paraId="7B6928C4" w14:textId="77777777" w:rsidR="0001729C" w:rsidRPr="003049F3" w:rsidRDefault="0001729C" w:rsidP="0001729C">
      <w:pPr>
        <w:rPr>
          <w:sz w:val="22"/>
          <w:szCs w:val="22"/>
        </w:rPr>
      </w:pPr>
      <w:r w:rsidRPr="003049F3">
        <w:rPr>
          <w:sz w:val="22"/>
          <w:szCs w:val="22"/>
        </w:rPr>
        <w:t>--</w:t>
      </w:r>
    </w:p>
    <w:p w14:paraId="0C4DD7AD" w14:textId="77777777" w:rsidR="0001729C" w:rsidRPr="003049F3" w:rsidRDefault="0001729C" w:rsidP="0001729C">
      <w:pPr>
        <w:rPr>
          <w:sz w:val="22"/>
          <w:szCs w:val="22"/>
        </w:rPr>
      </w:pPr>
    </w:p>
    <w:p w14:paraId="2157ADB0" w14:textId="07EA57D9" w:rsidR="0001729C" w:rsidRPr="00105589" w:rsidRDefault="0001729C" w:rsidP="0001729C">
      <w:pPr>
        <w:rPr>
          <w:b/>
          <w:bCs/>
          <w:i/>
          <w:iCs/>
          <w:sz w:val="22"/>
          <w:szCs w:val="22"/>
          <w:highlight w:val="red"/>
        </w:rPr>
      </w:pPr>
      <w:r w:rsidRPr="00105589">
        <w:rPr>
          <w:b/>
          <w:bCs/>
          <w:i/>
          <w:iCs/>
          <w:sz w:val="22"/>
          <w:szCs w:val="22"/>
          <w:highlight w:val="red"/>
        </w:rPr>
        <w:lastRenderedPageBreak/>
        <w:t>Glen Research GW White Paper 10:</w:t>
      </w:r>
      <w:r w:rsidR="00105589">
        <w:rPr>
          <w:b/>
          <w:bCs/>
          <w:i/>
          <w:iCs/>
          <w:sz w:val="22"/>
          <w:szCs w:val="22"/>
          <w:highlight w:val="red"/>
        </w:rPr>
        <w:t xml:space="preserve"> Paused</w:t>
      </w:r>
    </w:p>
    <w:p w14:paraId="3BAF085D" w14:textId="77777777" w:rsidR="0001729C" w:rsidRPr="00105589" w:rsidRDefault="0001729C" w:rsidP="0001729C">
      <w:pPr>
        <w:rPr>
          <w:sz w:val="22"/>
          <w:szCs w:val="22"/>
          <w:highlight w:val="red"/>
        </w:rPr>
      </w:pPr>
    </w:p>
    <w:p w14:paraId="44E09FF1"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Biotin </w:t>
      </w:r>
      <w:proofErr w:type="spellStart"/>
      <w:r w:rsidRPr="00105589">
        <w:rPr>
          <w:sz w:val="22"/>
          <w:szCs w:val="22"/>
          <w:highlight w:val="red"/>
        </w:rPr>
        <w:t>Phosphoramidites</w:t>
      </w:r>
      <w:proofErr w:type="spellEnd"/>
      <w:r w:rsidRPr="00105589">
        <w:rPr>
          <w:sz w:val="22"/>
          <w:szCs w:val="22"/>
          <w:highlight w:val="red"/>
        </w:rPr>
        <w:t xml:space="preserve"> for Nucleic Acid Research</w:t>
      </w:r>
    </w:p>
    <w:p w14:paraId="7864B751" w14:textId="77777777" w:rsidR="0001729C" w:rsidRPr="00105589" w:rsidRDefault="0001729C" w:rsidP="0001729C">
      <w:pPr>
        <w:rPr>
          <w:sz w:val="22"/>
          <w:szCs w:val="22"/>
          <w:highlight w:val="red"/>
        </w:rPr>
      </w:pPr>
    </w:p>
    <w:p w14:paraId="4AD9854D"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the uses of 5'-biotin II </w:t>
      </w:r>
      <w:proofErr w:type="spellStart"/>
      <w:r w:rsidRPr="00105589">
        <w:rPr>
          <w:sz w:val="22"/>
          <w:szCs w:val="22"/>
          <w:highlight w:val="red"/>
        </w:rPr>
        <w:t>phosphoramidite</w:t>
      </w:r>
      <w:proofErr w:type="spellEnd"/>
      <w:r w:rsidRPr="00105589">
        <w:rPr>
          <w:sz w:val="22"/>
          <w:szCs w:val="22"/>
          <w:highlight w:val="red"/>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5DBC3F3" w14:textId="77777777" w:rsidR="0001729C" w:rsidRPr="00105589" w:rsidRDefault="0001729C" w:rsidP="0001729C">
      <w:pPr>
        <w:rPr>
          <w:sz w:val="22"/>
          <w:szCs w:val="22"/>
          <w:highlight w:val="red"/>
        </w:rPr>
      </w:pPr>
    </w:p>
    <w:p w14:paraId="2AF9071D" w14:textId="77777777" w:rsidR="0001729C" w:rsidRPr="003049F3"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8" w:history="1">
        <w:r w:rsidRPr="00105589">
          <w:rPr>
            <w:rStyle w:val="Hyperlink"/>
            <w:sz w:val="22"/>
            <w:szCs w:val="22"/>
            <w:highlight w:val="red"/>
          </w:rPr>
          <w:t>White Paper Channel.</w:t>
        </w:r>
      </w:hyperlink>
    </w:p>
    <w:p w14:paraId="2E92A21A" w14:textId="77777777" w:rsidR="0001729C" w:rsidRPr="003049F3" w:rsidRDefault="0001729C" w:rsidP="0001729C">
      <w:pPr>
        <w:rPr>
          <w:sz w:val="22"/>
          <w:szCs w:val="22"/>
        </w:rPr>
      </w:pPr>
    </w:p>
    <w:p w14:paraId="4A618C9F" w14:textId="77777777" w:rsidR="0001729C" w:rsidRDefault="0001729C" w:rsidP="0001729C">
      <w:pPr>
        <w:rPr>
          <w:sz w:val="22"/>
          <w:szCs w:val="22"/>
        </w:rPr>
      </w:pPr>
      <w:r w:rsidRPr="003049F3">
        <w:rPr>
          <w:sz w:val="22"/>
          <w:szCs w:val="22"/>
        </w:rPr>
        <w:t>--</w:t>
      </w:r>
    </w:p>
    <w:p w14:paraId="1B5C8D0D" w14:textId="77777777" w:rsidR="0001729C" w:rsidRDefault="0001729C" w:rsidP="0001729C">
      <w:pPr>
        <w:rPr>
          <w:sz w:val="22"/>
          <w:szCs w:val="22"/>
        </w:rPr>
      </w:pPr>
    </w:p>
    <w:p w14:paraId="489BE4AB" w14:textId="77777777" w:rsidR="0001729C" w:rsidRPr="003049F3" w:rsidRDefault="0001729C" w:rsidP="0001729C">
      <w:pPr>
        <w:rPr>
          <w:sz w:val="22"/>
          <w:szCs w:val="22"/>
        </w:rPr>
      </w:pPr>
    </w:p>
    <w:p w14:paraId="1FA04FC3" w14:textId="5FF7A9F1" w:rsidR="0001729C" w:rsidRPr="00105589" w:rsidRDefault="0001729C" w:rsidP="0001729C">
      <w:pPr>
        <w:rPr>
          <w:b/>
          <w:bCs/>
          <w:i/>
          <w:iCs/>
          <w:sz w:val="22"/>
          <w:szCs w:val="22"/>
          <w:highlight w:val="red"/>
        </w:rPr>
      </w:pPr>
      <w:r w:rsidRPr="00105589">
        <w:rPr>
          <w:b/>
          <w:bCs/>
          <w:i/>
          <w:iCs/>
          <w:sz w:val="22"/>
          <w:szCs w:val="22"/>
          <w:highlight w:val="red"/>
        </w:rPr>
        <w:t>Glen Research 360Dx White Paper 10:</w:t>
      </w:r>
      <w:r w:rsidR="00105589">
        <w:rPr>
          <w:b/>
          <w:bCs/>
          <w:i/>
          <w:iCs/>
          <w:sz w:val="22"/>
          <w:szCs w:val="22"/>
          <w:highlight w:val="red"/>
        </w:rPr>
        <w:t xml:space="preserve"> Paused</w:t>
      </w:r>
    </w:p>
    <w:p w14:paraId="6420A4EF" w14:textId="77777777" w:rsidR="0001729C" w:rsidRPr="00105589" w:rsidRDefault="0001729C" w:rsidP="0001729C">
      <w:pPr>
        <w:rPr>
          <w:sz w:val="22"/>
          <w:szCs w:val="22"/>
          <w:highlight w:val="red"/>
        </w:rPr>
      </w:pPr>
    </w:p>
    <w:p w14:paraId="53644E66" w14:textId="77777777" w:rsidR="0001729C" w:rsidRPr="00105589" w:rsidRDefault="0001729C" w:rsidP="0001729C">
      <w:pPr>
        <w:rPr>
          <w:b/>
          <w:bCs/>
          <w:sz w:val="22"/>
          <w:szCs w:val="22"/>
          <w:highlight w:val="red"/>
        </w:rPr>
      </w:pPr>
      <w:r w:rsidRPr="00105589">
        <w:rPr>
          <w:b/>
          <w:bCs/>
          <w:sz w:val="22"/>
          <w:szCs w:val="22"/>
          <w:highlight w:val="red"/>
        </w:rPr>
        <w:t>Title:</w:t>
      </w:r>
      <w:r w:rsidRPr="00105589">
        <w:rPr>
          <w:sz w:val="22"/>
          <w:szCs w:val="22"/>
          <w:highlight w:val="red"/>
        </w:rPr>
        <w:t xml:space="preserve"> Biotin </w:t>
      </w:r>
      <w:proofErr w:type="spellStart"/>
      <w:r w:rsidRPr="00105589">
        <w:rPr>
          <w:sz w:val="22"/>
          <w:szCs w:val="22"/>
          <w:highlight w:val="red"/>
        </w:rPr>
        <w:t>Phosphoramidites</w:t>
      </w:r>
      <w:proofErr w:type="spellEnd"/>
      <w:r w:rsidRPr="00105589">
        <w:rPr>
          <w:sz w:val="22"/>
          <w:szCs w:val="22"/>
          <w:highlight w:val="red"/>
        </w:rPr>
        <w:t xml:space="preserve"> for Nucleic Acid Research</w:t>
      </w:r>
    </w:p>
    <w:p w14:paraId="4A207645" w14:textId="77777777" w:rsidR="0001729C" w:rsidRPr="00105589" w:rsidRDefault="0001729C" w:rsidP="0001729C">
      <w:pPr>
        <w:rPr>
          <w:sz w:val="22"/>
          <w:szCs w:val="22"/>
          <w:highlight w:val="red"/>
        </w:rPr>
      </w:pPr>
    </w:p>
    <w:p w14:paraId="5A661F63"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the uses of 5'-biotin II </w:t>
      </w:r>
      <w:proofErr w:type="spellStart"/>
      <w:r w:rsidRPr="00105589">
        <w:rPr>
          <w:sz w:val="22"/>
          <w:szCs w:val="22"/>
          <w:highlight w:val="red"/>
        </w:rPr>
        <w:t>phosphoramidite</w:t>
      </w:r>
      <w:proofErr w:type="spellEnd"/>
      <w:r w:rsidRPr="00105589">
        <w:rPr>
          <w:sz w:val="22"/>
          <w:szCs w:val="22"/>
          <w:highlight w:val="red"/>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ACF0F81" w14:textId="77777777" w:rsidR="0001729C" w:rsidRPr="00105589" w:rsidRDefault="0001729C" w:rsidP="0001729C">
      <w:pPr>
        <w:rPr>
          <w:sz w:val="22"/>
          <w:szCs w:val="22"/>
          <w:highlight w:val="red"/>
        </w:rPr>
      </w:pPr>
    </w:p>
    <w:p w14:paraId="149288FB" w14:textId="77777777" w:rsidR="0001729C" w:rsidRPr="00105589" w:rsidRDefault="0001729C" w:rsidP="0001729C">
      <w:pPr>
        <w:rPr>
          <w:sz w:val="22"/>
          <w:szCs w:val="22"/>
          <w:highlight w:val="red"/>
        </w:rPr>
      </w:pPr>
    </w:p>
    <w:p w14:paraId="549DB2BD" w14:textId="77777777" w:rsidR="0001729C" w:rsidRPr="003049F3"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29" w:history="1">
        <w:r w:rsidRPr="00105589">
          <w:rPr>
            <w:rStyle w:val="Hyperlink"/>
            <w:sz w:val="22"/>
            <w:szCs w:val="22"/>
            <w:highlight w:val="red"/>
          </w:rPr>
          <w:t>White Paper Channel.</w:t>
        </w:r>
      </w:hyperlink>
    </w:p>
    <w:p w14:paraId="40DEE749" w14:textId="77777777" w:rsidR="0001729C" w:rsidRPr="00B26CFF" w:rsidRDefault="0001729C" w:rsidP="0001729C">
      <w:pPr>
        <w:rPr>
          <w:sz w:val="22"/>
          <w:szCs w:val="22"/>
        </w:rPr>
      </w:pPr>
    </w:p>
    <w:p w14:paraId="425BA134" w14:textId="77777777" w:rsidR="0001729C" w:rsidRPr="00B26CFF" w:rsidRDefault="0001729C" w:rsidP="0001729C">
      <w:pPr>
        <w:rPr>
          <w:sz w:val="22"/>
          <w:szCs w:val="22"/>
        </w:rPr>
      </w:pPr>
      <w:r w:rsidRPr="00B26CFF">
        <w:rPr>
          <w:sz w:val="22"/>
          <w:szCs w:val="22"/>
        </w:rPr>
        <w:t>--</w:t>
      </w:r>
    </w:p>
    <w:p w14:paraId="50441EE2" w14:textId="77777777" w:rsidR="0001729C" w:rsidRPr="00B26CFF" w:rsidRDefault="0001729C" w:rsidP="0001729C">
      <w:pPr>
        <w:rPr>
          <w:sz w:val="22"/>
          <w:szCs w:val="22"/>
        </w:rPr>
      </w:pPr>
    </w:p>
    <w:p w14:paraId="60619985" w14:textId="24AFBCAC" w:rsidR="0001729C" w:rsidRPr="00105589" w:rsidRDefault="0001729C" w:rsidP="0001729C">
      <w:pPr>
        <w:rPr>
          <w:b/>
          <w:bCs/>
          <w:i/>
          <w:iCs/>
          <w:sz w:val="22"/>
          <w:szCs w:val="22"/>
          <w:highlight w:val="red"/>
        </w:rPr>
      </w:pPr>
      <w:r w:rsidRPr="00105589">
        <w:rPr>
          <w:b/>
          <w:bCs/>
          <w:i/>
          <w:iCs/>
          <w:sz w:val="22"/>
          <w:szCs w:val="22"/>
          <w:highlight w:val="red"/>
        </w:rPr>
        <w:t>Glen Research White Paper 11:</w:t>
      </w:r>
      <w:r w:rsidR="00105589">
        <w:rPr>
          <w:b/>
          <w:bCs/>
          <w:i/>
          <w:iCs/>
          <w:sz w:val="22"/>
          <w:szCs w:val="22"/>
          <w:highlight w:val="red"/>
        </w:rPr>
        <w:t xml:space="preserve"> Paused</w:t>
      </w:r>
    </w:p>
    <w:p w14:paraId="1B4B5FDB" w14:textId="77777777" w:rsidR="0001729C" w:rsidRPr="00105589" w:rsidRDefault="0001729C" w:rsidP="0001729C">
      <w:pPr>
        <w:rPr>
          <w:sz w:val="22"/>
          <w:szCs w:val="22"/>
          <w:highlight w:val="red"/>
        </w:rPr>
      </w:pPr>
    </w:p>
    <w:p w14:paraId="35A9148C" w14:textId="77777777" w:rsidR="0001729C" w:rsidRPr="00105589" w:rsidRDefault="0001729C" w:rsidP="0001729C">
      <w:pPr>
        <w:rPr>
          <w:sz w:val="22"/>
          <w:szCs w:val="22"/>
          <w:highlight w:val="red"/>
        </w:rPr>
      </w:pPr>
      <w:r w:rsidRPr="00105589">
        <w:rPr>
          <w:b/>
          <w:bCs/>
          <w:sz w:val="22"/>
          <w:szCs w:val="22"/>
          <w:highlight w:val="red"/>
        </w:rPr>
        <w:t>Title:</w:t>
      </w:r>
      <w:r w:rsidRPr="00105589">
        <w:rPr>
          <w:sz w:val="22"/>
          <w:szCs w:val="22"/>
          <w:highlight w:val="red"/>
        </w:rPr>
        <w:t xml:space="preserve"> Fluorescent Base Analogues for Oligonucleotide Drug Development</w:t>
      </w:r>
    </w:p>
    <w:p w14:paraId="32861D58" w14:textId="77777777" w:rsidR="0001729C" w:rsidRPr="00105589" w:rsidRDefault="0001729C" w:rsidP="0001729C">
      <w:pPr>
        <w:rPr>
          <w:sz w:val="22"/>
          <w:szCs w:val="22"/>
          <w:highlight w:val="red"/>
        </w:rPr>
      </w:pPr>
    </w:p>
    <w:p w14:paraId="5E2094AE" w14:textId="77777777" w:rsidR="0001729C" w:rsidRPr="00105589" w:rsidRDefault="0001729C" w:rsidP="0001729C">
      <w:pPr>
        <w:rPr>
          <w:sz w:val="22"/>
          <w:szCs w:val="22"/>
          <w:highlight w:val="red"/>
        </w:rPr>
      </w:pPr>
      <w:r w:rsidRPr="00105589">
        <w:rPr>
          <w:b/>
          <w:bCs/>
          <w:sz w:val="22"/>
          <w:szCs w:val="22"/>
          <w:highlight w:val="red"/>
        </w:rPr>
        <w:t>Body:</w:t>
      </w:r>
      <w:r w:rsidRPr="00105589">
        <w:rPr>
          <w:sz w:val="22"/>
          <w:szCs w:val="22"/>
          <w:highlight w:val="red"/>
        </w:rPr>
        <w:t xml:space="preserve"> This application note from Glen Research discusses applications for fluorescent base analogs in testing the performance of oligonucleotide-based therapeutics, as they mimic the native structure without introducing perturbations to biological interactions</w:t>
      </w:r>
    </w:p>
    <w:p w14:paraId="22F4BDA4" w14:textId="77777777" w:rsidR="0001729C" w:rsidRPr="00105589" w:rsidRDefault="0001729C" w:rsidP="0001729C">
      <w:pPr>
        <w:rPr>
          <w:sz w:val="22"/>
          <w:szCs w:val="22"/>
          <w:highlight w:val="red"/>
        </w:rPr>
      </w:pPr>
    </w:p>
    <w:p w14:paraId="221BFBAB" w14:textId="77777777" w:rsidR="0001729C" w:rsidRPr="00B26CFF" w:rsidRDefault="0001729C" w:rsidP="0001729C">
      <w:pPr>
        <w:rPr>
          <w:sz w:val="22"/>
          <w:szCs w:val="22"/>
        </w:rPr>
      </w:pPr>
      <w:r w:rsidRPr="00105589">
        <w:rPr>
          <w:sz w:val="22"/>
          <w:szCs w:val="22"/>
          <w:highlight w:val="red"/>
        </w:rPr>
        <w:t xml:space="preserve">Download it from </w:t>
      </w:r>
      <w:proofErr w:type="spellStart"/>
      <w:r w:rsidRPr="00105589">
        <w:rPr>
          <w:sz w:val="22"/>
          <w:szCs w:val="22"/>
          <w:highlight w:val="red"/>
        </w:rPr>
        <w:t>GenomeWeb’s</w:t>
      </w:r>
      <w:proofErr w:type="spellEnd"/>
      <w:r w:rsidRPr="00105589">
        <w:rPr>
          <w:sz w:val="22"/>
          <w:szCs w:val="22"/>
          <w:highlight w:val="red"/>
        </w:rPr>
        <w:t xml:space="preserve"> </w:t>
      </w:r>
      <w:hyperlink r:id="rId1130" w:history="1">
        <w:r w:rsidRPr="00105589">
          <w:rPr>
            <w:rStyle w:val="Hyperlink"/>
            <w:sz w:val="22"/>
            <w:szCs w:val="22"/>
            <w:highlight w:val="red"/>
          </w:rPr>
          <w:t>White Paper Channel.</w:t>
        </w:r>
      </w:hyperlink>
    </w:p>
    <w:p w14:paraId="2692A6B7" w14:textId="77777777" w:rsidR="0001729C" w:rsidRPr="000B27EF" w:rsidRDefault="0001729C" w:rsidP="0001729C">
      <w:pPr>
        <w:rPr>
          <w:sz w:val="22"/>
          <w:szCs w:val="22"/>
        </w:rPr>
      </w:pPr>
    </w:p>
    <w:p w14:paraId="63127AEB" w14:textId="77777777" w:rsidR="0001729C" w:rsidRPr="000B27EF" w:rsidRDefault="0001729C" w:rsidP="0001729C">
      <w:pPr>
        <w:rPr>
          <w:sz w:val="22"/>
          <w:szCs w:val="22"/>
        </w:rPr>
      </w:pPr>
      <w:r w:rsidRPr="000B27EF">
        <w:rPr>
          <w:sz w:val="22"/>
          <w:szCs w:val="22"/>
        </w:rPr>
        <w:t>--</w:t>
      </w:r>
    </w:p>
    <w:p w14:paraId="57026B4D" w14:textId="77777777" w:rsidR="0001729C" w:rsidRDefault="0001729C" w:rsidP="0001729C"/>
    <w:p w14:paraId="694E1C04" w14:textId="77777777" w:rsidR="008202B5" w:rsidRDefault="008202B5" w:rsidP="008202B5">
      <w:pPr>
        <w:rPr>
          <w:rFonts w:eastAsiaTheme="minorHAnsi"/>
          <w:b/>
          <w:i/>
          <w:iCs/>
          <w:sz w:val="22"/>
          <w:szCs w:val="22"/>
        </w:rPr>
      </w:pPr>
      <w:r>
        <w:rPr>
          <w:b/>
          <w:i/>
          <w:iCs/>
          <w:sz w:val="22"/>
          <w:szCs w:val="22"/>
        </w:rPr>
        <w:t>Akoya White Paper 4:</w:t>
      </w:r>
    </w:p>
    <w:p w14:paraId="7495B3D2" w14:textId="77777777" w:rsidR="008202B5" w:rsidRDefault="008202B5" w:rsidP="008202B5">
      <w:pPr>
        <w:rPr>
          <w:sz w:val="22"/>
          <w:szCs w:val="22"/>
        </w:rPr>
      </w:pPr>
    </w:p>
    <w:p w14:paraId="2E206E7C" w14:textId="77777777" w:rsidR="008202B5" w:rsidRDefault="008202B5" w:rsidP="008202B5">
      <w:pPr>
        <w:rPr>
          <w:sz w:val="22"/>
          <w:szCs w:val="22"/>
        </w:rPr>
      </w:pPr>
      <w:r>
        <w:rPr>
          <w:b/>
          <w:sz w:val="22"/>
          <w:szCs w:val="22"/>
        </w:rPr>
        <w:t>Title:</w:t>
      </w:r>
      <w:r>
        <w:rPr>
          <w:sz w:val="22"/>
          <w:szCs w:val="22"/>
        </w:rPr>
        <w:t xml:space="preserve"> Capturing Tumor Heterogeneity with Rapid, Deep, Spatial Phenotyping</w:t>
      </w:r>
    </w:p>
    <w:p w14:paraId="2D3B53CE" w14:textId="77777777" w:rsidR="008202B5" w:rsidRDefault="008202B5" w:rsidP="008202B5">
      <w:pPr>
        <w:rPr>
          <w:sz w:val="22"/>
          <w:szCs w:val="22"/>
        </w:rPr>
      </w:pPr>
    </w:p>
    <w:p w14:paraId="580AC79F" w14:textId="77777777" w:rsidR="008202B5" w:rsidRDefault="008202B5" w:rsidP="008202B5">
      <w:pPr>
        <w:rPr>
          <w:b/>
          <w:sz w:val="22"/>
          <w:szCs w:val="22"/>
        </w:rPr>
      </w:pPr>
      <w:r>
        <w:rPr>
          <w:b/>
          <w:sz w:val="22"/>
          <w:szCs w:val="22"/>
        </w:rPr>
        <w:t>Body:</w:t>
      </w:r>
      <w:r>
        <w:rPr>
          <w:sz w:val="22"/>
          <w:szCs w:val="22"/>
        </w:rPr>
        <w:t xml:space="preserve"> This application note from Akoya Biosciences introduces an ultra-high-plex single-cell spatial phenotyping study of human FFPE head-and-neck tumor tissue aimed at unveiling orchestrated and complex tumor heterogeneity, demonstrating the </w:t>
      </w:r>
      <w:proofErr w:type="spellStart"/>
      <w:r>
        <w:rPr>
          <w:sz w:val="22"/>
          <w:szCs w:val="22"/>
        </w:rPr>
        <w:t>PhenoCycler</w:t>
      </w:r>
      <w:proofErr w:type="spellEnd"/>
      <w:r>
        <w:rPr>
          <w:sz w:val="22"/>
          <w:szCs w:val="22"/>
        </w:rPr>
        <w:t>-Fusion technology that can provide an integrated view of the pathways that regulate tumor progression.</w:t>
      </w:r>
    </w:p>
    <w:p w14:paraId="30990B09" w14:textId="77777777" w:rsidR="008202B5" w:rsidRDefault="008202B5" w:rsidP="008202B5">
      <w:pPr>
        <w:rPr>
          <w:sz w:val="22"/>
          <w:szCs w:val="22"/>
        </w:rPr>
      </w:pPr>
    </w:p>
    <w:p w14:paraId="7A491DCD" w14:textId="77777777" w:rsidR="008202B5" w:rsidRDefault="008202B5" w:rsidP="008202B5">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1131" w:history="1">
        <w:r>
          <w:rPr>
            <w:rStyle w:val="Hyperlink"/>
            <w:sz w:val="22"/>
            <w:szCs w:val="22"/>
          </w:rPr>
          <w:t>White Paper Channel.</w:t>
        </w:r>
      </w:hyperlink>
    </w:p>
    <w:p w14:paraId="620930E4" w14:textId="77777777" w:rsidR="008202B5" w:rsidRDefault="008202B5" w:rsidP="008202B5">
      <w:pPr>
        <w:rPr>
          <w:sz w:val="22"/>
          <w:szCs w:val="22"/>
        </w:rPr>
      </w:pPr>
    </w:p>
    <w:p w14:paraId="15A57891" w14:textId="77777777" w:rsidR="008202B5" w:rsidRDefault="008202B5" w:rsidP="008202B5">
      <w:pPr>
        <w:rPr>
          <w:sz w:val="22"/>
          <w:szCs w:val="22"/>
        </w:rPr>
      </w:pPr>
      <w:r>
        <w:rPr>
          <w:sz w:val="22"/>
          <w:szCs w:val="22"/>
        </w:rPr>
        <w:t>--</w:t>
      </w:r>
    </w:p>
    <w:p w14:paraId="080F0F12" w14:textId="77777777" w:rsidR="008202B5" w:rsidRDefault="008202B5" w:rsidP="008202B5">
      <w:pPr>
        <w:rPr>
          <w:sz w:val="22"/>
          <w:szCs w:val="22"/>
        </w:rPr>
      </w:pPr>
    </w:p>
    <w:p w14:paraId="44C1E873" w14:textId="77777777" w:rsidR="008202B5" w:rsidRDefault="008202B5" w:rsidP="008202B5">
      <w:pPr>
        <w:rPr>
          <w:b/>
          <w:i/>
          <w:iCs/>
          <w:sz w:val="22"/>
          <w:szCs w:val="22"/>
        </w:rPr>
      </w:pPr>
      <w:r>
        <w:rPr>
          <w:b/>
          <w:i/>
          <w:iCs/>
          <w:sz w:val="22"/>
          <w:szCs w:val="22"/>
        </w:rPr>
        <w:t>Premier Health White Paper 2:</w:t>
      </w:r>
    </w:p>
    <w:p w14:paraId="5DFF657B" w14:textId="77777777" w:rsidR="008202B5" w:rsidRDefault="008202B5" w:rsidP="008202B5">
      <w:pPr>
        <w:rPr>
          <w:sz w:val="22"/>
          <w:szCs w:val="22"/>
        </w:rPr>
      </w:pPr>
    </w:p>
    <w:p w14:paraId="29E51A7E" w14:textId="77777777" w:rsidR="008202B5" w:rsidRDefault="008202B5" w:rsidP="008202B5">
      <w:pPr>
        <w:rPr>
          <w:sz w:val="22"/>
          <w:szCs w:val="22"/>
        </w:rPr>
      </w:pPr>
      <w:r>
        <w:rPr>
          <w:b/>
          <w:sz w:val="22"/>
          <w:szCs w:val="22"/>
        </w:rPr>
        <w:t>Title:</w:t>
      </w:r>
      <w:r>
        <w:rPr>
          <w:sz w:val="22"/>
          <w:szCs w:val="22"/>
        </w:rPr>
        <w:t xml:space="preserve"> Top Five Life Science Trends</w:t>
      </w:r>
    </w:p>
    <w:p w14:paraId="55362272" w14:textId="77777777" w:rsidR="008202B5" w:rsidRDefault="008202B5" w:rsidP="008202B5">
      <w:pPr>
        <w:rPr>
          <w:sz w:val="22"/>
          <w:szCs w:val="22"/>
        </w:rPr>
      </w:pPr>
    </w:p>
    <w:p w14:paraId="18D464FB" w14:textId="77777777" w:rsidR="008202B5" w:rsidRDefault="008202B5" w:rsidP="008202B5">
      <w:pPr>
        <w:rPr>
          <w:sz w:val="22"/>
          <w:szCs w:val="22"/>
        </w:rPr>
      </w:pPr>
      <w:r>
        <w:rPr>
          <w:b/>
          <w:sz w:val="22"/>
          <w:szCs w:val="22"/>
        </w:rPr>
        <w:t>Body:</w:t>
      </w:r>
      <w:r>
        <w:rPr>
          <w:sz w:val="22"/>
          <w:szCs w:val="22"/>
        </w:rPr>
        <w:t xml:space="preserve"> This e-book from PINC AI describes five major trends impacting the life sciences industry and how real-world data, technology, diverse and decentralized clinical trials, and other innovative approaches are changing the life sciences landscape.</w:t>
      </w:r>
    </w:p>
    <w:p w14:paraId="2732A470" w14:textId="77777777" w:rsidR="008202B5" w:rsidRDefault="008202B5" w:rsidP="008202B5">
      <w:pPr>
        <w:rPr>
          <w:sz w:val="22"/>
          <w:szCs w:val="22"/>
        </w:rPr>
      </w:pPr>
    </w:p>
    <w:p w14:paraId="5CDB1974" w14:textId="77777777" w:rsidR="008202B5" w:rsidRDefault="008202B5" w:rsidP="008202B5">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32" w:history="1">
        <w:r>
          <w:rPr>
            <w:rStyle w:val="Hyperlink"/>
            <w:sz w:val="22"/>
            <w:szCs w:val="22"/>
          </w:rPr>
          <w:t>White Paper Channel.</w:t>
        </w:r>
      </w:hyperlink>
    </w:p>
    <w:p w14:paraId="76212F16" w14:textId="77777777" w:rsidR="00BE170F" w:rsidRPr="00580B00" w:rsidRDefault="00BE170F" w:rsidP="00BE170F">
      <w:pPr>
        <w:rPr>
          <w:sz w:val="22"/>
          <w:szCs w:val="22"/>
        </w:rPr>
      </w:pPr>
    </w:p>
    <w:p w14:paraId="72185DB1" w14:textId="77777777" w:rsidR="00BE170F" w:rsidRPr="00484370" w:rsidRDefault="00BE170F" w:rsidP="00BE170F">
      <w:pPr>
        <w:rPr>
          <w:sz w:val="22"/>
          <w:szCs w:val="22"/>
        </w:rPr>
      </w:pPr>
    </w:p>
    <w:p w14:paraId="0989AEF1" w14:textId="77777777" w:rsidR="00586C03" w:rsidRPr="0034798E" w:rsidRDefault="00586C03" w:rsidP="00586C03">
      <w:pPr>
        <w:rPr>
          <w:b/>
          <w:bCs/>
          <w:i/>
          <w:iCs/>
          <w:sz w:val="22"/>
          <w:szCs w:val="22"/>
        </w:rPr>
      </w:pPr>
      <w:r w:rsidRPr="00F25605">
        <w:rPr>
          <w:b/>
          <w:bCs/>
          <w:i/>
          <w:iCs/>
          <w:sz w:val="22"/>
          <w:szCs w:val="22"/>
        </w:rPr>
        <w:t>Singular Genomics White Paper 1</w:t>
      </w:r>
      <w:r w:rsidRPr="0034798E">
        <w:rPr>
          <w:b/>
          <w:bCs/>
          <w:i/>
          <w:iCs/>
          <w:sz w:val="22"/>
          <w:szCs w:val="22"/>
        </w:rPr>
        <w:t>:</w:t>
      </w:r>
    </w:p>
    <w:p w14:paraId="0208FDF7" w14:textId="77777777" w:rsidR="00586C03" w:rsidRPr="00317785" w:rsidRDefault="00586C03" w:rsidP="00586C03">
      <w:pPr>
        <w:rPr>
          <w:sz w:val="22"/>
          <w:szCs w:val="22"/>
        </w:rPr>
      </w:pPr>
    </w:p>
    <w:p w14:paraId="2E0398DD" w14:textId="77777777" w:rsidR="00586C03" w:rsidRDefault="00586C03" w:rsidP="00586C03">
      <w:pPr>
        <w:rPr>
          <w:b/>
          <w:bCs/>
          <w:sz w:val="22"/>
          <w:szCs w:val="22"/>
        </w:rPr>
      </w:pPr>
      <w:r w:rsidRPr="004D426A">
        <w:rPr>
          <w:b/>
          <w:bCs/>
          <w:sz w:val="22"/>
          <w:szCs w:val="22"/>
        </w:rPr>
        <w:t>Title:</w:t>
      </w:r>
      <w:r w:rsidRPr="00317785">
        <w:rPr>
          <w:sz w:val="22"/>
          <w:szCs w:val="22"/>
        </w:rPr>
        <w:t xml:space="preserve"> </w:t>
      </w:r>
      <w:r w:rsidRPr="00F32825">
        <w:rPr>
          <w:sz w:val="22"/>
          <w:szCs w:val="22"/>
        </w:rPr>
        <w:t xml:space="preserve">Germline Exome Analysis with a </w:t>
      </w:r>
      <w:proofErr w:type="spellStart"/>
      <w:r w:rsidRPr="00F32825">
        <w:rPr>
          <w:sz w:val="22"/>
          <w:szCs w:val="22"/>
        </w:rPr>
        <w:t>DeepVariant</w:t>
      </w:r>
      <w:proofErr w:type="spellEnd"/>
      <w:r w:rsidRPr="00F32825">
        <w:rPr>
          <w:sz w:val="22"/>
          <w:szCs w:val="22"/>
        </w:rPr>
        <w:t xml:space="preserve"> Model</w:t>
      </w:r>
    </w:p>
    <w:p w14:paraId="5B0C2F9A" w14:textId="77777777" w:rsidR="00586C03" w:rsidRPr="00317785" w:rsidRDefault="00586C03" w:rsidP="00586C03">
      <w:pPr>
        <w:rPr>
          <w:sz w:val="22"/>
          <w:szCs w:val="22"/>
        </w:rPr>
      </w:pPr>
    </w:p>
    <w:p w14:paraId="7D8B0534" w14:textId="77777777" w:rsidR="00586C03" w:rsidRPr="00F32825" w:rsidRDefault="00586C03" w:rsidP="00586C03">
      <w:pPr>
        <w:rPr>
          <w:sz w:val="22"/>
          <w:szCs w:val="22"/>
        </w:rPr>
      </w:pPr>
      <w:r w:rsidRPr="004D426A">
        <w:rPr>
          <w:b/>
          <w:bCs/>
          <w:sz w:val="22"/>
          <w:szCs w:val="22"/>
        </w:rPr>
        <w:t>Body:</w:t>
      </w:r>
      <w:r w:rsidRPr="00317785">
        <w:rPr>
          <w:sz w:val="22"/>
          <w:szCs w:val="22"/>
        </w:rPr>
        <w:t xml:space="preserve"> </w:t>
      </w:r>
      <w:r>
        <w:rPr>
          <w:sz w:val="22"/>
          <w:szCs w:val="22"/>
        </w:rPr>
        <w:t>This poster from Singular Genomics</w:t>
      </w:r>
      <w:r w:rsidRPr="00F55773">
        <w:rPr>
          <w:sz w:val="22"/>
          <w:szCs w:val="22"/>
        </w:rPr>
        <w:t xml:space="preserve"> present</w:t>
      </w:r>
      <w:r>
        <w:rPr>
          <w:sz w:val="22"/>
          <w:szCs w:val="22"/>
        </w:rPr>
        <w:t>s</w:t>
      </w:r>
      <w:r w:rsidRPr="00F55773">
        <w:rPr>
          <w:sz w:val="22"/>
          <w:szCs w:val="22"/>
        </w:rPr>
        <w:t xml:space="preserve"> a highly performant </w:t>
      </w:r>
      <w:proofErr w:type="spellStart"/>
      <w:r w:rsidRPr="00F55773">
        <w:rPr>
          <w:sz w:val="22"/>
          <w:szCs w:val="22"/>
        </w:rPr>
        <w:t>DeepVariant</w:t>
      </w:r>
      <w:proofErr w:type="spellEnd"/>
      <w:r w:rsidRPr="00F55773">
        <w:rPr>
          <w:sz w:val="22"/>
          <w:szCs w:val="22"/>
        </w:rPr>
        <w:t xml:space="preserve"> model</w:t>
      </w:r>
      <w:r>
        <w:rPr>
          <w:sz w:val="22"/>
          <w:szCs w:val="22"/>
        </w:rPr>
        <w:t>, which leverages</w:t>
      </w:r>
      <w:r w:rsidRPr="00F55773">
        <w:rPr>
          <w:sz w:val="22"/>
          <w:szCs w:val="22"/>
        </w:rPr>
        <w:t xml:space="preserve"> deep </w:t>
      </w:r>
      <w:r w:rsidRPr="00F32825">
        <w:rPr>
          <w:sz w:val="22"/>
          <w:szCs w:val="22"/>
        </w:rPr>
        <w:t>convolutional neural networks trained upon read pileup images to identify variants, optimized for germline exome analysis on the novel G4 Sequencing Platform.</w:t>
      </w:r>
    </w:p>
    <w:p w14:paraId="5953890F" w14:textId="77777777" w:rsidR="00586C03" w:rsidRPr="00F32825" w:rsidRDefault="00586C03" w:rsidP="00586C03">
      <w:pPr>
        <w:rPr>
          <w:sz w:val="22"/>
          <w:szCs w:val="22"/>
        </w:rPr>
      </w:pPr>
    </w:p>
    <w:p w14:paraId="74BDF750" w14:textId="77777777" w:rsidR="00586C03" w:rsidRDefault="00586C03" w:rsidP="00586C03">
      <w:pPr>
        <w:rPr>
          <w:sz w:val="22"/>
          <w:szCs w:val="22"/>
        </w:rPr>
      </w:pPr>
      <w:r w:rsidRPr="00F32825">
        <w:rPr>
          <w:sz w:val="22"/>
          <w:szCs w:val="22"/>
        </w:rPr>
        <w:t xml:space="preserve">Download it from </w:t>
      </w:r>
      <w:proofErr w:type="spellStart"/>
      <w:r w:rsidRPr="00F32825">
        <w:rPr>
          <w:sz w:val="22"/>
          <w:szCs w:val="22"/>
        </w:rPr>
        <w:t>GenomeWeb’s</w:t>
      </w:r>
      <w:proofErr w:type="spellEnd"/>
      <w:r w:rsidRPr="00F32825">
        <w:rPr>
          <w:sz w:val="22"/>
          <w:szCs w:val="22"/>
        </w:rPr>
        <w:t xml:space="preserve"> </w:t>
      </w:r>
      <w:hyperlink r:id="rId1133" w:history="1">
        <w:r w:rsidRPr="00F77AEE">
          <w:rPr>
            <w:rStyle w:val="Hyperlink"/>
            <w:sz w:val="22"/>
            <w:szCs w:val="22"/>
          </w:rPr>
          <w:t>White Paper Channel</w:t>
        </w:r>
      </w:hyperlink>
      <w:r w:rsidRPr="00F32825">
        <w:rPr>
          <w:sz w:val="22"/>
          <w:szCs w:val="22"/>
        </w:rPr>
        <w:t>.</w:t>
      </w:r>
    </w:p>
    <w:p w14:paraId="36C5A35C" w14:textId="77777777" w:rsidR="00586C03" w:rsidRDefault="00586C03" w:rsidP="00586C03">
      <w:pPr>
        <w:rPr>
          <w:sz w:val="22"/>
          <w:szCs w:val="22"/>
        </w:rPr>
      </w:pPr>
    </w:p>
    <w:p w14:paraId="5718DE75" w14:textId="77777777" w:rsidR="00586C03" w:rsidRDefault="00586C03" w:rsidP="00586C03">
      <w:pPr>
        <w:rPr>
          <w:sz w:val="22"/>
          <w:szCs w:val="22"/>
        </w:rPr>
      </w:pPr>
      <w:r>
        <w:rPr>
          <w:sz w:val="22"/>
          <w:szCs w:val="22"/>
        </w:rPr>
        <w:t>--</w:t>
      </w:r>
    </w:p>
    <w:p w14:paraId="701B06C4" w14:textId="77777777" w:rsidR="00586C03" w:rsidRPr="00317785" w:rsidRDefault="00586C03" w:rsidP="00586C03">
      <w:pPr>
        <w:rPr>
          <w:sz w:val="22"/>
          <w:szCs w:val="22"/>
        </w:rPr>
      </w:pPr>
    </w:p>
    <w:p w14:paraId="57DF8C5B" w14:textId="77777777" w:rsidR="00586C03" w:rsidRPr="0034798E" w:rsidRDefault="00586C03" w:rsidP="00586C03">
      <w:pPr>
        <w:rPr>
          <w:b/>
          <w:bCs/>
          <w:i/>
          <w:iCs/>
          <w:sz w:val="22"/>
          <w:szCs w:val="22"/>
        </w:rPr>
      </w:pPr>
      <w:r w:rsidRPr="0060764E">
        <w:rPr>
          <w:b/>
          <w:bCs/>
          <w:i/>
          <w:iCs/>
          <w:sz w:val="22"/>
          <w:szCs w:val="22"/>
        </w:rPr>
        <w:t>Singular Genomics White Paper 2</w:t>
      </w:r>
      <w:r w:rsidRPr="0034798E">
        <w:rPr>
          <w:b/>
          <w:bCs/>
          <w:i/>
          <w:iCs/>
          <w:sz w:val="22"/>
          <w:szCs w:val="22"/>
        </w:rPr>
        <w:t>:</w:t>
      </w:r>
    </w:p>
    <w:p w14:paraId="36186257" w14:textId="77777777" w:rsidR="00586C03" w:rsidRPr="00317785" w:rsidRDefault="00586C03" w:rsidP="00586C03">
      <w:pPr>
        <w:rPr>
          <w:sz w:val="22"/>
          <w:szCs w:val="22"/>
        </w:rPr>
      </w:pPr>
    </w:p>
    <w:p w14:paraId="608170EE" w14:textId="77777777" w:rsidR="00586C03" w:rsidRDefault="00586C03" w:rsidP="00586C03">
      <w:pPr>
        <w:rPr>
          <w:b/>
          <w:bCs/>
          <w:sz w:val="22"/>
          <w:szCs w:val="22"/>
        </w:rPr>
      </w:pPr>
      <w:r w:rsidRPr="004D426A">
        <w:rPr>
          <w:b/>
          <w:bCs/>
          <w:sz w:val="22"/>
          <w:szCs w:val="22"/>
        </w:rPr>
        <w:t>Title:</w:t>
      </w:r>
      <w:r w:rsidRPr="00317785">
        <w:rPr>
          <w:sz w:val="22"/>
          <w:szCs w:val="22"/>
        </w:rPr>
        <w:t xml:space="preserve"> </w:t>
      </w:r>
      <w:r w:rsidRPr="00804D8D">
        <w:rPr>
          <w:sz w:val="22"/>
          <w:szCs w:val="22"/>
        </w:rPr>
        <w:t xml:space="preserve">Performance Characterization of </w:t>
      </w:r>
      <w:r>
        <w:rPr>
          <w:sz w:val="22"/>
          <w:szCs w:val="22"/>
        </w:rPr>
        <w:t>a Novel</w:t>
      </w:r>
      <w:r w:rsidRPr="00804D8D">
        <w:rPr>
          <w:sz w:val="22"/>
          <w:szCs w:val="22"/>
        </w:rPr>
        <w:t xml:space="preserve"> Sequencing Platform for Human Whole</w:t>
      </w:r>
      <w:r>
        <w:rPr>
          <w:sz w:val="22"/>
          <w:szCs w:val="22"/>
        </w:rPr>
        <w:t>-</w:t>
      </w:r>
      <w:r w:rsidRPr="00804D8D">
        <w:rPr>
          <w:sz w:val="22"/>
          <w:szCs w:val="22"/>
        </w:rPr>
        <w:t>Genome Sequencing</w:t>
      </w:r>
    </w:p>
    <w:p w14:paraId="60D645AF" w14:textId="77777777" w:rsidR="00586C03" w:rsidRPr="00317785" w:rsidRDefault="00586C03" w:rsidP="00586C03">
      <w:pPr>
        <w:rPr>
          <w:sz w:val="22"/>
          <w:szCs w:val="22"/>
        </w:rPr>
      </w:pPr>
    </w:p>
    <w:p w14:paraId="173C21A5" w14:textId="77777777" w:rsidR="00586C03" w:rsidRPr="00F55773" w:rsidRDefault="00586C03" w:rsidP="00586C03">
      <w:pPr>
        <w:rPr>
          <w:sz w:val="22"/>
          <w:szCs w:val="22"/>
        </w:rPr>
      </w:pPr>
      <w:r w:rsidRPr="004D426A">
        <w:rPr>
          <w:b/>
          <w:bCs/>
          <w:sz w:val="22"/>
          <w:szCs w:val="22"/>
        </w:rPr>
        <w:t>Body:</w:t>
      </w:r>
      <w:r w:rsidRPr="00317785">
        <w:rPr>
          <w:sz w:val="22"/>
          <w:szCs w:val="22"/>
        </w:rPr>
        <w:t xml:space="preserve"> </w:t>
      </w:r>
      <w:r>
        <w:rPr>
          <w:sz w:val="22"/>
          <w:szCs w:val="22"/>
        </w:rPr>
        <w:t>This technical report from Singular Genomics</w:t>
      </w:r>
      <w:r w:rsidRPr="00804D8D">
        <w:rPr>
          <w:sz w:val="22"/>
          <w:szCs w:val="22"/>
        </w:rPr>
        <w:t xml:space="preserve"> present</w:t>
      </w:r>
      <w:r>
        <w:rPr>
          <w:sz w:val="22"/>
          <w:szCs w:val="22"/>
        </w:rPr>
        <w:t>s</w:t>
      </w:r>
      <w:r w:rsidRPr="00804D8D">
        <w:rPr>
          <w:sz w:val="22"/>
          <w:szCs w:val="22"/>
        </w:rPr>
        <w:t xml:space="preserve"> whole</w:t>
      </w:r>
      <w:r>
        <w:rPr>
          <w:sz w:val="22"/>
          <w:szCs w:val="22"/>
        </w:rPr>
        <w:t>-</w:t>
      </w:r>
      <w:r w:rsidRPr="00804D8D">
        <w:rPr>
          <w:sz w:val="22"/>
          <w:szCs w:val="22"/>
        </w:rPr>
        <w:t xml:space="preserve">genome sequencing data </w:t>
      </w:r>
      <w:r>
        <w:rPr>
          <w:sz w:val="22"/>
          <w:szCs w:val="22"/>
        </w:rPr>
        <w:t xml:space="preserve">of a </w:t>
      </w:r>
      <w:r w:rsidRPr="00804D8D">
        <w:rPr>
          <w:sz w:val="22"/>
          <w:szCs w:val="22"/>
        </w:rPr>
        <w:t xml:space="preserve">reference </w:t>
      </w:r>
      <w:r>
        <w:rPr>
          <w:sz w:val="22"/>
          <w:szCs w:val="22"/>
        </w:rPr>
        <w:t xml:space="preserve">human </w:t>
      </w:r>
      <w:r w:rsidRPr="00804D8D">
        <w:rPr>
          <w:sz w:val="22"/>
          <w:szCs w:val="22"/>
        </w:rPr>
        <w:t>genome, cell line NA12878 from the CEPH Utah Reference collection</w:t>
      </w:r>
      <w:r>
        <w:rPr>
          <w:sz w:val="22"/>
          <w:szCs w:val="22"/>
        </w:rPr>
        <w:t>,</w:t>
      </w:r>
      <w:r w:rsidRPr="00804D8D">
        <w:rPr>
          <w:sz w:val="22"/>
          <w:szCs w:val="22"/>
        </w:rPr>
        <w:t xml:space="preserve"> </w:t>
      </w:r>
      <w:r>
        <w:rPr>
          <w:sz w:val="22"/>
          <w:szCs w:val="22"/>
        </w:rPr>
        <w:t>using</w:t>
      </w:r>
      <w:r w:rsidRPr="00804D8D">
        <w:rPr>
          <w:sz w:val="22"/>
          <w:szCs w:val="22"/>
        </w:rPr>
        <w:t xml:space="preserve"> the G4, a new NGS platform from Singular Genomics designed to enable accurate sequencing and faster results to advance the state of the art in clinical and basic research. </w:t>
      </w:r>
    </w:p>
    <w:p w14:paraId="78E36CF6" w14:textId="77777777" w:rsidR="00586C03" w:rsidRPr="00F32825" w:rsidRDefault="00586C03" w:rsidP="00586C03">
      <w:pPr>
        <w:rPr>
          <w:sz w:val="22"/>
          <w:szCs w:val="22"/>
        </w:rPr>
      </w:pPr>
    </w:p>
    <w:p w14:paraId="47D81825" w14:textId="77777777" w:rsidR="00586C03" w:rsidRPr="00F32825" w:rsidRDefault="00586C03" w:rsidP="00586C03">
      <w:pPr>
        <w:rPr>
          <w:sz w:val="22"/>
          <w:szCs w:val="22"/>
        </w:rPr>
      </w:pPr>
    </w:p>
    <w:p w14:paraId="48232A2B" w14:textId="77777777" w:rsidR="00586C03" w:rsidRDefault="00586C03" w:rsidP="00586C03">
      <w:pPr>
        <w:rPr>
          <w:sz w:val="22"/>
          <w:szCs w:val="22"/>
        </w:rPr>
      </w:pPr>
      <w:r w:rsidRPr="00F32825">
        <w:rPr>
          <w:sz w:val="22"/>
          <w:szCs w:val="22"/>
        </w:rPr>
        <w:t xml:space="preserve">Download it from </w:t>
      </w:r>
      <w:proofErr w:type="spellStart"/>
      <w:r w:rsidRPr="00F32825">
        <w:rPr>
          <w:sz w:val="22"/>
          <w:szCs w:val="22"/>
        </w:rPr>
        <w:t>GenomeWeb’s</w:t>
      </w:r>
      <w:proofErr w:type="spellEnd"/>
      <w:r w:rsidRPr="00F32825">
        <w:rPr>
          <w:sz w:val="22"/>
          <w:szCs w:val="22"/>
        </w:rPr>
        <w:t xml:space="preserve"> </w:t>
      </w:r>
      <w:hyperlink r:id="rId1134" w:history="1">
        <w:r w:rsidRPr="00721A46">
          <w:rPr>
            <w:rStyle w:val="Hyperlink"/>
            <w:sz w:val="22"/>
            <w:szCs w:val="22"/>
          </w:rPr>
          <w:t>White Paper Channel.</w:t>
        </w:r>
      </w:hyperlink>
    </w:p>
    <w:p w14:paraId="08158E96" w14:textId="77777777" w:rsidR="00586C03" w:rsidRDefault="00586C03" w:rsidP="00586C03">
      <w:pPr>
        <w:rPr>
          <w:sz w:val="22"/>
          <w:szCs w:val="22"/>
        </w:rPr>
      </w:pPr>
    </w:p>
    <w:p w14:paraId="3E0BD799" w14:textId="77777777" w:rsidR="00586C03" w:rsidRDefault="00586C03" w:rsidP="00586C03">
      <w:pPr>
        <w:rPr>
          <w:sz w:val="22"/>
          <w:szCs w:val="22"/>
        </w:rPr>
      </w:pPr>
      <w:r>
        <w:rPr>
          <w:sz w:val="22"/>
          <w:szCs w:val="22"/>
        </w:rPr>
        <w:t>--</w:t>
      </w:r>
    </w:p>
    <w:p w14:paraId="675AF0E1" w14:textId="77777777" w:rsidR="00586C03" w:rsidRPr="00317785" w:rsidRDefault="00586C03" w:rsidP="00586C03">
      <w:pPr>
        <w:rPr>
          <w:sz w:val="22"/>
          <w:szCs w:val="22"/>
        </w:rPr>
      </w:pPr>
    </w:p>
    <w:p w14:paraId="26D7E1F3" w14:textId="77777777" w:rsidR="00586C03" w:rsidRPr="0034798E" w:rsidRDefault="00586C03" w:rsidP="00586C03">
      <w:pPr>
        <w:rPr>
          <w:b/>
          <w:bCs/>
          <w:i/>
          <w:iCs/>
          <w:sz w:val="22"/>
          <w:szCs w:val="22"/>
        </w:rPr>
      </w:pPr>
      <w:r w:rsidRPr="008F0F84">
        <w:rPr>
          <w:b/>
          <w:bCs/>
          <w:i/>
          <w:iCs/>
          <w:sz w:val="22"/>
          <w:szCs w:val="22"/>
        </w:rPr>
        <w:t>Singular Genomics White Paper 3</w:t>
      </w:r>
      <w:r w:rsidRPr="0034798E">
        <w:rPr>
          <w:b/>
          <w:bCs/>
          <w:i/>
          <w:iCs/>
          <w:sz w:val="22"/>
          <w:szCs w:val="22"/>
        </w:rPr>
        <w:t>:</w:t>
      </w:r>
    </w:p>
    <w:p w14:paraId="4303E492" w14:textId="77777777" w:rsidR="00586C03" w:rsidRPr="00317785" w:rsidRDefault="00586C03" w:rsidP="00586C03">
      <w:pPr>
        <w:rPr>
          <w:sz w:val="22"/>
          <w:szCs w:val="22"/>
        </w:rPr>
      </w:pPr>
    </w:p>
    <w:p w14:paraId="07647ED9" w14:textId="77777777" w:rsidR="00586C03" w:rsidRDefault="00586C03" w:rsidP="00586C03">
      <w:pPr>
        <w:rPr>
          <w:b/>
          <w:bCs/>
          <w:sz w:val="22"/>
          <w:szCs w:val="22"/>
        </w:rPr>
      </w:pPr>
      <w:r w:rsidRPr="004D426A">
        <w:rPr>
          <w:b/>
          <w:bCs/>
          <w:sz w:val="22"/>
          <w:szCs w:val="22"/>
        </w:rPr>
        <w:t>Title:</w:t>
      </w:r>
      <w:r w:rsidRPr="00317785">
        <w:rPr>
          <w:sz w:val="22"/>
          <w:szCs w:val="22"/>
        </w:rPr>
        <w:t xml:space="preserve"> </w:t>
      </w:r>
      <w:r w:rsidRPr="00C26707">
        <w:rPr>
          <w:sz w:val="22"/>
          <w:szCs w:val="22"/>
        </w:rPr>
        <w:t xml:space="preserve">A High-Throughput Short-Read Format for </w:t>
      </w:r>
      <w:r>
        <w:rPr>
          <w:sz w:val="22"/>
          <w:szCs w:val="22"/>
        </w:rPr>
        <w:t>a Novel</w:t>
      </w:r>
      <w:r w:rsidRPr="00C26707">
        <w:rPr>
          <w:sz w:val="22"/>
          <w:szCs w:val="22"/>
        </w:rPr>
        <w:t xml:space="preserve"> Sequencing Platform</w:t>
      </w:r>
    </w:p>
    <w:p w14:paraId="3562FB16" w14:textId="77777777" w:rsidR="00586C03" w:rsidRPr="00317785" w:rsidRDefault="00586C03" w:rsidP="00586C03">
      <w:pPr>
        <w:rPr>
          <w:sz w:val="22"/>
          <w:szCs w:val="22"/>
        </w:rPr>
      </w:pPr>
    </w:p>
    <w:p w14:paraId="314753EF" w14:textId="77777777" w:rsidR="00586C03" w:rsidRPr="00F55773" w:rsidRDefault="00586C03" w:rsidP="00586C03">
      <w:pPr>
        <w:rPr>
          <w:sz w:val="22"/>
          <w:szCs w:val="22"/>
        </w:rPr>
      </w:pPr>
      <w:r w:rsidRPr="004D426A">
        <w:rPr>
          <w:b/>
          <w:bCs/>
          <w:sz w:val="22"/>
          <w:szCs w:val="22"/>
        </w:rPr>
        <w:t>Body:</w:t>
      </w:r>
      <w:r w:rsidRPr="00317785">
        <w:rPr>
          <w:sz w:val="22"/>
          <w:szCs w:val="22"/>
        </w:rPr>
        <w:t xml:space="preserve"> </w:t>
      </w:r>
      <w:r>
        <w:rPr>
          <w:sz w:val="22"/>
          <w:szCs w:val="22"/>
        </w:rPr>
        <w:t xml:space="preserve">This poster from Singular Genomics </w:t>
      </w:r>
      <w:r w:rsidRPr="00C26707">
        <w:rPr>
          <w:sz w:val="22"/>
          <w:szCs w:val="22"/>
        </w:rPr>
        <w:t>introduce</w:t>
      </w:r>
      <w:r>
        <w:rPr>
          <w:sz w:val="22"/>
          <w:szCs w:val="22"/>
        </w:rPr>
        <w:t>s</w:t>
      </w:r>
      <w:r w:rsidRPr="00C26707">
        <w:rPr>
          <w:sz w:val="22"/>
          <w:szCs w:val="22"/>
        </w:rPr>
        <w:t xml:space="preserve"> the Max Read </w:t>
      </w:r>
      <w:r>
        <w:rPr>
          <w:sz w:val="22"/>
          <w:szCs w:val="22"/>
        </w:rPr>
        <w:t xml:space="preserve">sequencing </w:t>
      </w:r>
      <w:r w:rsidRPr="00C26707">
        <w:rPr>
          <w:sz w:val="22"/>
          <w:szCs w:val="22"/>
        </w:rPr>
        <w:t>kit</w:t>
      </w:r>
      <w:r>
        <w:rPr>
          <w:sz w:val="22"/>
          <w:szCs w:val="22"/>
        </w:rPr>
        <w:t xml:space="preserve"> for the G4 Sequencing Platform</w:t>
      </w:r>
      <w:r w:rsidRPr="00C26707">
        <w:rPr>
          <w:sz w:val="22"/>
          <w:szCs w:val="22"/>
        </w:rPr>
        <w:t>, which enables multiple sets of independent single</w:t>
      </w:r>
      <w:r>
        <w:rPr>
          <w:sz w:val="22"/>
          <w:szCs w:val="22"/>
        </w:rPr>
        <w:t>-</w:t>
      </w:r>
      <w:r w:rsidRPr="00C26707">
        <w:rPr>
          <w:sz w:val="22"/>
          <w:szCs w:val="22"/>
        </w:rPr>
        <w:t>end or paired-end reads on the same flow cell</w:t>
      </w:r>
      <w:r>
        <w:rPr>
          <w:sz w:val="22"/>
          <w:szCs w:val="22"/>
        </w:rPr>
        <w:t xml:space="preserve"> for a </w:t>
      </w:r>
      <w:r w:rsidRPr="00C26707">
        <w:rPr>
          <w:sz w:val="22"/>
          <w:szCs w:val="22"/>
        </w:rPr>
        <w:t>higher output of short reads without a significant impact on read quality.</w:t>
      </w:r>
    </w:p>
    <w:p w14:paraId="186BC29B" w14:textId="77777777" w:rsidR="00586C03" w:rsidRPr="00F32825" w:rsidRDefault="00586C03" w:rsidP="00586C03">
      <w:pPr>
        <w:rPr>
          <w:sz w:val="22"/>
          <w:szCs w:val="22"/>
        </w:rPr>
      </w:pPr>
    </w:p>
    <w:p w14:paraId="7915726C" w14:textId="77777777" w:rsidR="00586C03" w:rsidRDefault="00586C03" w:rsidP="00586C03">
      <w:pPr>
        <w:rPr>
          <w:sz w:val="22"/>
          <w:szCs w:val="22"/>
        </w:rPr>
      </w:pPr>
      <w:r w:rsidRPr="00F32825">
        <w:rPr>
          <w:sz w:val="22"/>
          <w:szCs w:val="22"/>
        </w:rPr>
        <w:lastRenderedPageBreak/>
        <w:t xml:space="preserve">Download it from </w:t>
      </w:r>
      <w:proofErr w:type="spellStart"/>
      <w:r w:rsidRPr="00F32825">
        <w:rPr>
          <w:sz w:val="22"/>
          <w:szCs w:val="22"/>
        </w:rPr>
        <w:t>GenomeWeb’s</w:t>
      </w:r>
      <w:proofErr w:type="spellEnd"/>
      <w:r w:rsidRPr="00F32825">
        <w:rPr>
          <w:sz w:val="22"/>
          <w:szCs w:val="22"/>
        </w:rPr>
        <w:t xml:space="preserve"> </w:t>
      </w:r>
      <w:hyperlink r:id="rId1135" w:history="1">
        <w:r w:rsidRPr="0068102E">
          <w:rPr>
            <w:rStyle w:val="Hyperlink"/>
            <w:sz w:val="22"/>
            <w:szCs w:val="22"/>
          </w:rPr>
          <w:t>White Paper Channel.</w:t>
        </w:r>
      </w:hyperlink>
    </w:p>
    <w:p w14:paraId="46D38954" w14:textId="77777777" w:rsidR="00586C03" w:rsidRDefault="00586C03" w:rsidP="00586C03">
      <w:pPr>
        <w:rPr>
          <w:sz w:val="22"/>
          <w:szCs w:val="22"/>
        </w:rPr>
      </w:pPr>
    </w:p>
    <w:p w14:paraId="3C482B2A" w14:textId="77777777" w:rsidR="00586C03" w:rsidRDefault="00586C03" w:rsidP="00586C03">
      <w:pPr>
        <w:rPr>
          <w:sz w:val="22"/>
          <w:szCs w:val="22"/>
        </w:rPr>
      </w:pPr>
      <w:r>
        <w:rPr>
          <w:sz w:val="22"/>
          <w:szCs w:val="22"/>
        </w:rPr>
        <w:t>--</w:t>
      </w:r>
    </w:p>
    <w:p w14:paraId="37ACC752" w14:textId="77777777" w:rsidR="00586C03" w:rsidRPr="00317785" w:rsidRDefault="00586C03" w:rsidP="00586C03">
      <w:pPr>
        <w:rPr>
          <w:sz w:val="22"/>
          <w:szCs w:val="22"/>
        </w:rPr>
      </w:pPr>
    </w:p>
    <w:p w14:paraId="7A675F31" w14:textId="77777777" w:rsidR="00586C03" w:rsidRPr="0034798E" w:rsidRDefault="00586C03" w:rsidP="00586C03">
      <w:pPr>
        <w:rPr>
          <w:b/>
          <w:bCs/>
          <w:i/>
          <w:iCs/>
          <w:sz w:val="22"/>
          <w:szCs w:val="22"/>
        </w:rPr>
      </w:pPr>
      <w:r w:rsidRPr="008F0F84">
        <w:rPr>
          <w:b/>
          <w:bCs/>
          <w:i/>
          <w:iCs/>
          <w:sz w:val="22"/>
          <w:szCs w:val="22"/>
        </w:rPr>
        <w:t>Singular Genomics White Paper 4</w:t>
      </w:r>
      <w:r w:rsidRPr="0034798E">
        <w:rPr>
          <w:b/>
          <w:bCs/>
          <w:i/>
          <w:iCs/>
          <w:sz w:val="22"/>
          <w:szCs w:val="22"/>
        </w:rPr>
        <w:t>:</w:t>
      </w:r>
    </w:p>
    <w:p w14:paraId="6ABBC2CD" w14:textId="77777777" w:rsidR="00586C03" w:rsidRPr="00317785" w:rsidRDefault="00586C03" w:rsidP="00586C03">
      <w:pPr>
        <w:rPr>
          <w:sz w:val="22"/>
          <w:szCs w:val="22"/>
        </w:rPr>
      </w:pPr>
    </w:p>
    <w:p w14:paraId="402D10CF" w14:textId="77777777" w:rsidR="00586C03" w:rsidRPr="002E7E65" w:rsidRDefault="00586C03" w:rsidP="00586C03">
      <w:pPr>
        <w:rPr>
          <w:sz w:val="22"/>
          <w:szCs w:val="22"/>
        </w:rPr>
      </w:pPr>
      <w:r w:rsidRPr="004D426A">
        <w:rPr>
          <w:b/>
          <w:bCs/>
          <w:sz w:val="22"/>
          <w:szCs w:val="22"/>
        </w:rPr>
        <w:t>Title:</w:t>
      </w:r>
      <w:r w:rsidRPr="00317785">
        <w:rPr>
          <w:sz w:val="22"/>
          <w:szCs w:val="22"/>
        </w:rPr>
        <w:t xml:space="preserve"> </w:t>
      </w:r>
      <w:r w:rsidRPr="002E7E65">
        <w:rPr>
          <w:sz w:val="22"/>
          <w:szCs w:val="22"/>
        </w:rPr>
        <w:t>RNA Sequencing on a Novel Sequencing Platform</w:t>
      </w:r>
    </w:p>
    <w:p w14:paraId="1BEAA2FA" w14:textId="77777777" w:rsidR="00586C03" w:rsidRPr="00317785" w:rsidRDefault="00586C03" w:rsidP="00586C03">
      <w:pPr>
        <w:rPr>
          <w:sz w:val="22"/>
          <w:szCs w:val="22"/>
        </w:rPr>
      </w:pPr>
    </w:p>
    <w:p w14:paraId="137B1921" w14:textId="77777777" w:rsidR="00586C03" w:rsidRPr="00F55773" w:rsidRDefault="00586C03" w:rsidP="00586C03">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Singular Genomics presents RNA sequencing data from the novel G4 Sequencing Platform, which is </w:t>
      </w:r>
      <w:r w:rsidRPr="00337EC8">
        <w:rPr>
          <w:sz w:val="22"/>
          <w:szCs w:val="22"/>
        </w:rPr>
        <w:t>compatible with existing upstream RNA-</w:t>
      </w:r>
      <w:r>
        <w:rPr>
          <w:sz w:val="22"/>
          <w:szCs w:val="22"/>
        </w:rPr>
        <w:t>s</w:t>
      </w:r>
      <w:r w:rsidRPr="00337EC8">
        <w:rPr>
          <w:sz w:val="22"/>
          <w:szCs w:val="22"/>
        </w:rPr>
        <w:t>eq library prep kits and outputs FASTQ files compatible with existing bioinformatic pipelines</w:t>
      </w:r>
      <w:r>
        <w:rPr>
          <w:sz w:val="22"/>
          <w:szCs w:val="22"/>
        </w:rPr>
        <w:t xml:space="preserve">, showing the platform to </w:t>
      </w:r>
      <w:r w:rsidRPr="00337EC8">
        <w:rPr>
          <w:sz w:val="22"/>
          <w:szCs w:val="22"/>
        </w:rPr>
        <w:t>deliver accurate data correlated with the industry standard benchtop sequencer</w:t>
      </w:r>
      <w:r>
        <w:rPr>
          <w:sz w:val="22"/>
          <w:szCs w:val="22"/>
        </w:rPr>
        <w:t>.</w:t>
      </w:r>
    </w:p>
    <w:p w14:paraId="747FC553" w14:textId="77777777" w:rsidR="00586C03" w:rsidRPr="00F32825" w:rsidRDefault="00586C03" w:rsidP="00586C03">
      <w:pPr>
        <w:rPr>
          <w:sz w:val="22"/>
          <w:szCs w:val="22"/>
        </w:rPr>
      </w:pPr>
    </w:p>
    <w:p w14:paraId="64C20626" w14:textId="77777777" w:rsidR="00586C03" w:rsidRDefault="00586C03" w:rsidP="00586C03">
      <w:pPr>
        <w:rPr>
          <w:sz w:val="22"/>
          <w:szCs w:val="22"/>
        </w:rPr>
      </w:pPr>
      <w:r w:rsidRPr="00F32825">
        <w:rPr>
          <w:sz w:val="22"/>
          <w:szCs w:val="22"/>
        </w:rPr>
        <w:t xml:space="preserve">Download it from </w:t>
      </w:r>
      <w:proofErr w:type="spellStart"/>
      <w:r w:rsidRPr="00F32825">
        <w:rPr>
          <w:sz w:val="22"/>
          <w:szCs w:val="22"/>
        </w:rPr>
        <w:t>GenomeWeb’s</w:t>
      </w:r>
      <w:proofErr w:type="spellEnd"/>
      <w:r w:rsidRPr="00F32825">
        <w:rPr>
          <w:sz w:val="22"/>
          <w:szCs w:val="22"/>
        </w:rPr>
        <w:t xml:space="preserve"> </w:t>
      </w:r>
      <w:hyperlink r:id="rId1136" w:history="1">
        <w:r w:rsidRPr="000D7BF9">
          <w:rPr>
            <w:rStyle w:val="Hyperlink"/>
            <w:sz w:val="22"/>
            <w:szCs w:val="22"/>
          </w:rPr>
          <w:t>White Paper Channel.</w:t>
        </w:r>
      </w:hyperlink>
    </w:p>
    <w:p w14:paraId="0272C988" w14:textId="77777777" w:rsidR="00586C03" w:rsidRDefault="00586C03" w:rsidP="00586C03">
      <w:pPr>
        <w:rPr>
          <w:sz w:val="22"/>
          <w:szCs w:val="22"/>
        </w:rPr>
      </w:pPr>
    </w:p>
    <w:p w14:paraId="08AA2533" w14:textId="77777777" w:rsidR="00586C03" w:rsidRDefault="00586C03" w:rsidP="00586C03">
      <w:pPr>
        <w:rPr>
          <w:sz w:val="22"/>
          <w:szCs w:val="22"/>
        </w:rPr>
      </w:pPr>
      <w:r>
        <w:rPr>
          <w:sz w:val="22"/>
          <w:szCs w:val="22"/>
        </w:rPr>
        <w:t>--</w:t>
      </w:r>
    </w:p>
    <w:p w14:paraId="0261D140" w14:textId="77777777" w:rsidR="00586C03" w:rsidRPr="00317785" w:rsidRDefault="00586C03" w:rsidP="00586C03">
      <w:pPr>
        <w:rPr>
          <w:sz w:val="22"/>
          <w:szCs w:val="22"/>
        </w:rPr>
      </w:pPr>
    </w:p>
    <w:p w14:paraId="7DA545CD" w14:textId="77777777" w:rsidR="00586C03" w:rsidRPr="0034798E" w:rsidRDefault="00586C03" w:rsidP="00586C03">
      <w:pPr>
        <w:rPr>
          <w:b/>
          <w:bCs/>
          <w:i/>
          <w:iCs/>
          <w:sz w:val="22"/>
          <w:szCs w:val="22"/>
        </w:rPr>
      </w:pPr>
      <w:r w:rsidRPr="008F0F84">
        <w:rPr>
          <w:b/>
          <w:bCs/>
          <w:i/>
          <w:iCs/>
          <w:sz w:val="22"/>
          <w:szCs w:val="22"/>
        </w:rPr>
        <w:t>Singular Genomics White Paper 5</w:t>
      </w:r>
      <w:r w:rsidRPr="0034798E">
        <w:rPr>
          <w:b/>
          <w:bCs/>
          <w:i/>
          <w:iCs/>
          <w:sz w:val="22"/>
          <w:szCs w:val="22"/>
        </w:rPr>
        <w:t>:</w:t>
      </w:r>
    </w:p>
    <w:p w14:paraId="4873B7F2" w14:textId="77777777" w:rsidR="00586C03" w:rsidRPr="00317785" w:rsidRDefault="00586C03" w:rsidP="00586C03">
      <w:pPr>
        <w:rPr>
          <w:sz w:val="22"/>
          <w:szCs w:val="22"/>
        </w:rPr>
      </w:pPr>
    </w:p>
    <w:p w14:paraId="1A64AD23" w14:textId="77777777" w:rsidR="00586C03" w:rsidRPr="002E7E65" w:rsidRDefault="00586C03" w:rsidP="00586C03">
      <w:pPr>
        <w:rPr>
          <w:sz w:val="22"/>
          <w:szCs w:val="22"/>
        </w:rPr>
      </w:pPr>
      <w:r w:rsidRPr="004D426A">
        <w:rPr>
          <w:b/>
          <w:bCs/>
          <w:sz w:val="22"/>
          <w:szCs w:val="22"/>
        </w:rPr>
        <w:t>Title:</w:t>
      </w:r>
      <w:r w:rsidRPr="00317785">
        <w:rPr>
          <w:sz w:val="22"/>
          <w:szCs w:val="22"/>
        </w:rPr>
        <w:t xml:space="preserve"> </w:t>
      </w:r>
      <w:r w:rsidRPr="00374FD7">
        <w:rPr>
          <w:sz w:val="22"/>
          <w:szCs w:val="22"/>
        </w:rPr>
        <w:t>Single</w:t>
      </w:r>
      <w:r>
        <w:rPr>
          <w:sz w:val="22"/>
          <w:szCs w:val="22"/>
        </w:rPr>
        <w:t>-</w:t>
      </w:r>
      <w:r w:rsidRPr="00374FD7">
        <w:rPr>
          <w:sz w:val="22"/>
          <w:szCs w:val="22"/>
        </w:rPr>
        <w:t xml:space="preserve">Cell RNA Sequencing </w:t>
      </w:r>
      <w:r w:rsidRPr="002E7E65">
        <w:rPr>
          <w:sz w:val="22"/>
          <w:szCs w:val="22"/>
        </w:rPr>
        <w:t>on a Novel Sequencing Platform</w:t>
      </w:r>
    </w:p>
    <w:p w14:paraId="2352D29C" w14:textId="77777777" w:rsidR="00586C03" w:rsidRPr="00317785" w:rsidRDefault="00586C03" w:rsidP="00586C03">
      <w:pPr>
        <w:rPr>
          <w:sz w:val="22"/>
          <w:szCs w:val="22"/>
        </w:rPr>
      </w:pPr>
    </w:p>
    <w:p w14:paraId="3B667BAC" w14:textId="77777777" w:rsidR="00586C03" w:rsidRDefault="00586C03" w:rsidP="00586C03">
      <w:pPr>
        <w:rPr>
          <w:sz w:val="22"/>
          <w:szCs w:val="22"/>
        </w:rPr>
      </w:pPr>
      <w:r w:rsidRPr="004D426A">
        <w:rPr>
          <w:b/>
          <w:bCs/>
          <w:sz w:val="22"/>
          <w:szCs w:val="22"/>
        </w:rPr>
        <w:t>Body:</w:t>
      </w:r>
      <w:r w:rsidRPr="00317785">
        <w:rPr>
          <w:sz w:val="22"/>
          <w:szCs w:val="22"/>
        </w:rPr>
        <w:t xml:space="preserve"> </w:t>
      </w:r>
      <w:r>
        <w:rPr>
          <w:sz w:val="22"/>
          <w:szCs w:val="22"/>
        </w:rPr>
        <w:t>In this application note from Singular Genomics, the</w:t>
      </w:r>
      <w:r w:rsidRPr="00374FD7">
        <w:rPr>
          <w:sz w:val="22"/>
          <w:szCs w:val="22"/>
        </w:rPr>
        <w:t xml:space="preserve"> G4</w:t>
      </w:r>
      <w:r>
        <w:rPr>
          <w:sz w:val="22"/>
          <w:szCs w:val="22"/>
        </w:rPr>
        <w:t xml:space="preserve"> Sequencing Platform is applied</w:t>
      </w:r>
      <w:r w:rsidRPr="00374FD7">
        <w:rPr>
          <w:sz w:val="22"/>
          <w:szCs w:val="22"/>
        </w:rPr>
        <w:t xml:space="preserve"> to </w:t>
      </w:r>
      <w:r>
        <w:rPr>
          <w:sz w:val="22"/>
          <w:szCs w:val="22"/>
        </w:rPr>
        <w:t xml:space="preserve">sequence RNA from </w:t>
      </w:r>
      <w:r w:rsidRPr="00374FD7">
        <w:rPr>
          <w:sz w:val="22"/>
          <w:szCs w:val="22"/>
        </w:rPr>
        <w:t>single cells derived from healthy donor peripheral blood mononuclear cells.</w:t>
      </w:r>
    </w:p>
    <w:p w14:paraId="65A33685" w14:textId="77777777" w:rsidR="00586C03" w:rsidRPr="00F55773" w:rsidRDefault="00586C03" w:rsidP="00586C03">
      <w:pPr>
        <w:rPr>
          <w:sz w:val="22"/>
          <w:szCs w:val="22"/>
        </w:rPr>
      </w:pPr>
    </w:p>
    <w:p w14:paraId="416F7FA2" w14:textId="77777777" w:rsidR="00586C03" w:rsidRPr="00F32825" w:rsidRDefault="00586C03" w:rsidP="00586C03">
      <w:pPr>
        <w:rPr>
          <w:sz w:val="22"/>
          <w:szCs w:val="22"/>
        </w:rPr>
      </w:pPr>
    </w:p>
    <w:p w14:paraId="6D80323B" w14:textId="77777777" w:rsidR="00586C03" w:rsidRDefault="00586C03" w:rsidP="00586C03">
      <w:pPr>
        <w:rPr>
          <w:sz w:val="22"/>
          <w:szCs w:val="22"/>
        </w:rPr>
      </w:pPr>
      <w:r w:rsidRPr="00F32825">
        <w:rPr>
          <w:sz w:val="22"/>
          <w:szCs w:val="22"/>
        </w:rPr>
        <w:t xml:space="preserve">Download it from </w:t>
      </w:r>
      <w:proofErr w:type="spellStart"/>
      <w:r w:rsidRPr="00F32825">
        <w:rPr>
          <w:sz w:val="22"/>
          <w:szCs w:val="22"/>
        </w:rPr>
        <w:t>GenomeWeb’s</w:t>
      </w:r>
      <w:proofErr w:type="spellEnd"/>
      <w:r w:rsidRPr="00F32825">
        <w:rPr>
          <w:sz w:val="22"/>
          <w:szCs w:val="22"/>
        </w:rPr>
        <w:t xml:space="preserve"> </w:t>
      </w:r>
      <w:hyperlink r:id="rId1137" w:history="1">
        <w:r w:rsidRPr="00436DAC">
          <w:rPr>
            <w:rStyle w:val="Hyperlink"/>
            <w:sz w:val="22"/>
            <w:szCs w:val="22"/>
          </w:rPr>
          <w:t>White Paper Channel.</w:t>
        </w:r>
      </w:hyperlink>
    </w:p>
    <w:p w14:paraId="6A13ED1A" w14:textId="77777777" w:rsidR="00586C03" w:rsidRDefault="00586C03" w:rsidP="00586C03">
      <w:pPr>
        <w:rPr>
          <w:sz w:val="22"/>
          <w:szCs w:val="22"/>
        </w:rPr>
      </w:pPr>
    </w:p>
    <w:p w14:paraId="197BFF66" w14:textId="77777777" w:rsidR="00586C03" w:rsidRDefault="00586C03" w:rsidP="00586C03">
      <w:pPr>
        <w:rPr>
          <w:sz w:val="22"/>
          <w:szCs w:val="22"/>
        </w:rPr>
      </w:pPr>
      <w:r>
        <w:rPr>
          <w:sz w:val="22"/>
          <w:szCs w:val="22"/>
        </w:rPr>
        <w:t>--</w:t>
      </w:r>
    </w:p>
    <w:p w14:paraId="4501B6AF" w14:textId="77777777" w:rsidR="00586C03" w:rsidRPr="00317785" w:rsidRDefault="00586C03" w:rsidP="00586C03">
      <w:pPr>
        <w:rPr>
          <w:sz w:val="22"/>
          <w:szCs w:val="22"/>
        </w:rPr>
      </w:pPr>
    </w:p>
    <w:p w14:paraId="6DCA2E1D" w14:textId="77777777" w:rsidR="00586C03" w:rsidRPr="0034798E" w:rsidRDefault="00586C03" w:rsidP="00586C03">
      <w:pPr>
        <w:rPr>
          <w:b/>
          <w:bCs/>
          <w:i/>
          <w:iCs/>
          <w:sz w:val="22"/>
          <w:szCs w:val="22"/>
        </w:rPr>
      </w:pPr>
      <w:r w:rsidRPr="00844527">
        <w:rPr>
          <w:b/>
          <w:bCs/>
          <w:i/>
          <w:iCs/>
          <w:sz w:val="22"/>
          <w:szCs w:val="22"/>
        </w:rPr>
        <w:t>Singular Genomics White Paper 6</w:t>
      </w:r>
      <w:r w:rsidRPr="0034798E">
        <w:rPr>
          <w:b/>
          <w:bCs/>
          <w:i/>
          <w:iCs/>
          <w:sz w:val="22"/>
          <w:szCs w:val="22"/>
        </w:rPr>
        <w:t>:</w:t>
      </w:r>
    </w:p>
    <w:p w14:paraId="005806E0" w14:textId="77777777" w:rsidR="00586C03" w:rsidRPr="00317785" w:rsidRDefault="00586C03" w:rsidP="00586C03">
      <w:pPr>
        <w:rPr>
          <w:sz w:val="22"/>
          <w:szCs w:val="22"/>
        </w:rPr>
      </w:pPr>
    </w:p>
    <w:p w14:paraId="4C0C6810" w14:textId="77777777" w:rsidR="00586C03" w:rsidRPr="002E7E65" w:rsidRDefault="00586C03" w:rsidP="00586C03">
      <w:pPr>
        <w:rPr>
          <w:sz w:val="22"/>
          <w:szCs w:val="22"/>
        </w:rPr>
      </w:pPr>
      <w:r w:rsidRPr="004D426A">
        <w:rPr>
          <w:b/>
          <w:bCs/>
          <w:sz w:val="22"/>
          <w:szCs w:val="22"/>
        </w:rPr>
        <w:t>Title:</w:t>
      </w:r>
      <w:r w:rsidRPr="00317785">
        <w:rPr>
          <w:sz w:val="22"/>
          <w:szCs w:val="22"/>
        </w:rPr>
        <w:t xml:space="preserve"> </w:t>
      </w:r>
      <w:r w:rsidRPr="0069058F">
        <w:rPr>
          <w:sz w:val="22"/>
          <w:szCs w:val="22"/>
        </w:rPr>
        <w:t>Whole</w:t>
      </w:r>
      <w:r>
        <w:rPr>
          <w:sz w:val="22"/>
          <w:szCs w:val="22"/>
        </w:rPr>
        <w:t>-</w:t>
      </w:r>
      <w:r w:rsidRPr="0069058F">
        <w:rPr>
          <w:sz w:val="22"/>
          <w:szCs w:val="22"/>
        </w:rPr>
        <w:t xml:space="preserve">Exome Sequencing on </w:t>
      </w:r>
      <w:r w:rsidRPr="002E7E65">
        <w:rPr>
          <w:sz w:val="22"/>
          <w:szCs w:val="22"/>
        </w:rPr>
        <w:t>a Novel</w:t>
      </w:r>
      <w:r>
        <w:rPr>
          <w:sz w:val="22"/>
          <w:szCs w:val="22"/>
        </w:rPr>
        <w:t xml:space="preserve"> Benchtop</w:t>
      </w:r>
      <w:r w:rsidRPr="002E7E65">
        <w:rPr>
          <w:sz w:val="22"/>
          <w:szCs w:val="22"/>
        </w:rPr>
        <w:t xml:space="preserve"> Sequencing Platform</w:t>
      </w:r>
    </w:p>
    <w:p w14:paraId="1300F97F" w14:textId="77777777" w:rsidR="00586C03" w:rsidRPr="002E7E65" w:rsidRDefault="00586C03" w:rsidP="00586C03">
      <w:pPr>
        <w:rPr>
          <w:sz w:val="22"/>
          <w:szCs w:val="22"/>
        </w:rPr>
      </w:pPr>
    </w:p>
    <w:p w14:paraId="27702A2C" w14:textId="77777777" w:rsidR="00586C03" w:rsidRDefault="00586C03" w:rsidP="00586C03">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Singular Genomics presents whole-exome sequencing data generated using the G4, a novel benchtop sequencing platform that </w:t>
      </w:r>
      <w:r w:rsidRPr="001674E9">
        <w:rPr>
          <w:sz w:val="22"/>
          <w:szCs w:val="22"/>
        </w:rPr>
        <w:t xml:space="preserve">enables cost-efficient delivery of </w:t>
      </w:r>
      <w:r>
        <w:rPr>
          <w:sz w:val="22"/>
          <w:szCs w:val="22"/>
        </w:rPr>
        <w:t xml:space="preserve">eight to </w:t>
      </w:r>
      <w:r w:rsidRPr="001674E9">
        <w:rPr>
          <w:sz w:val="22"/>
          <w:szCs w:val="22"/>
        </w:rPr>
        <w:t>64 exome samples in 16</w:t>
      </w:r>
      <w:r>
        <w:rPr>
          <w:sz w:val="22"/>
          <w:szCs w:val="22"/>
        </w:rPr>
        <w:t xml:space="preserve"> to </w:t>
      </w:r>
      <w:r w:rsidRPr="001674E9">
        <w:rPr>
          <w:sz w:val="22"/>
          <w:szCs w:val="22"/>
        </w:rPr>
        <w:t>19 hours</w:t>
      </w:r>
      <w:r>
        <w:rPr>
          <w:sz w:val="22"/>
          <w:szCs w:val="22"/>
        </w:rPr>
        <w:t xml:space="preserve"> and fits </w:t>
      </w:r>
      <w:r w:rsidRPr="001674E9">
        <w:rPr>
          <w:sz w:val="22"/>
          <w:szCs w:val="22"/>
        </w:rPr>
        <w:t xml:space="preserve">into existing </w:t>
      </w:r>
      <w:r>
        <w:rPr>
          <w:sz w:val="22"/>
          <w:szCs w:val="22"/>
        </w:rPr>
        <w:t>whole-exome sequencing</w:t>
      </w:r>
      <w:r w:rsidRPr="001674E9">
        <w:rPr>
          <w:sz w:val="22"/>
          <w:szCs w:val="22"/>
        </w:rPr>
        <w:t xml:space="preserve"> and analysis workflows</w:t>
      </w:r>
      <w:r>
        <w:rPr>
          <w:sz w:val="22"/>
          <w:szCs w:val="22"/>
        </w:rPr>
        <w:t>.</w:t>
      </w:r>
    </w:p>
    <w:p w14:paraId="150E93D5" w14:textId="77777777" w:rsidR="00586C03" w:rsidRPr="00F32825" w:rsidRDefault="00586C03" w:rsidP="00586C03">
      <w:pPr>
        <w:rPr>
          <w:sz w:val="22"/>
          <w:szCs w:val="22"/>
        </w:rPr>
      </w:pPr>
    </w:p>
    <w:p w14:paraId="6B4A0E8B" w14:textId="77777777" w:rsidR="00586C03" w:rsidRDefault="00586C03" w:rsidP="00586C03">
      <w:pPr>
        <w:rPr>
          <w:sz w:val="22"/>
          <w:szCs w:val="22"/>
        </w:rPr>
      </w:pPr>
      <w:r w:rsidRPr="00F32825">
        <w:rPr>
          <w:sz w:val="22"/>
          <w:szCs w:val="22"/>
        </w:rPr>
        <w:t xml:space="preserve">Download it from </w:t>
      </w:r>
      <w:proofErr w:type="spellStart"/>
      <w:r w:rsidRPr="00F32825">
        <w:rPr>
          <w:sz w:val="22"/>
          <w:szCs w:val="22"/>
        </w:rPr>
        <w:t>GenomeWeb’s</w:t>
      </w:r>
      <w:proofErr w:type="spellEnd"/>
      <w:r w:rsidRPr="00F32825">
        <w:rPr>
          <w:sz w:val="22"/>
          <w:szCs w:val="22"/>
        </w:rPr>
        <w:t xml:space="preserve"> </w:t>
      </w:r>
      <w:hyperlink r:id="rId1138" w:history="1">
        <w:r w:rsidRPr="008341BA">
          <w:rPr>
            <w:rStyle w:val="Hyperlink"/>
            <w:sz w:val="22"/>
            <w:szCs w:val="22"/>
          </w:rPr>
          <w:t>White Paper Channel.</w:t>
        </w:r>
      </w:hyperlink>
    </w:p>
    <w:p w14:paraId="131CE53B" w14:textId="77777777" w:rsidR="00586C03" w:rsidRDefault="00586C03" w:rsidP="00586C03">
      <w:pPr>
        <w:rPr>
          <w:sz w:val="22"/>
          <w:szCs w:val="22"/>
        </w:rPr>
      </w:pPr>
    </w:p>
    <w:p w14:paraId="5692D04A" w14:textId="77777777" w:rsidR="00586C03" w:rsidRDefault="00586C03" w:rsidP="00586C03">
      <w:pPr>
        <w:rPr>
          <w:sz w:val="22"/>
          <w:szCs w:val="22"/>
        </w:rPr>
      </w:pPr>
      <w:r>
        <w:rPr>
          <w:sz w:val="22"/>
          <w:szCs w:val="22"/>
        </w:rPr>
        <w:t>--</w:t>
      </w:r>
    </w:p>
    <w:p w14:paraId="594D8823" w14:textId="77777777" w:rsidR="00586C03" w:rsidRPr="00317785" w:rsidRDefault="00586C03" w:rsidP="00586C03">
      <w:pPr>
        <w:rPr>
          <w:sz w:val="22"/>
          <w:szCs w:val="22"/>
        </w:rPr>
      </w:pPr>
    </w:p>
    <w:p w14:paraId="0E6C9E14" w14:textId="77777777" w:rsidR="00586C03" w:rsidRPr="0034798E" w:rsidRDefault="00586C03" w:rsidP="00586C03">
      <w:pPr>
        <w:rPr>
          <w:b/>
          <w:bCs/>
          <w:i/>
          <w:iCs/>
          <w:sz w:val="22"/>
          <w:szCs w:val="22"/>
        </w:rPr>
      </w:pPr>
      <w:proofErr w:type="spellStart"/>
      <w:r w:rsidRPr="00844527">
        <w:rPr>
          <w:b/>
          <w:bCs/>
          <w:i/>
          <w:iCs/>
          <w:sz w:val="22"/>
          <w:szCs w:val="22"/>
        </w:rPr>
        <w:t>DNAnexus</w:t>
      </w:r>
      <w:proofErr w:type="spellEnd"/>
      <w:r w:rsidRPr="00844527">
        <w:rPr>
          <w:b/>
          <w:bCs/>
          <w:i/>
          <w:iCs/>
          <w:sz w:val="22"/>
          <w:szCs w:val="22"/>
        </w:rPr>
        <w:t xml:space="preserve"> GW Webinar 3</w:t>
      </w:r>
      <w:r w:rsidRPr="0034798E">
        <w:rPr>
          <w:b/>
          <w:bCs/>
          <w:i/>
          <w:iCs/>
          <w:sz w:val="22"/>
          <w:szCs w:val="22"/>
        </w:rPr>
        <w:t>:</w:t>
      </w:r>
    </w:p>
    <w:p w14:paraId="77F9264D" w14:textId="77777777" w:rsidR="00586C03" w:rsidRPr="00317785" w:rsidRDefault="00586C03" w:rsidP="00586C03">
      <w:pPr>
        <w:rPr>
          <w:sz w:val="22"/>
          <w:szCs w:val="22"/>
        </w:rPr>
      </w:pPr>
    </w:p>
    <w:p w14:paraId="2C3F4B4A" w14:textId="77777777" w:rsidR="00586C03" w:rsidRDefault="00586C03" w:rsidP="00586C03">
      <w:pPr>
        <w:rPr>
          <w:sz w:val="22"/>
          <w:szCs w:val="22"/>
        </w:rPr>
      </w:pPr>
      <w:r w:rsidRPr="004D426A">
        <w:rPr>
          <w:b/>
          <w:bCs/>
          <w:sz w:val="22"/>
          <w:szCs w:val="22"/>
        </w:rPr>
        <w:t>Title:</w:t>
      </w:r>
      <w:r w:rsidRPr="00317785">
        <w:rPr>
          <w:sz w:val="22"/>
          <w:szCs w:val="22"/>
        </w:rPr>
        <w:t xml:space="preserve"> </w:t>
      </w:r>
      <w:r w:rsidRPr="001C7955">
        <w:rPr>
          <w:sz w:val="22"/>
          <w:szCs w:val="22"/>
        </w:rPr>
        <w:t xml:space="preserve">FASTQ to </w:t>
      </w:r>
      <w:r>
        <w:rPr>
          <w:sz w:val="22"/>
          <w:szCs w:val="22"/>
        </w:rPr>
        <w:t>F</w:t>
      </w:r>
      <w:r w:rsidRPr="001C7955">
        <w:rPr>
          <w:sz w:val="22"/>
          <w:szCs w:val="22"/>
        </w:rPr>
        <w:t xml:space="preserve">inal </w:t>
      </w:r>
      <w:r>
        <w:rPr>
          <w:sz w:val="22"/>
          <w:szCs w:val="22"/>
        </w:rPr>
        <w:t>R</w:t>
      </w:r>
      <w:r w:rsidRPr="001C7955">
        <w:rPr>
          <w:sz w:val="22"/>
          <w:szCs w:val="22"/>
        </w:rPr>
        <w:t xml:space="preserve">eport: An </w:t>
      </w:r>
      <w:r>
        <w:rPr>
          <w:sz w:val="22"/>
          <w:szCs w:val="22"/>
        </w:rPr>
        <w:t>U</w:t>
      </w:r>
      <w:r w:rsidRPr="001C7955">
        <w:rPr>
          <w:sz w:val="22"/>
          <w:szCs w:val="22"/>
        </w:rPr>
        <w:t>ltra-</w:t>
      </w:r>
      <w:r>
        <w:rPr>
          <w:sz w:val="22"/>
          <w:szCs w:val="22"/>
        </w:rPr>
        <w:t>F</w:t>
      </w:r>
      <w:r w:rsidRPr="001C7955">
        <w:rPr>
          <w:sz w:val="22"/>
          <w:szCs w:val="22"/>
        </w:rPr>
        <w:t xml:space="preserve">ast </w:t>
      </w:r>
      <w:r>
        <w:rPr>
          <w:sz w:val="22"/>
          <w:szCs w:val="22"/>
        </w:rPr>
        <w:t>W</w:t>
      </w:r>
      <w:r w:rsidRPr="001C7955">
        <w:rPr>
          <w:sz w:val="22"/>
          <w:szCs w:val="22"/>
        </w:rPr>
        <w:t xml:space="preserve">orkflow for </w:t>
      </w:r>
      <w:r>
        <w:rPr>
          <w:sz w:val="22"/>
          <w:szCs w:val="22"/>
        </w:rPr>
        <w:t>C</w:t>
      </w:r>
      <w:r w:rsidRPr="001C7955">
        <w:rPr>
          <w:sz w:val="22"/>
          <w:szCs w:val="22"/>
        </w:rPr>
        <w:t xml:space="preserve">omprehensive </w:t>
      </w:r>
      <w:r>
        <w:rPr>
          <w:sz w:val="22"/>
          <w:szCs w:val="22"/>
        </w:rPr>
        <w:t>G</w:t>
      </w:r>
      <w:r w:rsidRPr="001C7955">
        <w:rPr>
          <w:sz w:val="22"/>
          <w:szCs w:val="22"/>
        </w:rPr>
        <w:t xml:space="preserve">enomic </w:t>
      </w:r>
      <w:r>
        <w:rPr>
          <w:sz w:val="22"/>
          <w:szCs w:val="22"/>
        </w:rPr>
        <w:t>P</w:t>
      </w:r>
      <w:r w:rsidRPr="001C7955">
        <w:rPr>
          <w:sz w:val="22"/>
          <w:szCs w:val="22"/>
        </w:rPr>
        <w:t>rofiling</w:t>
      </w:r>
    </w:p>
    <w:p w14:paraId="13381E57" w14:textId="77777777" w:rsidR="00586C03" w:rsidRPr="00317785" w:rsidRDefault="00586C03" w:rsidP="00586C03">
      <w:pPr>
        <w:rPr>
          <w:sz w:val="22"/>
          <w:szCs w:val="22"/>
        </w:rPr>
      </w:pPr>
    </w:p>
    <w:p w14:paraId="6AF0BBE1" w14:textId="77777777" w:rsidR="00586C03" w:rsidRPr="00343137" w:rsidRDefault="00586C03" w:rsidP="00586C03">
      <w:pPr>
        <w:rPr>
          <w:b/>
          <w:bCs/>
          <w:sz w:val="22"/>
          <w:szCs w:val="22"/>
        </w:rPr>
      </w:pPr>
      <w:r w:rsidRPr="004D426A">
        <w:rPr>
          <w:b/>
          <w:bCs/>
          <w:sz w:val="22"/>
          <w:szCs w:val="22"/>
        </w:rPr>
        <w:t>Body:</w:t>
      </w:r>
      <w:r w:rsidRPr="00317785">
        <w:rPr>
          <w:sz w:val="22"/>
          <w:szCs w:val="22"/>
        </w:rPr>
        <w:t xml:space="preserve"> </w:t>
      </w:r>
      <w:r>
        <w:rPr>
          <w:sz w:val="22"/>
          <w:szCs w:val="22"/>
        </w:rPr>
        <w:t xml:space="preserve">In this webinar from </w:t>
      </w:r>
      <w:proofErr w:type="spellStart"/>
      <w:r>
        <w:rPr>
          <w:sz w:val="22"/>
          <w:szCs w:val="22"/>
        </w:rPr>
        <w:t>DNAnexus</w:t>
      </w:r>
      <w:proofErr w:type="spellEnd"/>
      <w:r>
        <w:rPr>
          <w:sz w:val="22"/>
          <w:szCs w:val="22"/>
        </w:rPr>
        <w:t>, speakers discuss</w:t>
      </w:r>
      <w:r w:rsidRPr="001C7955">
        <w:rPr>
          <w:sz w:val="22"/>
          <w:szCs w:val="22"/>
        </w:rPr>
        <w:t xml:space="preserve"> how </w:t>
      </w:r>
      <w:proofErr w:type="spellStart"/>
      <w:r w:rsidRPr="001C7955">
        <w:rPr>
          <w:sz w:val="22"/>
          <w:szCs w:val="22"/>
        </w:rPr>
        <w:t>DNAnexus</w:t>
      </w:r>
      <w:proofErr w:type="spellEnd"/>
      <w:r w:rsidRPr="001C7955">
        <w:rPr>
          <w:sz w:val="22"/>
          <w:szCs w:val="22"/>
        </w:rPr>
        <w:t xml:space="preserve"> and Q</w:t>
      </w:r>
      <w:r>
        <w:rPr>
          <w:sz w:val="22"/>
          <w:szCs w:val="22"/>
        </w:rPr>
        <w:t>iagen</w:t>
      </w:r>
      <w:r w:rsidRPr="001C7955">
        <w:rPr>
          <w:sz w:val="22"/>
          <w:szCs w:val="22"/>
        </w:rPr>
        <w:t xml:space="preserve"> Digital Insights are partnering to develop an agnostic, end-to-end workflow for </w:t>
      </w:r>
      <w:r>
        <w:rPr>
          <w:sz w:val="22"/>
          <w:szCs w:val="22"/>
        </w:rPr>
        <w:t>comprehensive genomic profiling</w:t>
      </w:r>
      <w:r w:rsidRPr="001C7955">
        <w:rPr>
          <w:sz w:val="22"/>
          <w:szCs w:val="22"/>
        </w:rPr>
        <w:t xml:space="preserve"> that goes from FASTQ to final report </w:t>
      </w:r>
      <w:r>
        <w:rPr>
          <w:sz w:val="22"/>
          <w:szCs w:val="22"/>
        </w:rPr>
        <w:t>within minutes.</w:t>
      </w:r>
    </w:p>
    <w:p w14:paraId="3064A37F" w14:textId="77777777" w:rsidR="00586C03" w:rsidRDefault="00586C03" w:rsidP="00586C03">
      <w:pPr>
        <w:rPr>
          <w:sz w:val="22"/>
          <w:szCs w:val="22"/>
        </w:rPr>
      </w:pPr>
    </w:p>
    <w:p w14:paraId="1FE10340" w14:textId="77777777" w:rsidR="00586C03" w:rsidRDefault="00586C03" w:rsidP="00586C03">
      <w:pPr>
        <w:rPr>
          <w:sz w:val="22"/>
          <w:szCs w:val="22"/>
        </w:rPr>
      </w:pPr>
      <w:r w:rsidRPr="0090139C">
        <w:rPr>
          <w:sz w:val="22"/>
          <w:szCs w:val="22"/>
        </w:rPr>
        <w:lastRenderedPageBreak/>
        <w:t xml:space="preserve">Download it from </w:t>
      </w:r>
      <w:proofErr w:type="spellStart"/>
      <w:r w:rsidRPr="0090139C">
        <w:rPr>
          <w:sz w:val="22"/>
          <w:szCs w:val="22"/>
        </w:rPr>
        <w:t>GenomeWeb’s</w:t>
      </w:r>
      <w:proofErr w:type="spellEnd"/>
      <w:r w:rsidRPr="0090139C">
        <w:rPr>
          <w:sz w:val="22"/>
          <w:szCs w:val="22"/>
        </w:rPr>
        <w:t xml:space="preserve"> </w:t>
      </w:r>
      <w:hyperlink r:id="rId1139" w:history="1">
        <w:r w:rsidRPr="00A0261C">
          <w:rPr>
            <w:rStyle w:val="Hyperlink"/>
            <w:sz w:val="22"/>
            <w:szCs w:val="22"/>
          </w:rPr>
          <w:t>Webinar Library.</w:t>
        </w:r>
      </w:hyperlink>
    </w:p>
    <w:p w14:paraId="16466600" w14:textId="77777777" w:rsidR="00586C03" w:rsidRDefault="00586C03" w:rsidP="00586C03">
      <w:pPr>
        <w:rPr>
          <w:sz w:val="22"/>
          <w:szCs w:val="22"/>
        </w:rPr>
      </w:pPr>
    </w:p>
    <w:p w14:paraId="25C3C6DF" w14:textId="77777777" w:rsidR="00586C03" w:rsidRDefault="00586C03" w:rsidP="00586C03">
      <w:pPr>
        <w:rPr>
          <w:sz w:val="22"/>
          <w:szCs w:val="22"/>
        </w:rPr>
      </w:pPr>
      <w:r>
        <w:rPr>
          <w:sz w:val="22"/>
          <w:szCs w:val="22"/>
        </w:rPr>
        <w:t>--</w:t>
      </w:r>
    </w:p>
    <w:p w14:paraId="62B12DAE" w14:textId="77777777" w:rsidR="00586C03" w:rsidRDefault="00586C03" w:rsidP="00586C03">
      <w:pPr>
        <w:rPr>
          <w:sz w:val="22"/>
          <w:szCs w:val="22"/>
        </w:rPr>
      </w:pPr>
    </w:p>
    <w:p w14:paraId="42324FCA" w14:textId="77777777" w:rsidR="00586C03" w:rsidRPr="0034798E" w:rsidRDefault="00586C03" w:rsidP="00586C03">
      <w:pPr>
        <w:rPr>
          <w:b/>
          <w:bCs/>
          <w:i/>
          <w:iCs/>
          <w:sz w:val="22"/>
          <w:szCs w:val="22"/>
        </w:rPr>
      </w:pPr>
      <w:proofErr w:type="spellStart"/>
      <w:r w:rsidRPr="00844527">
        <w:rPr>
          <w:b/>
          <w:bCs/>
          <w:i/>
          <w:iCs/>
          <w:sz w:val="22"/>
          <w:szCs w:val="22"/>
        </w:rPr>
        <w:t>DNAnexus</w:t>
      </w:r>
      <w:proofErr w:type="spellEnd"/>
      <w:r w:rsidRPr="00844527">
        <w:rPr>
          <w:b/>
          <w:bCs/>
          <w:i/>
          <w:iCs/>
          <w:sz w:val="22"/>
          <w:szCs w:val="22"/>
        </w:rPr>
        <w:t xml:space="preserve"> 360Dx Webinar 3</w:t>
      </w:r>
      <w:r w:rsidRPr="0034798E">
        <w:rPr>
          <w:b/>
          <w:bCs/>
          <w:i/>
          <w:iCs/>
          <w:sz w:val="22"/>
          <w:szCs w:val="22"/>
        </w:rPr>
        <w:t>:</w:t>
      </w:r>
    </w:p>
    <w:p w14:paraId="1F2BE196" w14:textId="77777777" w:rsidR="00586C03" w:rsidRPr="00317785" w:rsidRDefault="00586C03" w:rsidP="00586C03">
      <w:pPr>
        <w:rPr>
          <w:sz w:val="22"/>
          <w:szCs w:val="22"/>
        </w:rPr>
      </w:pPr>
    </w:p>
    <w:p w14:paraId="7179EBDD" w14:textId="77777777" w:rsidR="00586C03" w:rsidRDefault="00586C03" w:rsidP="00586C03">
      <w:pPr>
        <w:rPr>
          <w:sz w:val="22"/>
          <w:szCs w:val="22"/>
        </w:rPr>
      </w:pPr>
      <w:r w:rsidRPr="004D426A">
        <w:rPr>
          <w:b/>
          <w:bCs/>
          <w:sz w:val="22"/>
          <w:szCs w:val="22"/>
        </w:rPr>
        <w:t>Title:</w:t>
      </w:r>
      <w:r w:rsidRPr="00317785">
        <w:rPr>
          <w:sz w:val="22"/>
          <w:szCs w:val="22"/>
        </w:rPr>
        <w:t xml:space="preserve"> </w:t>
      </w:r>
      <w:r w:rsidRPr="001C7955">
        <w:rPr>
          <w:sz w:val="22"/>
          <w:szCs w:val="22"/>
        </w:rPr>
        <w:t xml:space="preserve">FASTQ to </w:t>
      </w:r>
      <w:r>
        <w:rPr>
          <w:sz w:val="22"/>
          <w:szCs w:val="22"/>
        </w:rPr>
        <w:t>F</w:t>
      </w:r>
      <w:r w:rsidRPr="001C7955">
        <w:rPr>
          <w:sz w:val="22"/>
          <w:szCs w:val="22"/>
        </w:rPr>
        <w:t xml:space="preserve">inal </w:t>
      </w:r>
      <w:r>
        <w:rPr>
          <w:sz w:val="22"/>
          <w:szCs w:val="22"/>
        </w:rPr>
        <w:t>R</w:t>
      </w:r>
      <w:r w:rsidRPr="001C7955">
        <w:rPr>
          <w:sz w:val="22"/>
          <w:szCs w:val="22"/>
        </w:rPr>
        <w:t xml:space="preserve">eport: An </w:t>
      </w:r>
      <w:r>
        <w:rPr>
          <w:sz w:val="22"/>
          <w:szCs w:val="22"/>
        </w:rPr>
        <w:t>U</w:t>
      </w:r>
      <w:r w:rsidRPr="001C7955">
        <w:rPr>
          <w:sz w:val="22"/>
          <w:szCs w:val="22"/>
        </w:rPr>
        <w:t>ltra-</w:t>
      </w:r>
      <w:r>
        <w:rPr>
          <w:sz w:val="22"/>
          <w:szCs w:val="22"/>
        </w:rPr>
        <w:t>F</w:t>
      </w:r>
      <w:r w:rsidRPr="001C7955">
        <w:rPr>
          <w:sz w:val="22"/>
          <w:szCs w:val="22"/>
        </w:rPr>
        <w:t xml:space="preserve">ast </w:t>
      </w:r>
      <w:r>
        <w:rPr>
          <w:sz w:val="22"/>
          <w:szCs w:val="22"/>
        </w:rPr>
        <w:t>W</w:t>
      </w:r>
      <w:r w:rsidRPr="001C7955">
        <w:rPr>
          <w:sz w:val="22"/>
          <w:szCs w:val="22"/>
        </w:rPr>
        <w:t xml:space="preserve">orkflow for </w:t>
      </w:r>
      <w:r>
        <w:rPr>
          <w:sz w:val="22"/>
          <w:szCs w:val="22"/>
        </w:rPr>
        <w:t>C</w:t>
      </w:r>
      <w:r w:rsidRPr="001C7955">
        <w:rPr>
          <w:sz w:val="22"/>
          <w:szCs w:val="22"/>
        </w:rPr>
        <w:t xml:space="preserve">omprehensive </w:t>
      </w:r>
      <w:r>
        <w:rPr>
          <w:sz w:val="22"/>
          <w:szCs w:val="22"/>
        </w:rPr>
        <w:t>G</w:t>
      </w:r>
      <w:r w:rsidRPr="001C7955">
        <w:rPr>
          <w:sz w:val="22"/>
          <w:szCs w:val="22"/>
        </w:rPr>
        <w:t xml:space="preserve">enomic </w:t>
      </w:r>
      <w:r>
        <w:rPr>
          <w:sz w:val="22"/>
          <w:szCs w:val="22"/>
        </w:rPr>
        <w:t>P</w:t>
      </w:r>
      <w:r w:rsidRPr="001C7955">
        <w:rPr>
          <w:sz w:val="22"/>
          <w:szCs w:val="22"/>
        </w:rPr>
        <w:t>rofiling</w:t>
      </w:r>
    </w:p>
    <w:p w14:paraId="6D5A7C36" w14:textId="77777777" w:rsidR="00586C03" w:rsidRPr="00317785" w:rsidRDefault="00586C03" w:rsidP="00586C03">
      <w:pPr>
        <w:rPr>
          <w:sz w:val="22"/>
          <w:szCs w:val="22"/>
        </w:rPr>
      </w:pPr>
    </w:p>
    <w:p w14:paraId="435C186E" w14:textId="77777777" w:rsidR="00586C03" w:rsidRPr="00343137" w:rsidRDefault="00586C03" w:rsidP="00586C03">
      <w:pPr>
        <w:rPr>
          <w:b/>
          <w:bCs/>
          <w:sz w:val="22"/>
          <w:szCs w:val="22"/>
        </w:rPr>
      </w:pPr>
      <w:r w:rsidRPr="004D426A">
        <w:rPr>
          <w:b/>
          <w:bCs/>
          <w:sz w:val="22"/>
          <w:szCs w:val="22"/>
        </w:rPr>
        <w:t>Body:</w:t>
      </w:r>
      <w:r w:rsidRPr="00317785">
        <w:rPr>
          <w:sz w:val="22"/>
          <w:szCs w:val="22"/>
        </w:rPr>
        <w:t xml:space="preserve"> </w:t>
      </w:r>
      <w:r>
        <w:rPr>
          <w:sz w:val="22"/>
          <w:szCs w:val="22"/>
        </w:rPr>
        <w:t xml:space="preserve">In this webinar from </w:t>
      </w:r>
      <w:proofErr w:type="spellStart"/>
      <w:r>
        <w:rPr>
          <w:sz w:val="22"/>
          <w:szCs w:val="22"/>
        </w:rPr>
        <w:t>DNAnexus</w:t>
      </w:r>
      <w:proofErr w:type="spellEnd"/>
      <w:r>
        <w:rPr>
          <w:sz w:val="22"/>
          <w:szCs w:val="22"/>
        </w:rPr>
        <w:t>, speakers discuss</w:t>
      </w:r>
      <w:r w:rsidRPr="001C7955">
        <w:rPr>
          <w:sz w:val="22"/>
          <w:szCs w:val="22"/>
        </w:rPr>
        <w:t xml:space="preserve"> how </w:t>
      </w:r>
      <w:proofErr w:type="spellStart"/>
      <w:r w:rsidRPr="001C7955">
        <w:rPr>
          <w:sz w:val="22"/>
          <w:szCs w:val="22"/>
        </w:rPr>
        <w:t>DNAnexus</w:t>
      </w:r>
      <w:proofErr w:type="spellEnd"/>
      <w:r w:rsidRPr="001C7955">
        <w:rPr>
          <w:sz w:val="22"/>
          <w:szCs w:val="22"/>
        </w:rPr>
        <w:t xml:space="preserve"> and Q</w:t>
      </w:r>
      <w:r>
        <w:rPr>
          <w:sz w:val="22"/>
          <w:szCs w:val="22"/>
        </w:rPr>
        <w:t>iagen</w:t>
      </w:r>
      <w:r w:rsidRPr="001C7955">
        <w:rPr>
          <w:sz w:val="22"/>
          <w:szCs w:val="22"/>
        </w:rPr>
        <w:t xml:space="preserve"> Digital Insights are partnering to develop an agnostic, end-to-end workflow for </w:t>
      </w:r>
      <w:r>
        <w:rPr>
          <w:sz w:val="22"/>
          <w:szCs w:val="22"/>
        </w:rPr>
        <w:t>comprehensive genomic profiling</w:t>
      </w:r>
      <w:r w:rsidRPr="001C7955">
        <w:rPr>
          <w:sz w:val="22"/>
          <w:szCs w:val="22"/>
        </w:rPr>
        <w:t xml:space="preserve"> that goes from FASTQ to final report </w:t>
      </w:r>
      <w:r>
        <w:rPr>
          <w:sz w:val="22"/>
          <w:szCs w:val="22"/>
        </w:rPr>
        <w:t>within minutes.</w:t>
      </w:r>
    </w:p>
    <w:p w14:paraId="3F2214B2" w14:textId="77777777" w:rsidR="00586C03" w:rsidRDefault="00586C03" w:rsidP="00586C03">
      <w:pPr>
        <w:rPr>
          <w:sz w:val="22"/>
          <w:szCs w:val="22"/>
        </w:rPr>
      </w:pPr>
    </w:p>
    <w:p w14:paraId="1980B740" w14:textId="77777777" w:rsidR="00586C03" w:rsidRPr="00317785" w:rsidRDefault="00586C03" w:rsidP="00586C03">
      <w:pPr>
        <w:rPr>
          <w:sz w:val="22"/>
          <w:szCs w:val="22"/>
        </w:rPr>
      </w:pPr>
    </w:p>
    <w:p w14:paraId="7A02C9C5" w14:textId="77777777" w:rsidR="00586C03" w:rsidRDefault="00586C03" w:rsidP="00586C03">
      <w:pPr>
        <w:rPr>
          <w:sz w:val="22"/>
          <w:szCs w:val="22"/>
        </w:rPr>
      </w:pPr>
      <w:r w:rsidRPr="0034798E">
        <w:rPr>
          <w:sz w:val="22"/>
          <w:szCs w:val="22"/>
        </w:rPr>
        <w:t xml:space="preserve">Download it from </w:t>
      </w:r>
      <w:r>
        <w:rPr>
          <w:sz w:val="22"/>
          <w:szCs w:val="22"/>
        </w:rPr>
        <w:t xml:space="preserve">the </w:t>
      </w:r>
      <w:hyperlink r:id="rId1140" w:history="1">
        <w:r w:rsidRPr="00E06DB4">
          <w:rPr>
            <w:rStyle w:val="Hyperlink"/>
            <w:sz w:val="22"/>
            <w:szCs w:val="22"/>
          </w:rPr>
          <w:t>360Dx Webinar Library.</w:t>
        </w:r>
      </w:hyperlink>
    </w:p>
    <w:p w14:paraId="58037B42" w14:textId="77777777" w:rsidR="00586C03" w:rsidRPr="00317785" w:rsidRDefault="00586C03" w:rsidP="00586C03">
      <w:pPr>
        <w:rPr>
          <w:sz w:val="22"/>
          <w:szCs w:val="22"/>
        </w:rPr>
      </w:pPr>
    </w:p>
    <w:p w14:paraId="189C7403" w14:textId="77777777" w:rsidR="00586C03" w:rsidRDefault="00586C03" w:rsidP="00586C03">
      <w:pPr>
        <w:rPr>
          <w:sz w:val="22"/>
          <w:szCs w:val="22"/>
        </w:rPr>
      </w:pPr>
      <w:r>
        <w:rPr>
          <w:sz w:val="22"/>
          <w:szCs w:val="22"/>
        </w:rPr>
        <w:t>--</w:t>
      </w:r>
    </w:p>
    <w:p w14:paraId="451B532F" w14:textId="77777777" w:rsidR="00586C03" w:rsidRDefault="00586C03" w:rsidP="00586C03">
      <w:pPr>
        <w:rPr>
          <w:sz w:val="22"/>
          <w:szCs w:val="22"/>
        </w:rPr>
      </w:pPr>
    </w:p>
    <w:p w14:paraId="4452FF7A" w14:textId="77777777" w:rsidR="00586C03" w:rsidRPr="0034798E" w:rsidRDefault="00586C03" w:rsidP="00586C03">
      <w:pPr>
        <w:rPr>
          <w:b/>
          <w:bCs/>
          <w:i/>
          <w:iCs/>
          <w:sz w:val="22"/>
          <w:szCs w:val="22"/>
        </w:rPr>
      </w:pPr>
      <w:proofErr w:type="spellStart"/>
      <w:r w:rsidRPr="00EB1980">
        <w:rPr>
          <w:b/>
          <w:bCs/>
          <w:i/>
          <w:iCs/>
          <w:sz w:val="22"/>
          <w:szCs w:val="22"/>
        </w:rPr>
        <w:t>DNAnexus</w:t>
      </w:r>
      <w:proofErr w:type="spellEnd"/>
      <w:r w:rsidRPr="00EB1980">
        <w:rPr>
          <w:b/>
          <w:bCs/>
          <w:i/>
          <w:iCs/>
          <w:sz w:val="22"/>
          <w:szCs w:val="22"/>
        </w:rPr>
        <w:t xml:space="preserve"> PON Webinar 3</w:t>
      </w:r>
      <w:r w:rsidRPr="0034798E">
        <w:rPr>
          <w:b/>
          <w:bCs/>
          <w:i/>
          <w:iCs/>
          <w:sz w:val="22"/>
          <w:szCs w:val="22"/>
        </w:rPr>
        <w:t>:</w:t>
      </w:r>
    </w:p>
    <w:p w14:paraId="3F1FB726" w14:textId="77777777" w:rsidR="00586C03" w:rsidRPr="00317785" w:rsidRDefault="00586C03" w:rsidP="00586C03">
      <w:pPr>
        <w:rPr>
          <w:sz w:val="22"/>
          <w:szCs w:val="22"/>
        </w:rPr>
      </w:pPr>
    </w:p>
    <w:p w14:paraId="3EC1FFC0" w14:textId="77777777" w:rsidR="00586C03" w:rsidRDefault="00586C03" w:rsidP="00586C03">
      <w:pPr>
        <w:rPr>
          <w:sz w:val="22"/>
          <w:szCs w:val="22"/>
        </w:rPr>
      </w:pPr>
      <w:r w:rsidRPr="004D426A">
        <w:rPr>
          <w:b/>
          <w:bCs/>
          <w:sz w:val="22"/>
          <w:szCs w:val="22"/>
        </w:rPr>
        <w:t>Title:</w:t>
      </w:r>
      <w:r w:rsidRPr="00317785">
        <w:rPr>
          <w:sz w:val="22"/>
          <w:szCs w:val="22"/>
        </w:rPr>
        <w:t xml:space="preserve"> </w:t>
      </w:r>
      <w:r w:rsidRPr="001C7955">
        <w:rPr>
          <w:sz w:val="22"/>
          <w:szCs w:val="22"/>
        </w:rPr>
        <w:t xml:space="preserve">FASTQ to </w:t>
      </w:r>
      <w:r>
        <w:rPr>
          <w:sz w:val="22"/>
          <w:szCs w:val="22"/>
        </w:rPr>
        <w:t>F</w:t>
      </w:r>
      <w:r w:rsidRPr="001C7955">
        <w:rPr>
          <w:sz w:val="22"/>
          <w:szCs w:val="22"/>
        </w:rPr>
        <w:t xml:space="preserve">inal </w:t>
      </w:r>
      <w:r>
        <w:rPr>
          <w:sz w:val="22"/>
          <w:szCs w:val="22"/>
        </w:rPr>
        <w:t>R</w:t>
      </w:r>
      <w:r w:rsidRPr="001C7955">
        <w:rPr>
          <w:sz w:val="22"/>
          <w:szCs w:val="22"/>
        </w:rPr>
        <w:t xml:space="preserve">eport: An </w:t>
      </w:r>
      <w:r>
        <w:rPr>
          <w:sz w:val="22"/>
          <w:szCs w:val="22"/>
        </w:rPr>
        <w:t>U</w:t>
      </w:r>
      <w:r w:rsidRPr="001C7955">
        <w:rPr>
          <w:sz w:val="22"/>
          <w:szCs w:val="22"/>
        </w:rPr>
        <w:t>ltra-</w:t>
      </w:r>
      <w:r>
        <w:rPr>
          <w:sz w:val="22"/>
          <w:szCs w:val="22"/>
        </w:rPr>
        <w:t>F</w:t>
      </w:r>
      <w:r w:rsidRPr="001C7955">
        <w:rPr>
          <w:sz w:val="22"/>
          <w:szCs w:val="22"/>
        </w:rPr>
        <w:t xml:space="preserve">ast </w:t>
      </w:r>
      <w:r>
        <w:rPr>
          <w:sz w:val="22"/>
          <w:szCs w:val="22"/>
        </w:rPr>
        <w:t>W</w:t>
      </w:r>
      <w:r w:rsidRPr="001C7955">
        <w:rPr>
          <w:sz w:val="22"/>
          <w:szCs w:val="22"/>
        </w:rPr>
        <w:t xml:space="preserve">orkflow for </w:t>
      </w:r>
      <w:r>
        <w:rPr>
          <w:sz w:val="22"/>
          <w:szCs w:val="22"/>
        </w:rPr>
        <w:t>C</w:t>
      </w:r>
      <w:r w:rsidRPr="001C7955">
        <w:rPr>
          <w:sz w:val="22"/>
          <w:szCs w:val="22"/>
        </w:rPr>
        <w:t xml:space="preserve">omprehensive </w:t>
      </w:r>
      <w:r>
        <w:rPr>
          <w:sz w:val="22"/>
          <w:szCs w:val="22"/>
        </w:rPr>
        <w:t>G</w:t>
      </w:r>
      <w:r w:rsidRPr="001C7955">
        <w:rPr>
          <w:sz w:val="22"/>
          <w:szCs w:val="22"/>
        </w:rPr>
        <w:t xml:space="preserve">enomic </w:t>
      </w:r>
      <w:r>
        <w:rPr>
          <w:sz w:val="22"/>
          <w:szCs w:val="22"/>
        </w:rPr>
        <w:t>P</w:t>
      </w:r>
      <w:r w:rsidRPr="001C7955">
        <w:rPr>
          <w:sz w:val="22"/>
          <w:szCs w:val="22"/>
        </w:rPr>
        <w:t>rofiling</w:t>
      </w:r>
    </w:p>
    <w:p w14:paraId="337D4583" w14:textId="77777777" w:rsidR="00586C03" w:rsidRPr="00317785" w:rsidRDefault="00586C03" w:rsidP="00586C03">
      <w:pPr>
        <w:rPr>
          <w:sz w:val="22"/>
          <w:szCs w:val="22"/>
        </w:rPr>
      </w:pPr>
    </w:p>
    <w:p w14:paraId="67E0877B" w14:textId="77777777" w:rsidR="00586C03" w:rsidRPr="00343137" w:rsidRDefault="00586C03" w:rsidP="00586C03">
      <w:pPr>
        <w:rPr>
          <w:b/>
          <w:bCs/>
          <w:sz w:val="22"/>
          <w:szCs w:val="22"/>
        </w:rPr>
      </w:pPr>
      <w:r w:rsidRPr="004D426A">
        <w:rPr>
          <w:b/>
          <w:bCs/>
          <w:sz w:val="22"/>
          <w:szCs w:val="22"/>
        </w:rPr>
        <w:t>Body:</w:t>
      </w:r>
      <w:r w:rsidRPr="00317785">
        <w:rPr>
          <w:sz w:val="22"/>
          <w:szCs w:val="22"/>
        </w:rPr>
        <w:t xml:space="preserve"> </w:t>
      </w:r>
      <w:r>
        <w:rPr>
          <w:sz w:val="22"/>
          <w:szCs w:val="22"/>
        </w:rPr>
        <w:t xml:space="preserve">In this webinar from </w:t>
      </w:r>
      <w:proofErr w:type="spellStart"/>
      <w:r>
        <w:rPr>
          <w:sz w:val="22"/>
          <w:szCs w:val="22"/>
        </w:rPr>
        <w:t>DNAnexus</w:t>
      </w:r>
      <w:proofErr w:type="spellEnd"/>
      <w:r>
        <w:rPr>
          <w:sz w:val="22"/>
          <w:szCs w:val="22"/>
        </w:rPr>
        <w:t>, speakers discuss</w:t>
      </w:r>
      <w:r w:rsidRPr="001C7955">
        <w:rPr>
          <w:sz w:val="22"/>
          <w:szCs w:val="22"/>
        </w:rPr>
        <w:t xml:space="preserve"> how </w:t>
      </w:r>
      <w:proofErr w:type="spellStart"/>
      <w:r w:rsidRPr="001C7955">
        <w:rPr>
          <w:sz w:val="22"/>
          <w:szCs w:val="22"/>
        </w:rPr>
        <w:t>DNAnexus</w:t>
      </w:r>
      <w:proofErr w:type="spellEnd"/>
      <w:r w:rsidRPr="001C7955">
        <w:rPr>
          <w:sz w:val="22"/>
          <w:szCs w:val="22"/>
        </w:rPr>
        <w:t xml:space="preserve"> and Q</w:t>
      </w:r>
      <w:r>
        <w:rPr>
          <w:sz w:val="22"/>
          <w:szCs w:val="22"/>
        </w:rPr>
        <w:t>iagen</w:t>
      </w:r>
      <w:r w:rsidRPr="001C7955">
        <w:rPr>
          <w:sz w:val="22"/>
          <w:szCs w:val="22"/>
        </w:rPr>
        <w:t xml:space="preserve"> Digital Insights are partnering to develop an agnostic, end-to-end workflow for </w:t>
      </w:r>
      <w:r>
        <w:rPr>
          <w:sz w:val="22"/>
          <w:szCs w:val="22"/>
        </w:rPr>
        <w:t>comprehensive genomic profiling</w:t>
      </w:r>
      <w:r w:rsidRPr="001C7955">
        <w:rPr>
          <w:sz w:val="22"/>
          <w:szCs w:val="22"/>
        </w:rPr>
        <w:t xml:space="preserve"> that goes from FASTQ to final report </w:t>
      </w:r>
      <w:r>
        <w:rPr>
          <w:sz w:val="22"/>
          <w:szCs w:val="22"/>
        </w:rPr>
        <w:t>within minutes.</w:t>
      </w:r>
    </w:p>
    <w:p w14:paraId="2BBA722B" w14:textId="77777777" w:rsidR="00586C03" w:rsidRDefault="00586C03" w:rsidP="00586C03">
      <w:pPr>
        <w:rPr>
          <w:sz w:val="22"/>
          <w:szCs w:val="22"/>
        </w:rPr>
      </w:pPr>
    </w:p>
    <w:p w14:paraId="2ABAB875" w14:textId="77777777" w:rsidR="00586C03" w:rsidRPr="00317785" w:rsidRDefault="00586C03" w:rsidP="00586C03">
      <w:pPr>
        <w:rPr>
          <w:sz w:val="22"/>
          <w:szCs w:val="22"/>
        </w:rPr>
      </w:pPr>
    </w:p>
    <w:p w14:paraId="58433C5D" w14:textId="77777777" w:rsidR="00586C03" w:rsidRDefault="00586C03" w:rsidP="00586C03">
      <w:pPr>
        <w:rPr>
          <w:sz w:val="22"/>
          <w:szCs w:val="22"/>
        </w:rPr>
      </w:pPr>
      <w:r w:rsidRPr="0034798E">
        <w:rPr>
          <w:sz w:val="22"/>
          <w:szCs w:val="22"/>
        </w:rPr>
        <w:t xml:space="preserve">Download it from </w:t>
      </w:r>
      <w:r>
        <w:rPr>
          <w:sz w:val="22"/>
          <w:szCs w:val="22"/>
        </w:rPr>
        <w:t xml:space="preserve">the </w:t>
      </w:r>
      <w:hyperlink r:id="rId1141" w:history="1">
        <w:r w:rsidRPr="001A50B4">
          <w:rPr>
            <w:rStyle w:val="Hyperlink"/>
            <w:sz w:val="22"/>
            <w:szCs w:val="22"/>
          </w:rPr>
          <w:t>Precision Oncology News Webinar Library</w:t>
        </w:r>
      </w:hyperlink>
      <w:r w:rsidRPr="0034798E">
        <w:rPr>
          <w:sz w:val="22"/>
          <w:szCs w:val="22"/>
        </w:rPr>
        <w:t>.</w:t>
      </w:r>
    </w:p>
    <w:p w14:paraId="266FB027" w14:textId="77777777" w:rsidR="00586C03" w:rsidRDefault="00586C03" w:rsidP="00586C03">
      <w:pPr>
        <w:rPr>
          <w:sz w:val="22"/>
          <w:szCs w:val="22"/>
        </w:rPr>
      </w:pPr>
    </w:p>
    <w:p w14:paraId="2BCF5580" w14:textId="77777777" w:rsidR="00BE170F" w:rsidRPr="00DE75AE" w:rsidRDefault="00BE170F" w:rsidP="00BE170F">
      <w:pPr>
        <w:rPr>
          <w:sz w:val="22"/>
          <w:szCs w:val="22"/>
        </w:rPr>
      </w:pPr>
    </w:p>
    <w:p w14:paraId="4C0FCF43" w14:textId="77777777" w:rsidR="00BE170F" w:rsidRDefault="00BE170F" w:rsidP="00BE170F"/>
    <w:p w14:paraId="1D8F3752" w14:textId="77777777" w:rsidR="00015B51" w:rsidRDefault="00015B51" w:rsidP="00015B51">
      <w:pPr>
        <w:rPr>
          <w:sz w:val="22"/>
          <w:szCs w:val="22"/>
        </w:rPr>
      </w:pPr>
    </w:p>
    <w:p w14:paraId="1A4A0EE5" w14:textId="77777777" w:rsidR="00015B51" w:rsidRDefault="00015B51" w:rsidP="00015B51">
      <w:pPr>
        <w:rPr>
          <w:b/>
          <w:i/>
          <w:iCs/>
          <w:sz w:val="22"/>
          <w:szCs w:val="22"/>
        </w:rPr>
      </w:pPr>
    </w:p>
    <w:p w14:paraId="262A3352" w14:textId="77777777" w:rsidR="00015B51" w:rsidRDefault="00015B51" w:rsidP="00015B51">
      <w:pPr>
        <w:rPr>
          <w:rFonts w:asciiTheme="minorHAnsi" w:hAnsiTheme="minorHAnsi" w:cstheme="minorBidi"/>
          <w:sz w:val="24"/>
          <w:szCs w:val="24"/>
        </w:rPr>
      </w:pPr>
    </w:p>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85EA" w14:textId="77777777" w:rsidR="00A37C51" w:rsidRDefault="00A37C51" w:rsidP="001C010E">
      <w:r>
        <w:separator/>
      </w:r>
    </w:p>
  </w:endnote>
  <w:endnote w:type="continuationSeparator" w:id="0">
    <w:p w14:paraId="20B1470F" w14:textId="77777777" w:rsidR="00A37C51" w:rsidRDefault="00A37C51"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15BF" w14:textId="77777777" w:rsidR="00A37C51" w:rsidRDefault="00A37C51" w:rsidP="001C010E">
      <w:r>
        <w:separator/>
      </w:r>
    </w:p>
  </w:footnote>
  <w:footnote w:type="continuationSeparator" w:id="0">
    <w:p w14:paraId="27CFD7DA" w14:textId="77777777" w:rsidR="00A37C51" w:rsidRDefault="00A37C51"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5B51"/>
    <w:rsid w:val="00016FEC"/>
    <w:rsid w:val="0001729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589"/>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3C4"/>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438A"/>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7327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6BD7"/>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C3AAE"/>
    <w:rsid w:val="003D1AE9"/>
    <w:rsid w:val="003D48F4"/>
    <w:rsid w:val="003E0232"/>
    <w:rsid w:val="003E1174"/>
    <w:rsid w:val="003E32F3"/>
    <w:rsid w:val="003E4263"/>
    <w:rsid w:val="003E6717"/>
    <w:rsid w:val="003F0460"/>
    <w:rsid w:val="003F3F02"/>
    <w:rsid w:val="003F43F8"/>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5B2"/>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214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86C0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2B5"/>
    <w:rsid w:val="00820AA3"/>
    <w:rsid w:val="008212FB"/>
    <w:rsid w:val="0082478D"/>
    <w:rsid w:val="00826A68"/>
    <w:rsid w:val="00826D2A"/>
    <w:rsid w:val="0083157E"/>
    <w:rsid w:val="00831A37"/>
    <w:rsid w:val="00833A68"/>
    <w:rsid w:val="00834391"/>
    <w:rsid w:val="0084235C"/>
    <w:rsid w:val="0084338B"/>
    <w:rsid w:val="00844E80"/>
    <w:rsid w:val="00846E83"/>
    <w:rsid w:val="0085000C"/>
    <w:rsid w:val="00850E44"/>
    <w:rsid w:val="008515E5"/>
    <w:rsid w:val="008523D1"/>
    <w:rsid w:val="00854916"/>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37C51"/>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33FA"/>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1376"/>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170F"/>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474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0652"/>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2006"/>
    <w:rsid w:val="00D9359D"/>
    <w:rsid w:val="00D937F4"/>
    <w:rsid w:val="00D951E5"/>
    <w:rsid w:val="00D95521"/>
    <w:rsid w:val="00DA120A"/>
    <w:rsid w:val="00DA5E30"/>
    <w:rsid w:val="00DB0437"/>
    <w:rsid w:val="00DB06C7"/>
    <w:rsid w:val="00DB103C"/>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67E47"/>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67EFE"/>
    <w:rsid w:val="00F70B11"/>
    <w:rsid w:val="00F713A9"/>
    <w:rsid w:val="00F72617"/>
    <w:rsid w:val="00F72FF0"/>
    <w:rsid w:val="00F80EC7"/>
    <w:rsid w:val="00F81360"/>
    <w:rsid w:val="00F81965"/>
    <w:rsid w:val="00F81A05"/>
    <w:rsid w:val="00F827F0"/>
    <w:rsid w:val="00F838C6"/>
    <w:rsid w:val="00F83938"/>
    <w:rsid w:val="00F854C5"/>
    <w:rsid w:val="00F93EF0"/>
    <w:rsid w:val="00FA163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275848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49126713">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86225682">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2733817">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6982534">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1119" Type="http://schemas.openxmlformats.org/officeDocument/2006/relationships/hyperlink" Target="http://www.genomeweb.com/white-paper/complete-workflow-solution-detecting-respiratory-tract-microbiota-using-taqman-array"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1110" Type="http://schemas.openxmlformats.org/officeDocument/2006/relationships/hyperlink" Target="http://www.precisiononcologynews.com/white-paper/how-digital-pathology-ensures-ongoing-diagnosis-time-crisis"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1121" Type="http://schemas.openxmlformats.org/officeDocument/2006/relationships/hyperlink" Target="http://www.genomeweb.com/white-paper/simplifying-ngs-library-preparation-magicprep-ngs"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1132" Type="http://schemas.openxmlformats.org/officeDocument/2006/relationships/hyperlink" Target="http://www.genomeweb.com/white-paper/top-five-life-science-trend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1143" Type="http://schemas.openxmlformats.org/officeDocument/2006/relationships/theme" Target="theme/theme1.xm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hyperlink" Target="http://www.360dx.com/white-paper/digital-pathology-paris-saclay-hospital-group-process-benefits-and-recommendations"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1114" Type="http://schemas.openxmlformats.org/officeDocument/2006/relationships/hyperlink" Target="http://www.genomeweb.com/white-paper/twinstrand-biosciences-overcoming-bioinformatics-challenges-rapidly-scale-genomics"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1125" Type="http://schemas.openxmlformats.org/officeDocument/2006/relationships/hyperlink" Target="http://www.genomeweb.com/white-paper/how-get-quality-dna-chip-sequencing"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1136" Type="http://schemas.openxmlformats.org/officeDocument/2006/relationships/hyperlink" Target="http://www.genomeweb.com/white-paper/rna-sequencing-g4"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617" Type="http://schemas.openxmlformats.org/officeDocument/2006/relationships/hyperlink" Target="http://www.genomeweb.com/white-paper/troubleshooting-automation" TargetMode="External"/><Relationship Id="rId824" Type="http://schemas.openxmlformats.org/officeDocument/2006/relationships/hyperlink" Target="http://www.genomeweb.com/events/time-delay-integration-tdi-imaging" TargetMode="External"/><Relationship Id="rId256" Type="http://schemas.openxmlformats.org/officeDocument/2006/relationships/hyperlink" Target="https://www.genomeweb.com/resources/white-papers/accelerate-covid-19-research-new-insights-world-class-proteomics" TargetMode="External"/><Relationship Id="rId463" Type="http://schemas.openxmlformats.org/officeDocument/2006/relationships/hyperlink" Target="https://www.genomeweb.com/resources/white-papers/rapid-pcr-amplification-promega-powerplex-fusion-6c-kit-using-streck-real" TargetMode="External"/><Relationship Id="rId670" Type="http://schemas.openxmlformats.org/officeDocument/2006/relationships/hyperlink" Target="https://www.precisiononcologynews.com/white-paper/understanding-uncommon-how-confidently-identify-rare-cancer-mutations-qci-interpret-one" TargetMode="External"/><Relationship Id="rId1093" Type="http://schemas.openxmlformats.org/officeDocument/2006/relationships/hyperlink" Target="http://www.360dx.com/white-paper/concordance-between-digital-pcr-and-next-generation-sequencing-measuring-allele" TargetMode="External"/><Relationship Id="rId1107" Type="http://schemas.openxmlformats.org/officeDocument/2006/relationships/hyperlink" Target="http://www.precisiononcologynews.com/white-paper/four-good-reasons-switch-digital-pathology" TargetMode="External"/><Relationship Id="rId116" Type="http://schemas.openxmlformats.org/officeDocument/2006/relationships/hyperlink" Target="https://www.genomeweb.com/resources/white-papers/4-critical-strategies-clinical-diagnostics-leaders"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68" Type="http://schemas.openxmlformats.org/officeDocument/2006/relationships/hyperlink" Target="http://www.genomeweb.com/events/benefits-using-rna-seq-clinical-cancer-diagnostics" TargetMode="External"/><Relationship Id="rId975" Type="http://schemas.openxmlformats.org/officeDocument/2006/relationships/hyperlink" Target="http://www.genomeweb.com/events/rnascope-hiplex-v2-enhancing-your-spatial-genomics-story" TargetMode="External"/><Relationship Id="rId20" Type="http://schemas.openxmlformats.org/officeDocument/2006/relationships/hyperlink" Target="https://www.genomeweb.com/resources/webinars/using-single-cell-multiomics-reveal-new-insights-uveal-melanoma-evolution-and"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67" Type="http://schemas.openxmlformats.org/officeDocument/2006/relationships/hyperlink" Target="https://www.genomeweb.com/resources/white-papers/important-considerations-when-choosing-sars-cov-2-real-time-rt-pcr-assay" TargetMode="External"/><Relationship Id="rId474" Type="http://schemas.openxmlformats.org/officeDocument/2006/relationships/hyperlink" Target="https://www.genomeweb.com/resources/white-papers/genomic-solutions-sensitive-viral-detection" TargetMode="External"/><Relationship Id="rId1020" Type="http://schemas.openxmlformats.org/officeDocument/2006/relationships/hyperlink" Target="http://www.precisiononcologynews.com/white-paper/characterization-immune-cell-phenotypes-through-quantification-12-plex-spatial-rnascope" TargetMode="External"/><Relationship Id="rId1118" Type="http://schemas.openxmlformats.org/officeDocument/2006/relationships/hyperlink" Target="http://www.genomeweb.com/white-paper/investigating-microbiomes-various-sample-types-magmax-microbiome-ultra-nucleic-acid"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334" Type="http://schemas.openxmlformats.org/officeDocument/2006/relationships/hyperlink" Target="https://www.genomeweb.com/resources/white-papers/expert-advice-establishing-sars-cov-2-assay-covid-19-genomeweb-ecase-study" TargetMode="External"/><Relationship Id="rId541" Type="http://schemas.openxmlformats.org/officeDocument/2006/relationships/hyperlink" Target="https://www.genomeweb.com/resources/white-papers/tumor-microenvironment-pathway" TargetMode="External"/><Relationship Id="rId639" Type="http://schemas.openxmlformats.org/officeDocument/2006/relationships/hyperlink" Target="http://www.genomeweb.com/white-paper/rnascope-multiplex-situ-hybridization-technology-enables-incorporation-spatial-mapping"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1129" Type="http://schemas.openxmlformats.org/officeDocument/2006/relationships/hyperlink" Target="http://www.360dx.com/white-paper/applications-5-biotin-ii-phosphoramidite"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1140" Type="http://schemas.openxmlformats.org/officeDocument/2006/relationships/hyperlink" Target="http://www.360dx.com/events/fastq-final-report-ultra-fast-workflow-comprehensive-genomic-profiling"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1109" Type="http://schemas.openxmlformats.org/officeDocument/2006/relationships/hyperlink" Target="http://www.360dx.com/white-paper/how-digital-pathology-ensures-ongoing-diagnosis-time-crisis"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120" Type="http://schemas.openxmlformats.org/officeDocument/2006/relationships/hyperlink" Target="http://www.genomeweb.com/white-paper/high-throughput-workflow-profiling-vaginal-microbiota"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1131" Type="http://schemas.openxmlformats.org/officeDocument/2006/relationships/hyperlink" Target="http://www.genomeweb.com/white-paper/capturing-tumor-heterogeneity-rapid-deep-spatial-phenotyping"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1142" Type="http://schemas.openxmlformats.org/officeDocument/2006/relationships/fontTable" Target="fontTable.xm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1111" Type="http://schemas.openxmlformats.org/officeDocument/2006/relationships/hyperlink" Target="http://www.genomeweb.com/white-paper/proteomics-heart-multiomics-studies"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1122" Type="http://schemas.openxmlformats.org/officeDocument/2006/relationships/hyperlink" Target="http://www.genomeweb.com/events/need-optimized-patient-treatment-recommendations-how-genomoncology-utilizes-prior"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1133" Type="http://schemas.openxmlformats.org/officeDocument/2006/relationships/hyperlink" Target="http://www.genomeweb.com/white-paper/training-and-validation-accelerated-deepvariant-model-germline-exome-analysis-g4"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hyperlink" Target="http://www.genomeweb.com/white-paper/digital-pathology-paris-saclay-hospital-group-process-benefits-and-recommendations"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1113" Type="http://schemas.openxmlformats.org/officeDocument/2006/relationships/hyperlink" Target="http://www.genomeweb.com/white-paper/multiplex-high-throughput-proteomics-exceptional-analytical-specificit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1124" Type="http://schemas.openxmlformats.org/officeDocument/2006/relationships/hyperlink" Target="http://www.genomeweb.com/white-paper/evaluating-quality-input-rna-ngs-library-preparation"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1135" Type="http://schemas.openxmlformats.org/officeDocument/2006/relationships/hyperlink" Target="http://www.genomeweb.com/white-paper/max-read-novel-high-throughput-short-read-format-g4-sequencing-platform"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1104" Type="http://schemas.openxmlformats.org/officeDocument/2006/relationships/hyperlink" Target="http://www.precisiononcologynews.com/white-paper/digital-pathology-paris-saclay-hospital-group-process-benefits-and-recommendation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115" Type="http://schemas.openxmlformats.org/officeDocument/2006/relationships/hyperlink" Target="http://www.genomeweb.com/white-paper/respiratory-tract-infections-why-accurate-detection-and-identification-pathogens-core"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1126" Type="http://schemas.openxmlformats.org/officeDocument/2006/relationships/hyperlink" Target="http://www.genomeweb.com/white-paper/multi-organism-transcriptomics-zymo-seq-ribofree-total-rna-library-kit-1"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1137" Type="http://schemas.openxmlformats.org/officeDocument/2006/relationships/hyperlink" Target="http://www.genomeweb.com/white-paper/single-cell-rna-sequencing-g4"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06" Type="http://schemas.openxmlformats.org/officeDocument/2006/relationships/hyperlink" Target="http://www.360dx.com/white-paper/four-good-reasons-switch-digital-pathology"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1117" Type="http://schemas.openxmlformats.org/officeDocument/2006/relationships/hyperlink" Target="http://www.genomeweb.com/white-paper/metagenomic-analysis-human-microbiome-new-magmax-kit-automated-kingfisher-platform"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128" Type="http://schemas.openxmlformats.org/officeDocument/2006/relationships/hyperlink" Target="http://www.genomeweb.com/white-paper/applications-5-biotin-ii-phosphoramidite"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139" Type="http://schemas.openxmlformats.org/officeDocument/2006/relationships/hyperlink" Target="http://www.genomeweb.com/events/fastq-final-report-ultra-fast-workflow-comprehensive-genomic-profiling"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1108" Type="http://schemas.openxmlformats.org/officeDocument/2006/relationships/hyperlink" Target="http://www.genomeweb.com/white-paper/how-digital-pathology-ensures-ongoing-diagnosis-time-crisis"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1130" Type="http://schemas.openxmlformats.org/officeDocument/2006/relationships/hyperlink" Target="http://www.genomeweb.com/white-paper/fluorescent-base-analogues-oligonucleotide-drug-development"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1141" Type="http://schemas.openxmlformats.org/officeDocument/2006/relationships/hyperlink" Target="http://www.precisiononcologynews.com/events/fastq-final-report-ultra-fast-workflow-comprehensive-genomic-profil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1112" Type="http://schemas.openxmlformats.org/officeDocument/2006/relationships/hyperlink" Target="http://www.precisiononcologynews.com/white-paper/proteomics-heart-multiomics-studie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123" Type="http://schemas.openxmlformats.org/officeDocument/2006/relationships/hyperlink" Target="http://www.precisiononcologynews.com/events/need-optimized-patient-treatment-recommendations-how-genomoncology-utilizes-prior"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1134" Type="http://schemas.openxmlformats.org/officeDocument/2006/relationships/hyperlink" Target="http://www.genomeweb.com/white-paper/performance-characterization-g4-sequencing-platform-human-whole-genome-sequencing"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1105" Type="http://schemas.openxmlformats.org/officeDocument/2006/relationships/hyperlink" Target="http://www.genomeweb.com/white-paper/four-good-reasons-switch-digital-pathology"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1116" Type="http://schemas.openxmlformats.org/officeDocument/2006/relationships/hyperlink" Target="http://www.360dx.com/white-paper/respiratory-tract-infections-why-accurate-detection-and-identification-pathogens-core"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1127" Type="http://schemas.openxmlformats.org/officeDocument/2006/relationships/hyperlink" Target="http://www.genomeweb.com/white-paper/l-dna-applications-and-recognition-mirror-image-nucleic-acid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138" Type="http://schemas.openxmlformats.org/officeDocument/2006/relationships/hyperlink" Target="http://www.genomeweb.com/white-paper/whole-exome-sequencing-g4"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 Id="rId51" Type="http://schemas.openxmlformats.org/officeDocument/2006/relationships/hyperlink" Target="https://www.360dx.com/resources/white-papers/elisa-guide-clear-and-easy-guide-elisas" TargetMode="External"/><Relationship Id="rId561" Type="http://schemas.openxmlformats.org/officeDocument/2006/relationships/hyperlink" Target="https://www.360dx.com/resources/white-papers/how-start-covid-19-testing-your-lab" TargetMode="External"/><Relationship Id="rId659" Type="http://schemas.openxmlformats.org/officeDocument/2006/relationships/hyperlink" Target="http://www.genomeweb.com/white-paper/using-nanodrop-spectrophotometers-nmr-xrc-and-cryo-em-workflows-structural-biology"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519" Type="http://schemas.openxmlformats.org/officeDocument/2006/relationships/hyperlink" Target="https://www.genomeweb.com/resources/white-papers/aml-sample-report-european-guidelines" TargetMode="External"/><Relationship Id="rId1051" Type="http://schemas.openxmlformats.org/officeDocument/2006/relationships/hyperlink" Target="http://www.precisiononcologynews.com/white-paper/deep-ultra-high-plex-spatial-phenotyping-human-cancer-tissues" TargetMode="External"/><Relationship Id="rId158" Type="http://schemas.openxmlformats.org/officeDocument/2006/relationships/hyperlink" Target="https://www.genomeweb.com/resources/white-papers/targeted-crispr-indel-screening-using-automated-kapa-hyperprep-workflow" TargetMode="External"/><Relationship Id="rId726" Type="http://schemas.openxmlformats.org/officeDocument/2006/relationships/hyperlink" Target="http://www.genomeweb.com/white-paper/comprehensive-genomic-profiling-maximize-identification-molecularly-matched-therapies" TargetMode="External"/><Relationship Id="rId933" Type="http://schemas.openxmlformats.org/officeDocument/2006/relationships/hyperlink" Target="http://www.360dx.com/white-paper/how-turn-real-world-evidence-action" TargetMode="External"/><Relationship Id="rId1009" Type="http://schemas.openxmlformats.org/officeDocument/2006/relationships/hyperlink" Target="http://www.360dx.com/events/clinical-trial-assay-development-and-validation-strategies-success"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225" Type="http://schemas.openxmlformats.org/officeDocument/2006/relationships/hyperlink" Target="https://www.genomeweb.com/resources/white-papers/protein-purification-using-immobilized-metal-affinity-chromatography-imac" TargetMode="External"/><Relationship Id="rId432" Type="http://schemas.openxmlformats.org/officeDocument/2006/relationships/hyperlink" Target="https://www.genomeweb.com/resources/white-papers/accelerating-genomic-discoveries-precision-medicine" TargetMode="External"/><Relationship Id="rId877" Type="http://schemas.openxmlformats.org/officeDocument/2006/relationships/hyperlink" Target="http://www.genomeweb.com/white-paper/aptamers-drugs" TargetMode="External"/><Relationship Id="rId1062" Type="http://schemas.openxmlformats.org/officeDocument/2006/relationships/hyperlink" Target="http://www.precisiononcologynews.com/white-paper/how-co-occurring-oncogenic-mutations-impact-clinical-outcomes" TargetMode="External"/><Relationship Id="rId737" Type="http://schemas.openxmlformats.org/officeDocument/2006/relationships/hyperlink" Target="http://www.genomeweb.com/white-paper/pancreatic-cancer-action-network" TargetMode="External"/><Relationship Id="rId944" Type="http://schemas.openxmlformats.org/officeDocument/2006/relationships/hyperlink" Target="http://www.genomeweb.com/events/challenging-limit-detection-liquid-biopsy-assays"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76" Type="http://schemas.openxmlformats.org/officeDocument/2006/relationships/hyperlink" Target="https://www.360dx.com/resources/white-papers/how-choose-molecular-diagnostics-supplier" TargetMode="External"/><Relationship Id="rId583" Type="http://schemas.openxmlformats.org/officeDocument/2006/relationships/hyperlink" Target="http://www.precisiononcologynews.com/white-paper/copy-number-variants-and-single-nucleotide-variants-simultaneously-detected-single"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90376</Words>
  <Characters>515145</Characters>
  <Application>Microsoft Office Word</Application>
  <DocSecurity>0</DocSecurity>
  <Lines>4292</Lines>
  <Paragraphs>1208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3</cp:revision>
  <dcterms:created xsi:type="dcterms:W3CDTF">2022-08-10T18:50:00Z</dcterms:created>
  <dcterms:modified xsi:type="dcterms:W3CDTF">2022-08-10T18:50:00Z</dcterms:modified>
</cp:coreProperties>
</file>