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F43D31"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F43D31"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F43D31"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F43D31"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F43D31"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F43D31"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F43D31"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F43D31"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F43D31"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F43D31"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F43D31"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447CBF9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7:</w:t>
      </w:r>
    </w:p>
    <w:p w14:paraId="56910AC6" w14:textId="77777777" w:rsidR="006C423C" w:rsidRPr="00C704D6" w:rsidRDefault="006C423C" w:rsidP="006C423C">
      <w:pPr>
        <w:rPr>
          <w:sz w:val="22"/>
          <w:szCs w:val="22"/>
        </w:rPr>
      </w:pPr>
    </w:p>
    <w:p w14:paraId="15573D0D"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Maximizing the Quality of RNA-Seq Libraries and Sequencing Data</w:t>
      </w:r>
    </w:p>
    <w:p w14:paraId="4ECDDD82" w14:textId="77777777" w:rsidR="006C423C" w:rsidRPr="00C704D6" w:rsidRDefault="006C423C" w:rsidP="006C423C">
      <w:pPr>
        <w:rPr>
          <w:sz w:val="22"/>
          <w:szCs w:val="22"/>
        </w:rPr>
      </w:pPr>
    </w:p>
    <w:p w14:paraId="4AB7B07F"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C704D6" w:rsidRDefault="006C423C" w:rsidP="006C423C">
      <w:pPr>
        <w:rPr>
          <w:sz w:val="22"/>
          <w:szCs w:val="22"/>
        </w:rPr>
      </w:pPr>
    </w:p>
    <w:p w14:paraId="4B0AF653"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79" w:history="1">
        <w:r w:rsidRPr="00C704D6">
          <w:rPr>
            <w:rStyle w:val="Hyperlink"/>
            <w:sz w:val="22"/>
            <w:szCs w:val="22"/>
          </w:rPr>
          <w:t>White Paper Channel</w:t>
        </w:r>
      </w:hyperlink>
      <w:r w:rsidRPr="00C704D6">
        <w:rPr>
          <w:sz w:val="22"/>
          <w:szCs w:val="22"/>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3AC9CFB6"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8</w:t>
      </w:r>
      <w:r w:rsidR="00C704D6">
        <w:rPr>
          <w:b/>
          <w:bCs/>
          <w:i/>
          <w:iCs/>
          <w:sz w:val="22"/>
          <w:szCs w:val="22"/>
        </w:rPr>
        <w:t>:</w:t>
      </w:r>
    </w:p>
    <w:p w14:paraId="485DA796" w14:textId="77777777" w:rsidR="006C423C" w:rsidRPr="00C704D6" w:rsidRDefault="006C423C" w:rsidP="006C423C">
      <w:pPr>
        <w:rPr>
          <w:sz w:val="22"/>
          <w:szCs w:val="22"/>
        </w:rPr>
      </w:pPr>
    </w:p>
    <w:p w14:paraId="4BF2EF72"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1D8CCF8" w14:textId="77777777" w:rsidR="006C423C" w:rsidRPr="00C704D6" w:rsidRDefault="006C423C" w:rsidP="006C423C">
      <w:pPr>
        <w:rPr>
          <w:sz w:val="22"/>
          <w:szCs w:val="22"/>
        </w:rPr>
      </w:pPr>
    </w:p>
    <w:p w14:paraId="353C16CB"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C704D6" w:rsidRDefault="006C423C" w:rsidP="006C423C">
      <w:pPr>
        <w:rPr>
          <w:sz w:val="22"/>
          <w:szCs w:val="22"/>
        </w:rPr>
      </w:pPr>
    </w:p>
    <w:p w14:paraId="765F9BD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0" w:history="1">
        <w:r w:rsidRPr="00C704D6">
          <w:rPr>
            <w:rStyle w:val="Hyperlink"/>
            <w:sz w:val="22"/>
            <w:szCs w:val="22"/>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038FEF32"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360Dx White Paper 8:</w:t>
      </w:r>
    </w:p>
    <w:p w14:paraId="7C6C8110" w14:textId="77777777" w:rsidR="006C423C" w:rsidRPr="00C704D6" w:rsidRDefault="006C423C" w:rsidP="006C423C">
      <w:pPr>
        <w:rPr>
          <w:sz w:val="22"/>
          <w:szCs w:val="22"/>
        </w:rPr>
      </w:pPr>
    </w:p>
    <w:p w14:paraId="69A04855"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503D918" w14:textId="77777777" w:rsidR="006C423C" w:rsidRPr="00C704D6" w:rsidRDefault="006C423C" w:rsidP="006C423C">
      <w:pPr>
        <w:rPr>
          <w:sz w:val="22"/>
          <w:szCs w:val="22"/>
        </w:rPr>
      </w:pPr>
    </w:p>
    <w:p w14:paraId="3FAC3CFE"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C704D6" w:rsidRDefault="006C423C" w:rsidP="006C423C">
      <w:pPr>
        <w:rPr>
          <w:sz w:val="22"/>
          <w:szCs w:val="22"/>
        </w:rPr>
      </w:pPr>
    </w:p>
    <w:p w14:paraId="76D5FC91" w14:textId="77777777" w:rsidR="006C423C" w:rsidRDefault="006C423C" w:rsidP="006C423C">
      <w:pPr>
        <w:rPr>
          <w:sz w:val="22"/>
          <w:szCs w:val="22"/>
        </w:rPr>
      </w:pPr>
      <w:r w:rsidRPr="00C704D6">
        <w:rPr>
          <w:sz w:val="22"/>
          <w:szCs w:val="22"/>
        </w:rPr>
        <w:t xml:space="preserve">Download it from the </w:t>
      </w:r>
      <w:hyperlink r:id="rId881" w:history="1">
        <w:r w:rsidRPr="00C704D6">
          <w:rPr>
            <w:rStyle w:val="Hyperlink"/>
            <w:sz w:val="22"/>
            <w:szCs w:val="22"/>
          </w:rPr>
          <w:t>360Dx White Paper Channel</w:t>
        </w:r>
      </w:hyperlink>
      <w:r w:rsidRPr="00C704D6">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3C63BC3"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PON White Paper 8:</w:t>
      </w:r>
    </w:p>
    <w:p w14:paraId="17513F2F" w14:textId="77777777" w:rsidR="006C423C" w:rsidRPr="00C704D6" w:rsidRDefault="006C423C" w:rsidP="006C423C">
      <w:pPr>
        <w:rPr>
          <w:sz w:val="22"/>
          <w:szCs w:val="22"/>
        </w:rPr>
      </w:pPr>
    </w:p>
    <w:p w14:paraId="22F1B33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2D75D160" w14:textId="77777777" w:rsidR="006C423C" w:rsidRPr="00C704D6" w:rsidRDefault="006C423C" w:rsidP="006C423C">
      <w:pPr>
        <w:rPr>
          <w:sz w:val="22"/>
          <w:szCs w:val="22"/>
        </w:rPr>
      </w:pPr>
    </w:p>
    <w:p w14:paraId="1BEE1BC8" w14:textId="77777777" w:rsidR="006C423C" w:rsidRPr="00C704D6" w:rsidRDefault="006C423C" w:rsidP="006C423C">
      <w:pPr>
        <w:rPr>
          <w:sz w:val="22"/>
          <w:szCs w:val="22"/>
        </w:rPr>
      </w:pPr>
      <w:r w:rsidRPr="00C704D6">
        <w:rPr>
          <w:b/>
          <w:bCs/>
          <w:sz w:val="22"/>
          <w:szCs w:val="22"/>
        </w:rPr>
        <w:lastRenderedPageBreak/>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C704D6" w:rsidRDefault="006C423C" w:rsidP="006C423C">
      <w:pPr>
        <w:rPr>
          <w:sz w:val="22"/>
          <w:szCs w:val="22"/>
        </w:rPr>
      </w:pPr>
    </w:p>
    <w:p w14:paraId="2BFF78E5" w14:textId="77777777" w:rsidR="006C423C" w:rsidRDefault="006C423C" w:rsidP="006C423C">
      <w:pPr>
        <w:rPr>
          <w:sz w:val="22"/>
          <w:szCs w:val="22"/>
        </w:rPr>
      </w:pPr>
      <w:r w:rsidRPr="00C704D6">
        <w:rPr>
          <w:sz w:val="22"/>
          <w:szCs w:val="22"/>
        </w:rPr>
        <w:t xml:space="preserve">Download it from the </w:t>
      </w:r>
      <w:hyperlink r:id="rId882" w:history="1">
        <w:r w:rsidRPr="00C704D6">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76EF94B5" w:rsidR="006C423C" w:rsidRPr="00C704D6" w:rsidRDefault="006C423C" w:rsidP="006C423C">
      <w:pPr>
        <w:rPr>
          <w:b/>
          <w:bCs/>
          <w:i/>
          <w:iCs/>
          <w:sz w:val="22"/>
          <w:szCs w:val="22"/>
        </w:rPr>
      </w:pPr>
      <w:bookmarkStart w:id="17" w:name="_Hlk89764784"/>
      <w:proofErr w:type="spellStart"/>
      <w:r w:rsidRPr="00C704D6">
        <w:rPr>
          <w:b/>
          <w:bCs/>
          <w:i/>
          <w:iCs/>
          <w:sz w:val="22"/>
          <w:szCs w:val="22"/>
        </w:rPr>
        <w:t>Zymo</w:t>
      </w:r>
      <w:proofErr w:type="spellEnd"/>
      <w:r w:rsidRPr="00C704D6">
        <w:rPr>
          <w:b/>
          <w:bCs/>
          <w:i/>
          <w:iCs/>
          <w:sz w:val="22"/>
          <w:szCs w:val="22"/>
        </w:rPr>
        <w:t xml:space="preserve"> Research TT GW White Paper 9</w:t>
      </w:r>
      <w:bookmarkEnd w:id="17"/>
      <w:r w:rsidRPr="00C704D6">
        <w:rPr>
          <w:b/>
          <w:bCs/>
          <w:i/>
          <w:iCs/>
          <w:sz w:val="22"/>
          <w:szCs w:val="22"/>
        </w:rPr>
        <w:t>:</w:t>
      </w:r>
      <w:r w:rsidR="00B73F09" w:rsidRPr="00C704D6">
        <w:rPr>
          <w:b/>
          <w:bCs/>
          <w:i/>
          <w:iCs/>
          <w:sz w:val="22"/>
          <w:szCs w:val="22"/>
        </w:rPr>
        <w:t xml:space="preserve"> </w:t>
      </w:r>
    </w:p>
    <w:p w14:paraId="47E7E704" w14:textId="77777777" w:rsidR="006C423C" w:rsidRPr="00C704D6" w:rsidRDefault="006C423C" w:rsidP="006C423C">
      <w:pPr>
        <w:rPr>
          <w:sz w:val="22"/>
          <w:szCs w:val="22"/>
        </w:rPr>
      </w:pPr>
    </w:p>
    <w:p w14:paraId="26966EA1"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Multi-Organism Transcriptomics With an rRNA-Depleting Library Kit</w:t>
      </w:r>
    </w:p>
    <w:p w14:paraId="741ED8B9" w14:textId="77777777" w:rsidR="006C423C" w:rsidRPr="00C704D6" w:rsidRDefault="006C423C" w:rsidP="006C423C">
      <w:pPr>
        <w:rPr>
          <w:sz w:val="22"/>
          <w:szCs w:val="22"/>
        </w:rPr>
      </w:pPr>
    </w:p>
    <w:p w14:paraId="5E6D20EC"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the whole-transcriptome analysis of several model organisms using the Zymo-Seq </w:t>
      </w:r>
      <w:proofErr w:type="spellStart"/>
      <w:r w:rsidRPr="00C704D6">
        <w:rPr>
          <w:sz w:val="22"/>
          <w:szCs w:val="22"/>
        </w:rPr>
        <w:t>RiboFree</w:t>
      </w:r>
      <w:proofErr w:type="spellEnd"/>
      <w:r w:rsidRPr="00C704D6">
        <w:rPr>
          <w:sz w:val="22"/>
          <w:szCs w:val="22"/>
        </w:rPr>
        <w:t xml:space="preserve"> Total RNA Library Kit to validate its cross-species compatibility and introduces a complete workflow from RNA extraction to bioinformatic analysis.</w:t>
      </w:r>
    </w:p>
    <w:p w14:paraId="1B94F758" w14:textId="77777777" w:rsidR="006C423C" w:rsidRPr="00C704D6" w:rsidRDefault="006C423C" w:rsidP="006C423C">
      <w:pPr>
        <w:rPr>
          <w:sz w:val="22"/>
          <w:szCs w:val="22"/>
        </w:rPr>
      </w:pPr>
    </w:p>
    <w:p w14:paraId="3CE1BD3E"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3" w:history="1">
        <w:r w:rsidRPr="00C704D6">
          <w:rPr>
            <w:rStyle w:val="Hyperlink"/>
            <w:sz w:val="22"/>
            <w:szCs w:val="22"/>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77777777" w:rsidR="00D82069" w:rsidRDefault="00D82069" w:rsidP="00D82069">
      <w:pPr>
        <w:rPr>
          <w:b/>
          <w:bCs/>
          <w:i/>
          <w:iCs/>
          <w:sz w:val="22"/>
          <w:szCs w:val="22"/>
        </w:rPr>
      </w:pPr>
      <w:proofErr w:type="spellStart"/>
      <w:r>
        <w:rPr>
          <w:b/>
          <w:bCs/>
          <w:i/>
          <w:iCs/>
          <w:sz w:val="22"/>
          <w:szCs w:val="22"/>
        </w:rPr>
        <w:t>Jumpcode</w:t>
      </w:r>
      <w:proofErr w:type="spellEnd"/>
      <w:r>
        <w:rPr>
          <w:b/>
          <w:bCs/>
          <w:i/>
          <w:iCs/>
          <w:sz w:val="22"/>
          <w:szCs w:val="22"/>
        </w:rPr>
        <w:t xml:space="preserve"> White Paper 6:</w:t>
      </w:r>
    </w:p>
    <w:p w14:paraId="0AD3E106" w14:textId="77777777" w:rsidR="00D82069" w:rsidRDefault="00D82069" w:rsidP="00D82069">
      <w:pPr>
        <w:rPr>
          <w:sz w:val="22"/>
          <w:szCs w:val="22"/>
        </w:rPr>
      </w:pPr>
    </w:p>
    <w:p w14:paraId="7D6C69D5" w14:textId="77777777" w:rsidR="00D82069" w:rsidRDefault="00D82069" w:rsidP="00D82069">
      <w:pPr>
        <w:rPr>
          <w:b/>
          <w:bCs/>
          <w:sz w:val="22"/>
          <w:szCs w:val="22"/>
        </w:rPr>
      </w:pPr>
      <w:r>
        <w:rPr>
          <w:b/>
          <w:bCs/>
          <w:sz w:val="22"/>
          <w:szCs w:val="22"/>
        </w:rPr>
        <w:t>Title:</w:t>
      </w:r>
      <w:r>
        <w:rPr>
          <w:sz w:val="22"/>
          <w:szCs w:val="22"/>
        </w:rPr>
        <w:t xml:space="preserve"> Improved Transcript Discovery in Single-Cell RNA-seq with rRNA Depletion</w:t>
      </w:r>
    </w:p>
    <w:p w14:paraId="43251B99" w14:textId="77777777" w:rsidR="00D82069" w:rsidRDefault="00D82069" w:rsidP="00D82069">
      <w:pPr>
        <w:rPr>
          <w:sz w:val="22"/>
          <w:szCs w:val="22"/>
        </w:rPr>
      </w:pPr>
    </w:p>
    <w:p w14:paraId="01A082F2" w14:textId="77777777" w:rsidR="00D82069" w:rsidRDefault="00D82069" w:rsidP="00D82069">
      <w:pPr>
        <w:rPr>
          <w:sz w:val="22"/>
          <w:szCs w:val="22"/>
        </w:rPr>
      </w:pPr>
      <w:r>
        <w:rPr>
          <w:b/>
          <w:bCs/>
          <w:sz w:val="22"/>
          <w:szCs w:val="22"/>
        </w:rPr>
        <w:t>Body:</w:t>
      </w:r>
      <w:r>
        <w:rPr>
          <w:sz w:val="22"/>
          <w:szCs w:val="22"/>
        </w:rPr>
        <w:t xml:space="preserve"> This poster from </w:t>
      </w:r>
      <w:proofErr w:type="spellStart"/>
      <w:r>
        <w:rPr>
          <w:sz w:val="22"/>
          <w:szCs w:val="22"/>
        </w:rPr>
        <w:t>Jumpcode</w:t>
      </w:r>
      <w:proofErr w:type="spellEnd"/>
      <w:r>
        <w:rPr>
          <w:sz w:val="22"/>
          <w:szCs w:val="22"/>
        </w:rPr>
        <w:t xml:space="preserve"> Genomics presents data demonstrating how </w:t>
      </w:r>
      <w:proofErr w:type="spellStart"/>
      <w:r>
        <w:rPr>
          <w:sz w:val="22"/>
          <w:szCs w:val="22"/>
        </w:rPr>
        <w:t>CRISPRclean</w:t>
      </w:r>
      <w:proofErr w:type="spellEnd"/>
      <w:r>
        <w:rPr>
          <w:sz w:val="22"/>
          <w:szCs w:val="22"/>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Default="00D82069" w:rsidP="00D82069">
      <w:pPr>
        <w:rPr>
          <w:sz w:val="22"/>
          <w:szCs w:val="22"/>
        </w:rPr>
      </w:pPr>
    </w:p>
    <w:p w14:paraId="0308D8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1" w:history="1">
        <w:r>
          <w:rPr>
            <w:rStyle w:val="Hyperlink"/>
            <w:sz w:val="22"/>
            <w:szCs w:val="22"/>
          </w:rPr>
          <w:t>White Paper Channel</w:t>
        </w:r>
      </w:hyperlink>
      <w:r>
        <w:rPr>
          <w:sz w:val="22"/>
          <w:szCs w:val="22"/>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GW White Paper 2:</w:t>
      </w:r>
    </w:p>
    <w:p w14:paraId="51348F8B" w14:textId="77777777" w:rsidR="00D82069" w:rsidRDefault="00D82069" w:rsidP="00D82069">
      <w:pPr>
        <w:rPr>
          <w:sz w:val="22"/>
          <w:szCs w:val="22"/>
        </w:rPr>
      </w:pPr>
    </w:p>
    <w:p w14:paraId="6873AA2D"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85462A8" w14:textId="77777777" w:rsidR="00D82069" w:rsidRDefault="00D82069" w:rsidP="00D82069">
      <w:pPr>
        <w:rPr>
          <w:sz w:val="22"/>
          <w:szCs w:val="22"/>
        </w:rPr>
      </w:pPr>
    </w:p>
    <w:p w14:paraId="18598680"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3D898A35" w14:textId="77777777" w:rsidR="00D82069" w:rsidRDefault="00D82069" w:rsidP="00D82069">
      <w:pPr>
        <w:rPr>
          <w:sz w:val="22"/>
          <w:szCs w:val="22"/>
        </w:rPr>
      </w:pPr>
    </w:p>
    <w:p w14:paraId="6087E57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2" w:history="1">
        <w:r>
          <w:rPr>
            <w:rStyle w:val="Hyperlink"/>
            <w:sz w:val="22"/>
            <w:szCs w:val="22"/>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360Dx White Paper 2:</w:t>
      </w:r>
    </w:p>
    <w:p w14:paraId="72E16BC3" w14:textId="77777777" w:rsidR="00D82069" w:rsidRDefault="00D82069" w:rsidP="00D82069">
      <w:pPr>
        <w:rPr>
          <w:sz w:val="22"/>
          <w:szCs w:val="22"/>
        </w:rPr>
      </w:pPr>
    </w:p>
    <w:p w14:paraId="4CF01FD6"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302224B" w14:textId="77777777" w:rsidR="00D82069" w:rsidRDefault="00D82069" w:rsidP="00D82069">
      <w:pPr>
        <w:rPr>
          <w:sz w:val="22"/>
          <w:szCs w:val="22"/>
        </w:rPr>
      </w:pPr>
    </w:p>
    <w:p w14:paraId="73EA7102"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03FE4ACC" w14:textId="77777777" w:rsidR="00D82069" w:rsidRDefault="00D82069" w:rsidP="00D82069">
      <w:pPr>
        <w:rPr>
          <w:sz w:val="22"/>
          <w:szCs w:val="22"/>
        </w:rPr>
      </w:pPr>
    </w:p>
    <w:p w14:paraId="4D882B55" w14:textId="77777777" w:rsidR="00D82069" w:rsidRDefault="00D82069" w:rsidP="00D82069">
      <w:pPr>
        <w:rPr>
          <w:sz w:val="22"/>
          <w:szCs w:val="22"/>
        </w:rPr>
      </w:pPr>
      <w:r>
        <w:rPr>
          <w:sz w:val="22"/>
          <w:szCs w:val="22"/>
        </w:rPr>
        <w:t xml:space="preserve">Download it from the </w:t>
      </w:r>
      <w:hyperlink r:id="rId953" w:history="1">
        <w:r>
          <w:rPr>
            <w:rStyle w:val="Hyperlink"/>
            <w:sz w:val="22"/>
            <w:szCs w:val="22"/>
          </w:rPr>
          <w:t>360Dx White Paper Channel</w:t>
        </w:r>
      </w:hyperlink>
      <w:r>
        <w:rPr>
          <w:sz w:val="22"/>
          <w:szCs w:val="22"/>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77777777" w:rsidR="00D82069" w:rsidRDefault="00D82069" w:rsidP="00D82069">
      <w:pPr>
        <w:rPr>
          <w:b/>
          <w:bCs/>
          <w:i/>
          <w:iCs/>
          <w:sz w:val="22"/>
          <w:szCs w:val="22"/>
        </w:rPr>
      </w:pPr>
      <w:r>
        <w:rPr>
          <w:b/>
          <w:bCs/>
          <w:i/>
          <w:iCs/>
          <w:sz w:val="22"/>
          <w:szCs w:val="22"/>
        </w:rPr>
        <w:t>Integra White Paper 11:</w:t>
      </w:r>
    </w:p>
    <w:p w14:paraId="04909DD3" w14:textId="77777777" w:rsidR="00D82069" w:rsidRDefault="00D82069" w:rsidP="00D82069">
      <w:pPr>
        <w:rPr>
          <w:sz w:val="22"/>
          <w:szCs w:val="22"/>
        </w:rPr>
      </w:pPr>
    </w:p>
    <w:p w14:paraId="3B03543C" w14:textId="77777777" w:rsidR="00D82069" w:rsidRDefault="00D82069" w:rsidP="00D82069">
      <w:pPr>
        <w:rPr>
          <w:sz w:val="22"/>
          <w:szCs w:val="22"/>
        </w:rPr>
      </w:pPr>
      <w:r>
        <w:rPr>
          <w:b/>
          <w:bCs/>
          <w:sz w:val="22"/>
          <w:szCs w:val="22"/>
        </w:rPr>
        <w:t>Title:</w:t>
      </w:r>
      <w:r>
        <w:rPr>
          <w:sz w:val="22"/>
          <w:szCs w:val="22"/>
        </w:rPr>
        <w:t xml:space="preserve"> Automating the MTT Cell Proliferation, Viability, and Cytotoxicity Assay</w:t>
      </w:r>
    </w:p>
    <w:p w14:paraId="09C35E90" w14:textId="77777777" w:rsidR="00D82069" w:rsidRDefault="00D82069" w:rsidP="00D82069">
      <w:pPr>
        <w:rPr>
          <w:sz w:val="22"/>
          <w:szCs w:val="22"/>
        </w:rPr>
      </w:pPr>
    </w:p>
    <w:p w14:paraId="270F68D8"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step-by-step protocol for automating the MTT assay — which measures proliferation, cytotoxicity, or cell activation </w:t>
      </w:r>
      <w:proofErr w:type="gramStart"/>
      <w:r>
        <w:rPr>
          <w:sz w:val="22"/>
          <w:szCs w:val="22"/>
        </w:rPr>
        <w:t>—  using</w:t>
      </w:r>
      <w:proofErr w:type="gramEnd"/>
      <w:r>
        <w:rPr>
          <w:sz w:val="22"/>
          <w:szCs w:val="22"/>
        </w:rPr>
        <w:t xml:space="preserve"> the Assist Plus pipetting robot to improve throughput, reproducibility, safety, and reagent efficiency.</w:t>
      </w:r>
    </w:p>
    <w:p w14:paraId="1535F898" w14:textId="77777777" w:rsidR="00D82069" w:rsidRDefault="00D82069" w:rsidP="00D82069">
      <w:pPr>
        <w:rPr>
          <w:sz w:val="22"/>
          <w:szCs w:val="22"/>
        </w:rPr>
      </w:pPr>
    </w:p>
    <w:p w14:paraId="528E95B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4" w:history="1">
        <w:r>
          <w:rPr>
            <w:rStyle w:val="Hyperlink"/>
            <w:sz w:val="22"/>
            <w:szCs w:val="22"/>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77777777" w:rsidR="00D82069" w:rsidRDefault="00D82069" w:rsidP="00D82069">
      <w:pPr>
        <w:rPr>
          <w:b/>
          <w:bCs/>
          <w:i/>
          <w:iCs/>
          <w:sz w:val="22"/>
          <w:szCs w:val="22"/>
        </w:rPr>
      </w:pPr>
      <w:r>
        <w:rPr>
          <w:b/>
          <w:bCs/>
          <w:i/>
          <w:iCs/>
          <w:sz w:val="22"/>
          <w:szCs w:val="22"/>
        </w:rPr>
        <w:t>Integra White Paper 12:</w:t>
      </w:r>
    </w:p>
    <w:p w14:paraId="360AF00D" w14:textId="77777777" w:rsidR="00D82069" w:rsidRDefault="00D82069" w:rsidP="00D82069">
      <w:pPr>
        <w:rPr>
          <w:sz w:val="22"/>
          <w:szCs w:val="22"/>
        </w:rPr>
      </w:pPr>
    </w:p>
    <w:p w14:paraId="5CA801CE" w14:textId="77777777" w:rsidR="00D82069" w:rsidRDefault="00D82069" w:rsidP="00D82069">
      <w:pPr>
        <w:rPr>
          <w:sz w:val="22"/>
          <w:szCs w:val="22"/>
        </w:rPr>
      </w:pPr>
      <w:r>
        <w:rPr>
          <w:b/>
          <w:bCs/>
          <w:sz w:val="22"/>
          <w:szCs w:val="22"/>
        </w:rPr>
        <w:t>Title:</w:t>
      </w:r>
      <w:r>
        <w:rPr>
          <w:sz w:val="22"/>
          <w:szCs w:val="22"/>
        </w:rPr>
        <w:t xml:space="preserve"> Rapid and Precise Dilutions for the Most Probable Number Test Procedure</w:t>
      </w:r>
    </w:p>
    <w:p w14:paraId="345A28EF" w14:textId="77777777" w:rsidR="00D82069" w:rsidRDefault="00D82069" w:rsidP="00D82069">
      <w:pPr>
        <w:rPr>
          <w:sz w:val="22"/>
          <w:szCs w:val="22"/>
        </w:rPr>
      </w:pPr>
    </w:p>
    <w:p w14:paraId="01E11E49" w14:textId="77777777" w:rsidR="00D82069" w:rsidRDefault="00D82069" w:rsidP="00D82069">
      <w:pPr>
        <w:numPr>
          <w:ilvl w:val="0"/>
          <w:numId w:val="1"/>
        </w:numPr>
        <w:rPr>
          <w:sz w:val="22"/>
          <w:szCs w:val="22"/>
        </w:rPr>
      </w:pPr>
      <w:r>
        <w:rPr>
          <w:b/>
          <w:bCs/>
          <w:sz w:val="22"/>
          <w:szCs w:val="22"/>
        </w:rPr>
        <w:t>Body:</w:t>
      </w:r>
      <w:r>
        <w:rPr>
          <w:sz w:val="22"/>
          <w:szCs w:val="22"/>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Default="00D82069" w:rsidP="00D82069">
      <w:pPr>
        <w:rPr>
          <w:sz w:val="22"/>
          <w:szCs w:val="22"/>
        </w:rPr>
      </w:pPr>
    </w:p>
    <w:p w14:paraId="06125419"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5" w:history="1">
        <w:r>
          <w:rPr>
            <w:rStyle w:val="Hyperlink"/>
            <w:sz w:val="22"/>
            <w:szCs w:val="22"/>
          </w:rPr>
          <w:t>White Paper Channel</w:t>
        </w:r>
      </w:hyperlink>
      <w:r>
        <w:rPr>
          <w:sz w:val="22"/>
          <w:szCs w:val="22"/>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77777777" w:rsidR="00D82069" w:rsidRDefault="00D82069" w:rsidP="00D82069">
      <w:pPr>
        <w:rPr>
          <w:b/>
          <w:bCs/>
          <w:i/>
          <w:iCs/>
          <w:sz w:val="22"/>
          <w:szCs w:val="22"/>
        </w:rPr>
      </w:pPr>
      <w:r>
        <w:rPr>
          <w:b/>
          <w:bCs/>
          <w:i/>
          <w:iCs/>
          <w:sz w:val="22"/>
          <w:szCs w:val="22"/>
        </w:rPr>
        <w:t>Integra White Paper 13:</w:t>
      </w:r>
    </w:p>
    <w:p w14:paraId="4146568D" w14:textId="77777777" w:rsidR="00D82069" w:rsidRDefault="00D82069" w:rsidP="00D82069">
      <w:pPr>
        <w:rPr>
          <w:sz w:val="22"/>
          <w:szCs w:val="22"/>
        </w:rPr>
      </w:pPr>
    </w:p>
    <w:p w14:paraId="4273249B" w14:textId="77777777" w:rsidR="00D82069" w:rsidRDefault="00D82069" w:rsidP="00D82069">
      <w:pPr>
        <w:rPr>
          <w:sz w:val="22"/>
          <w:szCs w:val="22"/>
        </w:rPr>
      </w:pPr>
      <w:r>
        <w:rPr>
          <w:b/>
          <w:bCs/>
          <w:sz w:val="22"/>
          <w:szCs w:val="22"/>
        </w:rPr>
        <w:t>Title:</w:t>
      </w:r>
      <w:r>
        <w:rPr>
          <w:sz w:val="22"/>
          <w:szCs w:val="22"/>
        </w:rPr>
        <w:t xml:space="preserve"> Automated Minimum Inhibitory Concentration Testing</w:t>
      </w:r>
    </w:p>
    <w:p w14:paraId="56502FCA" w14:textId="77777777" w:rsidR="00D82069" w:rsidRDefault="00D82069" w:rsidP="00D82069">
      <w:pPr>
        <w:rPr>
          <w:sz w:val="22"/>
          <w:szCs w:val="22"/>
        </w:rPr>
      </w:pPr>
    </w:p>
    <w:p w14:paraId="5D463E49"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Default="00D82069" w:rsidP="00D82069">
      <w:pPr>
        <w:rPr>
          <w:sz w:val="22"/>
          <w:szCs w:val="22"/>
        </w:rPr>
      </w:pPr>
    </w:p>
    <w:p w14:paraId="54D5A906"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6" w:history="1">
        <w:r>
          <w:rPr>
            <w:rStyle w:val="Hyperlink"/>
            <w:sz w:val="22"/>
            <w:szCs w:val="22"/>
          </w:rPr>
          <w:t>White Paper Channel</w:t>
        </w:r>
      </w:hyperlink>
      <w:r>
        <w:rPr>
          <w:sz w:val="22"/>
          <w:szCs w:val="22"/>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77777777" w:rsidR="00D82069" w:rsidRDefault="00D82069" w:rsidP="00D82069">
      <w:pPr>
        <w:rPr>
          <w:b/>
          <w:bCs/>
          <w:i/>
          <w:iCs/>
          <w:sz w:val="22"/>
          <w:szCs w:val="22"/>
        </w:rPr>
      </w:pPr>
      <w:r>
        <w:rPr>
          <w:b/>
          <w:bCs/>
          <w:i/>
          <w:iCs/>
          <w:sz w:val="22"/>
          <w:szCs w:val="22"/>
        </w:rPr>
        <w:t>Integra GW White Paper 14:</w:t>
      </w:r>
    </w:p>
    <w:p w14:paraId="29D23250" w14:textId="77777777" w:rsidR="00D82069" w:rsidRDefault="00D82069" w:rsidP="00D82069">
      <w:pPr>
        <w:rPr>
          <w:sz w:val="22"/>
          <w:szCs w:val="22"/>
        </w:rPr>
      </w:pPr>
    </w:p>
    <w:p w14:paraId="7FE0E76C"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721B1B8F" w14:textId="77777777" w:rsidR="00D82069" w:rsidRDefault="00D82069" w:rsidP="00D82069">
      <w:pPr>
        <w:rPr>
          <w:sz w:val="22"/>
          <w:szCs w:val="22"/>
        </w:rPr>
      </w:pPr>
    </w:p>
    <w:p w14:paraId="14FD2A93"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Default="00D82069" w:rsidP="00D82069">
      <w:pPr>
        <w:rPr>
          <w:sz w:val="22"/>
          <w:szCs w:val="22"/>
        </w:rPr>
      </w:pPr>
    </w:p>
    <w:p w14:paraId="55B4A67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7" w:history="1">
        <w:r>
          <w:rPr>
            <w:rStyle w:val="Hyperlink"/>
            <w:sz w:val="22"/>
            <w:szCs w:val="22"/>
          </w:rPr>
          <w:t>White Paper Channel</w:t>
        </w:r>
      </w:hyperlink>
      <w:r>
        <w:rPr>
          <w:sz w:val="22"/>
          <w:szCs w:val="22"/>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77777777" w:rsidR="00D82069" w:rsidRDefault="00D82069" w:rsidP="00D82069">
      <w:pPr>
        <w:rPr>
          <w:b/>
          <w:bCs/>
          <w:i/>
          <w:iCs/>
          <w:sz w:val="22"/>
          <w:szCs w:val="22"/>
        </w:rPr>
      </w:pPr>
      <w:r>
        <w:rPr>
          <w:b/>
          <w:bCs/>
          <w:i/>
          <w:iCs/>
          <w:sz w:val="22"/>
          <w:szCs w:val="22"/>
        </w:rPr>
        <w:t>Integra 360Dx White Paper 14:</w:t>
      </w:r>
    </w:p>
    <w:p w14:paraId="79873103" w14:textId="77777777" w:rsidR="00D82069" w:rsidRDefault="00D82069" w:rsidP="00D82069">
      <w:pPr>
        <w:rPr>
          <w:sz w:val="22"/>
          <w:szCs w:val="22"/>
        </w:rPr>
      </w:pPr>
    </w:p>
    <w:p w14:paraId="5270289D"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33D2F7DC" w14:textId="77777777" w:rsidR="00D82069" w:rsidRDefault="00D82069" w:rsidP="00D82069">
      <w:pPr>
        <w:rPr>
          <w:sz w:val="22"/>
          <w:szCs w:val="22"/>
        </w:rPr>
      </w:pPr>
    </w:p>
    <w:p w14:paraId="3F7B912F"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Default="00D82069" w:rsidP="00D82069">
      <w:pPr>
        <w:rPr>
          <w:sz w:val="22"/>
          <w:szCs w:val="22"/>
        </w:rPr>
      </w:pPr>
    </w:p>
    <w:p w14:paraId="23797088" w14:textId="77777777" w:rsidR="00D82069" w:rsidRDefault="00D82069" w:rsidP="00D82069">
      <w:pPr>
        <w:rPr>
          <w:sz w:val="22"/>
          <w:szCs w:val="22"/>
        </w:rPr>
      </w:pPr>
      <w:r>
        <w:rPr>
          <w:sz w:val="22"/>
          <w:szCs w:val="22"/>
        </w:rPr>
        <w:t xml:space="preserve">Download it from the </w:t>
      </w:r>
      <w:hyperlink r:id="rId958" w:history="1">
        <w:r>
          <w:rPr>
            <w:rStyle w:val="Hyperlink"/>
            <w:sz w:val="22"/>
            <w:szCs w:val="22"/>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77777777" w:rsidR="00C12112" w:rsidRDefault="00C12112" w:rsidP="00C12112">
      <w:pPr>
        <w:rPr>
          <w:rFonts w:eastAsiaTheme="minorHAnsi"/>
          <w:b/>
          <w:bCs/>
          <w:i/>
          <w:iCs/>
          <w:sz w:val="22"/>
          <w:szCs w:val="22"/>
        </w:rPr>
      </w:pPr>
      <w:r>
        <w:rPr>
          <w:b/>
          <w:bCs/>
          <w:i/>
          <w:iCs/>
          <w:sz w:val="22"/>
          <w:szCs w:val="22"/>
        </w:rPr>
        <w:t>Dover Motion White Paper 4:</w:t>
      </w:r>
    </w:p>
    <w:p w14:paraId="2EB3EBDC" w14:textId="77777777" w:rsidR="00C12112" w:rsidRDefault="00C12112" w:rsidP="00C12112">
      <w:pPr>
        <w:rPr>
          <w:sz w:val="22"/>
          <w:szCs w:val="22"/>
        </w:rPr>
      </w:pPr>
    </w:p>
    <w:p w14:paraId="476C2047" w14:textId="77777777" w:rsidR="00C12112" w:rsidRDefault="00C12112" w:rsidP="00C12112">
      <w:pPr>
        <w:rPr>
          <w:sz w:val="22"/>
          <w:szCs w:val="22"/>
        </w:rPr>
      </w:pPr>
      <w:r>
        <w:rPr>
          <w:b/>
          <w:bCs/>
          <w:sz w:val="22"/>
          <w:szCs w:val="22"/>
        </w:rPr>
        <w:t>Title:</w:t>
      </w:r>
      <w:r>
        <w:rPr>
          <w:sz w:val="22"/>
          <w:szCs w:val="22"/>
        </w:rPr>
        <w:t xml:space="preserve"> Improving a Biomarker Imaging Platform with a Combined X, Y, and Z Solution</w:t>
      </w:r>
    </w:p>
    <w:p w14:paraId="1A1F16F7" w14:textId="77777777" w:rsidR="00C12112" w:rsidRDefault="00C12112" w:rsidP="00C12112">
      <w:pPr>
        <w:rPr>
          <w:sz w:val="22"/>
          <w:szCs w:val="22"/>
        </w:rPr>
      </w:pPr>
    </w:p>
    <w:p w14:paraId="35C0CD09" w14:textId="77777777" w:rsidR="00C12112" w:rsidRDefault="00C12112" w:rsidP="00C12112">
      <w:pPr>
        <w:rPr>
          <w:sz w:val="22"/>
          <w:szCs w:val="22"/>
        </w:rPr>
      </w:pPr>
      <w:r>
        <w:rPr>
          <w:b/>
          <w:bCs/>
          <w:sz w:val="22"/>
          <w:szCs w:val="22"/>
        </w:rPr>
        <w:t>Body:</w:t>
      </w:r>
      <w:r>
        <w:rPr>
          <w:sz w:val="22"/>
          <w:szCs w:val="22"/>
        </w:rPr>
        <w:t xml:space="preserve"> This case study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40869ACD" w14:textId="77777777" w:rsidR="00C12112" w:rsidRDefault="00C12112" w:rsidP="00C12112">
      <w:pPr>
        <w:rPr>
          <w:sz w:val="22"/>
          <w:szCs w:val="22"/>
        </w:rPr>
      </w:pPr>
    </w:p>
    <w:p w14:paraId="06ED7DB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5" w:history="1">
        <w:r>
          <w:rPr>
            <w:rStyle w:val="Hyperlink"/>
            <w:sz w:val="22"/>
            <w:szCs w:val="22"/>
          </w:rPr>
          <w:t>White Paper Channel</w:t>
        </w:r>
      </w:hyperlink>
      <w:r>
        <w:rPr>
          <w:sz w:val="22"/>
          <w:szCs w:val="22"/>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7777777" w:rsidR="00C12112" w:rsidRDefault="00C12112" w:rsidP="00C12112">
      <w:pPr>
        <w:rPr>
          <w:b/>
          <w:bCs/>
          <w:i/>
          <w:iCs/>
          <w:sz w:val="22"/>
          <w:szCs w:val="22"/>
        </w:rPr>
      </w:pPr>
      <w:r>
        <w:rPr>
          <w:b/>
          <w:bCs/>
          <w:i/>
          <w:iCs/>
          <w:sz w:val="22"/>
          <w:szCs w:val="22"/>
        </w:rPr>
        <w:t>Dover Motion Webinar 4:</w:t>
      </w:r>
    </w:p>
    <w:p w14:paraId="0FA33ECE" w14:textId="77777777" w:rsidR="00C12112" w:rsidRDefault="00C12112" w:rsidP="00C12112">
      <w:pPr>
        <w:rPr>
          <w:sz w:val="22"/>
          <w:szCs w:val="22"/>
        </w:rPr>
      </w:pPr>
    </w:p>
    <w:p w14:paraId="04AD2295" w14:textId="77777777" w:rsidR="00C12112" w:rsidRDefault="00C12112" w:rsidP="00C12112">
      <w:pPr>
        <w:rPr>
          <w:sz w:val="22"/>
          <w:szCs w:val="22"/>
        </w:rPr>
      </w:pPr>
      <w:r>
        <w:rPr>
          <w:b/>
          <w:bCs/>
          <w:sz w:val="22"/>
          <w:szCs w:val="22"/>
        </w:rPr>
        <w:t>Title:</w:t>
      </w:r>
      <w:r>
        <w:rPr>
          <w:sz w:val="22"/>
          <w:szCs w:val="22"/>
        </w:rPr>
        <w:t xml:space="preserve"> A Combined X, Y, and Z Solution to Improve a Biomarker Imaging Platform</w:t>
      </w:r>
    </w:p>
    <w:p w14:paraId="01145505" w14:textId="77777777" w:rsidR="00C12112" w:rsidRDefault="00C12112" w:rsidP="00C12112">
      <w:pPr>
        <w:rPr>
          <w:sz w:val="22"/>
          <w:szCs w:val="22"/>
        </w:rPr>
      </w:pPr>
    </w:p>
    <w:p w14:paraId="040E5EB6" w14:textId="77777777" w:rsidR="00C12112" w:rsidRDefault="00C12112" w:rsidP="00C12112">
      <w:pPr>
        <w:rPr>
          <w:sz w:val="22"/>
          <w:szCs w:val="22"/>
        </w:rPr>
      </w:pPr>
      <w:r>
        <w:rPr>
          <w:b/>
          <w:bCs/>
          <w:sz w:val="22"/>
          <w:szCs w:val="22"/>
        </w:rPr>
        <w:t>Body:</w:t>
      </w:r>
      <w:r>
        <w:rPr>
          <w:sz w:val="22"/>
          <w:szCs w:val="22"/>
        </w:rPr>
        <w:t xml:space="preserve"> This video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365420F2" w14:textId="77777777" w:rsidR="00C12112" w:rsidRDefault="00C12112" w:rsidP="00C12112">
      <w:pPr>
        <w:rPr>
          <w:sz w:val="22"/>
          <w:szCs w:val="22"/>
        </w:rPr>
      </w:pPr>
    </w:p>
    <w:p w14:paraId="5480A50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6" w:history="1">
        <w:r>
          <w:rPr>
            <w:rStyle w:val="Hyperlink"/>
            <w:sz w:val="22"/>
            <w:szCs w:val="22"/>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77777777" w:rsidR="00C12112" w:rsidRDefault="00C12112" w:rsidP="00C12112">
      <w:pPr>
        <w:rPr>
          <w:b/>
          <w:bCs/>
          <w:i/>
          <w:iCs/>
          <w:sz w:val="22"/>
          <w:szCs w:val="22"/>
        </w:rPr>
      </w:pPr>
      <w:r>
        <w:rPr>
          <w:b/>
          <w:bCs/>
          <w:i/>
          <w:iCs/>
          <w:sz w:val="22"/>
          <w:szCs w:val="22"/>
        </w:rPr>
        <w:t>Integra GW White Paper 15:</w:t>
      </w:r>
    </w:p>
    <w:p w14:paraId="0C001E22" w14:textId="77777777" w:rsidR="00C12112" w:rsidRDefault="00C12112" w:rsidP="00C12112">
      <w:pPr>
        <w:rPr>
          <w:sz w:val="22"/>
          <w:szCs w:val="22"/>
        </w:rPr>
      </w:pPr>
    </w:p>
    <w:p w14:paraId="7B90B62B"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79A99C2F" w14:textId="77777777" w:rsidR="00C12112" w:rsidRDefault="00C12112" w:rsidP="00C12112">
      <w:pPr>
        <w:rPr>
          <w:sz w:val="22"/>
          <w:szCs w:val="22"/>
        </w:rPr>
      </w:pPr>
    </w:p>
    <w:p w14:paraId="7AD9ADFB"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t>Quidel</w:t>
      </w:r>
      <w:proofErr w:type="spellEnd"/>
      <w:r>
        <w:rPr>
          <w:sz w:val="22"/>
          <w:szCs w:val="22"/>
        </w:rPr>
        <w:t xml:space="preserve"> Lyra Direct SARS-CoV-2 Assay to improve reproducibility, overcome inter-operator variability, and free up time for laboratory staff. </w:t>
      </w:r>
    </w:p>
    <w:p w14:paraId="0BF48094" w14:textId="77777777" w:rsidR="00C12112" w:rsidRDefault="00C12112" w:rsidP="00C12112">
      <w:pPr>
        <w:rPr>
          <w:sz w:val="22"/>
          <w:szCs w:val="22"/>
        </w:rPr>
      </w:pPr>
    </w:p>
    <w:p w14:paraId="3DF57420"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7" w:history="1">
        <w:r>
          <w:rPr>
            <w:rStyle w:val="Hyperlink"/>
            <w:sz w:val="22"/>
            <w:szCs w:val="22"/>
          </w:rPr>
          <w:t>White Paper Channel</w:t>
        </w:r>
      </w:hyperlink>
      <w:r>
        <w:rPr>
          <w:sz w:val="22"/>
          <w:szCs w:val="22"/>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77777777" w:rsidR="00C12112" w:rsidRDefault="00C12112" w:rsidP="00C12112">
      <w:pPr>
        <w:rPr>
          <w:b/>
          <w:bCs/>
          <w:i/>
          <w:iCs/>
          <w:sz w:val="22"/>
          <w:szCs w:val="22"/>
        </w:rPr>
      </w:pPr>
      <w:r>
        <w:rPr>
          <w:b/>
          <w:bCs/>
          <w:i/>
          <w:iCs/>
          <w:sz w:val="22"/>
          <w:szCs w:val="22"/>
        </w:rPr>
        <w:t>Integra 360Dx White Paper 15:</w:t>
      </w:r>
    </w:p>
    <w:p w14:paraId="07BE5FD4" w14:textId="77777777" w:rsidR="00C12112" w:rsidRDefault="00C12112" w:rsidP="00C12112">
      <w:pPr>
        <w:rPr>
          <w:sz w:val="22"/>
          <w:szCs w:val="22"/>
        </w:rPr>
      </w:pPr>
    </w:p>
    <w:p w14:paraId="2D6F0E3A"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1881821E" w14:textId="77777777" w:rsidR="00C12112" w:rsidRDefault="00C12112" w:rsidP="00C12112">
      <w:pPr>
        <w:rPr>
          <w:sz w:val="22"/>
          <w:szCs w:val="22"/>
        </w:rPr>
      </w:pPr>
    </w:p>
    <w:p w14:paraId="3B697178"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lastRenderedPageBreak/>
        <w:t>Quidel</w:t>
      </w:r>
      <w:proofErr w:type="spellEnd"/>
      <w:r>
        <w:rPr>
          <w:sz w:val="22"/>
          <w:szCs w:val="22"/>
        </w:rPr>
        <w:t xml:space="preserve"> Lyra Direct SARS-CoV-2 Assay to improve reproducibility, overcome inter-operator variability, and free up time for laboratory staff.</w:t>
      </w:r>
    </w:p>
    <w:p w14:paraId="5732E7C0" w14:textId="77777777" w:rsidR="00C12112" w:rsidRDefault="00C12112" w:rsidP="00C12112">
      <w:pPr>
        <w:rPr>
          <w:sz w:val="22"/>
          <w:szCs w:val="22"/>
        </w:rPr>
      </w:pPr>
    </w:p>
    <w:p w14:paraId="56F1A4D0" w14:textId="77777777" w:rsidR="00C12112" w:rsidRDefault="00C12112" w:rsidP="00C12112">
      <w:pPr>
        <w:rPr>
          <w:sz w:val="22"/>
          <w:szCs w:val="22"/>
        </w:rPr>
      </w:pPr>
      <w:r>
        <w:rPr>
          <w:sz w:val="22"/>
          <w:szCs w:val="22"/>
        </w:rPr>
        <w:t xml:space="preserve">Download it from the </w:t>
      </w:r>
      <w:hyperlink r:id="rId968" w:history="1">
        <w:r>
          <w:rPr>
            <w:rStyle w:val="Hyperlink"/>
            <w:sz w:val="22"/>
            <w:szCs w:val="22"/>
          </w:rPr>
          <w:t>360Dx White Paper Channel</w:t>
        </w:r>
      </w:hyperlink>
      <w:r>
        <w:rPr>
          <w:sz w:val="22"/>
          <w:szCs w:val="22"/>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D878265" w:rsidR="00976A39" w:rsidRDefault="00976A39" w:rsidP="00976A39">
      <w:pPr>
        <w:rPr>
          <w:rFonts w:eastAsiaTheme="minorHAnsi"/>
          <w:b/>
          <w:bCs/>
          <w:i/>
          <w:iCs/>
        </w:rPr>
      </w:pPr>
      <w:r>
        <w:rPr>
          <w:b/>
          <w:bCs/>
          <w:i/>
          <w:iCs/>
        </w:rPr>
        <w:t>Integra White Paper 16:</w:t>
      </w:r>
    </w:p>
    <w:p w14:paraId="28EDBD60" w14:textId="77777777" w:rsidR="00976A39" w:rsidRDefault="00976A39" w:rsidP="00976A39"/>
    <w:p w14:paraId="4386CFD6" w14:textId="77777777" w:rsidR="00976A39" w:rsidRDefault="00976A39" w:rsidP="00976A39">
      <w:r>
        <w:rPr>
          <w:b/>
          <w:bCs/>
        </w:rPr>
        <w:t>Title:</w:t>
      </w:r>
      <w:r>
        <w:t xml:space="preserve"> Automated Cell Seeding with Handheld Electronic Pipettes</w:t>
      </w:r>
    </w:p>
    <w:p w14:paraId="25E014EB" w14:textId="77777777" w:rsidR="00976A39" w:rsidRDefault="00976A39" w:rsidP="00976A39"/>
    <w:p w14:paraId="208F3C7C" w14:textId="77777777" w:rsidR="00976A39" w:rsidRDefault="00976A39" w:rsidP="00976A39">
      <w:r>
        <w:rPr>
          <w:b/>
          <w:bCs/>
        </w:rPr>
        <w:t>Body:</w:t>
      </w:r>
      <w:r>
        <w:t xml:space="preserve"> This application note from Integra Biosciences provides a step-by-step protocol for using </w:t>
      </w:r>
      <w:proofErr w:type="spellStart"/>
      <w:r w:rsidRPr="000875D5">
        <w:rPr>
          <w:highlight w:val="red"/>
        </w:rPr>
        <w:t>Viaflo</w:t>
      </w:r>
      <w:proofErr w:type="spellEnd"/>
      <w:r>
        <w:t xml:space="preserve"> handheld electronic pipettes for reproducible cell washing, transfer, and seeding steps in the culture of mouse embryonic stem cells.</w:t>
      </w:r>
    </w:p>
    <w:p w14:paraId="321034F8" w14:textId="77777777" w:rsidR="00976A39" w:rsidRDefault="00976A39" w:rsidP="00976A39"/>
    <w:p w14:paraId="32CCD25B" w14:textId="77777777" w:rsidR="00976A39" w:rsidRDefault="00976A39" w:rsidP="00976A39">
      <w:r>
        <w:t xml:space="preserve">Download it from </w:t>
      </w:r>
      <w:proofErr w:type="spellStart"/>
      <w:r>
        <w:t>GenomeWeb’s</w:t>
      </w:r>
      <w:proofErr w:type="spellEnd"/>
      <w:r>
        <w:t xml:space="preserve"> </w:t>
      </w:r>
      <w:hyperlink r:id="rId969" w:anchor=".YgboAZbMJdh" w:history="1">
        <w:r>
          <w:rPr>
            <w:rStyle w:val="Hyperlink"/>
          </w:rPr>
          <w:t>White Paper Channel</w:t>
        </w:r>
      </w:hyperlink>
      <w: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77777777" w:rsidR="00C12112" w:rsidRDefault="00C12112" w:rsidP="00C12112">
      <w:pPr>
        <w:rPr>
          <w:b/>
          <w:bCs/>
          <w:i/>
          <w:iCs/>
          <w:sz w:val="22"/>
          <w:szCs w:val="22"/>
        </w:rPr>
      </w:pPr>
      <w:r>
        <w:rPr>
          <w:b/>
          <w:bCs/>
          <w:i/>
          <w:iCs/>
          <w:sz w:val="22"/>
          <w:szCs w:val="22"/>
        </w:rPr>
        <w:t>Integra White Paper 17:</w:t>
      </w:r>
    </w:p>
    <w:p w14:paraId="516C298C" w14:textId="77777777" w:rsidR="00C12112" w:rsidRDefault="00C12112" w:rsidP="00C12112">
      <w:pPr>
        <w:rPr>
          <w:sz w:val="22"/>
          <w:szCs w:val="22"/>
        </w:rPr>
      </w:pPr>
    </w:p>
    <w:p w14:paraId="3D82AEE9" w14:textId="77777777" w:rsidR="00C12112" w:rsidRDefault="00C12112" w:rsidP="00C12112">
      <w:pPr>
        <w:rPr>
          <w:sz w:val="22"/>
          <w:szCs w:val="22"/>
        </w:rPr>
      </w:pPr>
      <w:r>
        <w:rPr>
          <w:b/>
          <w:bCs/>
          <w:sz w:val="22"/>
          <w:szCs w:val="22"/>
        </w:rPr>
        <w:t>Title:</w:t>
      </w:r>
      <w:r>
        <w:rPr>
          <w:sz w:val="22"/>
          <w:szCs w:val="22"/>
        </w:rPr>
        <w:t xml:space="preserve"> Agarose Gel Loading with an Adjustable Tip Spacing Pipette</w:t>
      </w:r>
    </w:p>
    <w:p w14:paraId="597CEC52" w14:textId="77777777" w:rsidR="00C12112" w:rsidRDefault="00C12112" w:rsidP="00C12112">
      <w:pPr>
        <w:rPr>
          <w:sz w:val="22"/>
          <w:szCs w:val="22"/>
        </w:rPr>
      </w:pPr>
    </w:p>
    <w:p w14:paraId="2882F12A" w14:textId="77777777" w:rsidR="00C12112" w:rsidRDefault="00C12112" w:rsidP="00C12112">
      <w:pPr>
        <w:rPr>
          <w:sz w:val="22"/>
          <w:szCs w:val="22"/>
        </w:rPr>
      </w:pPr>
      <w:r>
        <w:rPr>
          <w:b/>
          <w:bCs/>
          <w:sz w:val="22"/>
          <w:szCs w:val="22"/>
        </w:rPr>
        <w:t>Body:</w:t>
      </w:r>
      <w:r>
        <w:rPr>
          <w:sz w:val="22"/>
          <w:szCs w:val="22"/>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Default="00C12112" w:rsidP="00C12112">
      <w:pPr>
        <w:rPr>
          <w:sz w:val="22"/>
          <w:szCs w:val="22"/>
        </w:rPr>
      </w:pPr>
    </w:p>
    <w:p w14:paraId="0E2BC9B4"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0" w:history="1">
        <w:r>
          <w:rPr>
            <w:rStyle w:val="Hyperlink"/>
            <w:sz w:val="22"/>
            <w:szCs w:val="22"/>
          </w:rPr>
          <w:t>White Paper Channel</w:t>
        </w:r>
      </w:hyperlink>
      <w:r>
        <w:rPr>
          <w:sz w:val="22"/>
          <w:szCs w:val="22"/>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77777777" w:rsidR="00C12112" w:rsidRDefault="00C12112" w:rsidP="00C12112">
      <w:pPr>
        <w:rPr>
          <w:b/>
          <w:bCs/>
          <w:i/>
          <w:iCs/>
          <w:sz w:val="22"/>
          <w:szCs w:val="22"/>
        </w:rPr>
      </w:pPr>
      <w:r>
        <w:rPr>
          <w:b/>
          <w:bCs/>
          <w:i/>
          <w:iCs/>
          <w:sz w:val="22"/>
          <w:szCs w:val="22"/>
        </w:rPr>
        <w:t>Integra White Paper 18:</w:t>
      </w:r>
    </w:p>
    <w:p w14:paraId="4583449E" w14:textId="77777777" w:rsidR="00C12112" w:rsidRDefault="00C12112" w:rsidP="00C12112">
      <w:pPr>
        <w:rPr>
          <w:sz w:val="22"/>
          <w:szCs w:val="22"/>
        </w:rPr>
      </w:pPr>
    </w:p>
    <w:p w14:paraId="57EC4D85" w14:textId="77777777" w:rsidR="00C12112" w:rsidRDefault="00C12112" w:rsidP="00C12112">
      <w:pPr>
        <w:rPr>
          <w:sz w:val="22"/>
          <w:szCs w:val="22"/>
        </w:rPr>
      </w:pPr>
      <w:r>
        <w:rPr>
          <w:b/>
          <w:bCs/>
          <w:sz w:val="22"/>
          <w:szCs w:val="22"/>
        </w:rPr>
        <w:t>Title:</w:t>
      </w:r>
      <w:r>
        <w:rPr>
          <w:sz w:val="22"/>
          <w:szCs w:val="22"/>
        </w:rPr>
        <w:t xml:space="preserve"> Improving the Efficiency of Coating Plates and Flasks with Collagen for Cell Culture</w:t>
      </w:r>
    </w:p>
    <w:p w14:paraId="1F66C547" w14:textId="77777777" w:rsidR="00C12112" w:rsidRDefault="00C12112" w:rsidP="00C12112">
      <w:pPr>
        <w:rPr>
          <w:sz w:val="22"/>
          <w:szCs w:val="22"/>
        </w:rPr>
      </w:pPr>
    </w:p>
    <w:p w14:paraId="44AB0617"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a protocol for coating plates and flasks with collagen using the Dose </w:t>
      </w:r>
      <w:proofErr w:type="gramStart"/>
      <w:r>
        <w:rPr>
          <w:sz w:val="22"/>
          <w:szCs w:val="22"/>
        </w:rPr>
        <w:t>It</w:t>
      </w:r>
      <w:proofErr w:type="gramEnd"/>
      <w:r>
        <w:rPr>
          <w:sz w:val="22"/>
          <w:szCs w:val="22"/>
        </w:rPr>
        <w:t xml:space="preserve"> laboratory peristaltic pump to save time and reduce excess strain as compared to a regular pipette controller.</w:t>
      </w:r>
    </w:p>
    <w:p w14:paraId="70157D44" w14:textId="77777777" w:rsidR="00C12112" w:rsidRDefault="00C12112" w:rsidP="00C12112">
      <w:pPr>
        <w:rPr>
          <w:sz w:val="22"/>
          <w:szCs w:val="22"/>
        </w:rPr>
      </w:pPr>
    </w:p>
    <w:p w14:paraId="03737C8A"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1" w:history="1">
        <w:r>
          <w:rPr>
            <w:rStyle w:val="Hyperlink"/>
            <w:sz w:val="22"/>
            <w:szCs w:val="22"/>
          </w:rPr>
          <w:t>White Paper Channel</w:t>
        </w:r>
      </w:hyperlink>
      <w:r>
        <w:rPr>
          <w:sz w:val="22"/>
          <w:szCs w:val="22"/>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77777777" w:rsidR="00C12112" w:rsidRDefault="00C12112" w:rsidP="00C12112">
      <w:pPr>
        <w:rPr>
          <w:b/>
          <w:bCs/>
          <w:i/>
          <w:iCs/>
          <w:sz w:val="22"/>
          <w:szCs w:val="22"/>
        </w:rPr>
      </w:pPr>
      <w:proofErr w:type="spellStart"/>
      <w:r>
        <w:rPr>
          <w:b/>
          <w:bCs/>
          <w:i/>
          <w:iCs/>
          <w:sz w:val="22"/>
          <w:szCs w:val="22"/>
        </w:rPr>
        <w:t>Jumpcode</w:t>
      </w:r>
      <w:proofErr w:type="spellEnd"/>
      <w:r>
        <w:rPr>
          <w:b/>
          <w:bCs/>
          <w:i/>
          <w:iCs/>
          <w:sz w:val="22"/>
          <w:szCs w:val="22"/>
        </w:rPr>
        <w:t xml:space="preserve"> White Paper 7:</w:t>
      </w:r>
    </w:p>
    <w:p w14:paraId="0FFCD185" w14:textId="77777777" w:rsidR="00C12112" w:rsidRDefault="00C12112" w:rsidP="00C12112">
      <w:pPr>
        <w:rPr>
          <w:sz w:val="22"/>
          <w:szCs w:val="22"/>
        </w:rPr>
      </w:pPr>
    </w:p>
    <w:p w14:paraId="70FE8BF1" w14:textId="77777777" w:rsidR="00C12112" w:rsidRDefault="00C12112" w:rsidP="00C12112">
      <w:pPr>
        <w:rPr>
          <w:sz w:val="22"/>
          <w:szCs w:val="22"/>
        </w:rPr>
      </w:pPr>
      <w:r>
        <w:rPr>
          <w:b/>
          <w:bCs/>
          <w:sz w:val="22"/>
          <w:szCs w:val="22"/>
        </w:rPr>
        <w:t>Title:</w:t>
      </w:r>
      <w:r>
        <w:rPr>
          <w:sz w:val="22"/>
          <w:szCs w:val="22"/>
        </w:rPr>
        <w:t xml:space="preserve"> CRISPR-Based Ribodepletion for Nasopharyngeal Samples</w:t>
      </w:r>
    </w:p>
    <w:p w14:paraId="704B9854" w14:textId="77777777" w:rsidR="00C12112" w:rsidRDefault="00C12112" w:rsidP="00C12112">
      <w:pPr>
        <w:rPr>
          <w:sz w:val="22"/>
          <w:szCs w:val="22"/>
        </w:rPr>
      </w:pPr>
    </w:p>
    <w:p w14:paraId="1F1FD16B" w14:textId="77777777" w:rsidR="00C12112" w:rsidRDefault="00C12112" w:rsidP="00C12112">
      <w:pPr>
        <w:rPr>
          <w:sz w:val="22"/>
          <w:szCs w:val="22"/>
        </w:rPr>
      </w:pPr>
      <w:r>
        <w:rPr>
          <w:b/>
          <w:bCs/>
          <w:sz w:val="22"/>
          <w:szCs w:val="22"/>
        </w:rPr>
        <w:lastRenderedPageBreak/>
        <w:t>Body:</w:t>
      </w:r>
      <w:r>
        <w:rPr>
          <w:sz w:val="22"/>
          <w:szCs w:val="22"/>
        </w:rPr>
        <w:t xml:space="preserve"> This application note from </w:t>
      </w:r>
      <w:proofErr w:type="spellStart"/>
      <w:r>
        <w:rPr>
          <w:sz w:val="22"/>
          <w:szCs w:val="22"/>
        </w:rPr>
        <w:t>Jumpcode</w:t>
      </w:r>
      <w:proofErr w:type="spellEnd"/>
      <w:r>
        <w:rPr>
          <w:sz w:val="22"/>
          <w:szCs w:val="22"/>
        </w:rPr>
        <w:t xml:space="preserve"> Genomics provides a workflow for using </w:t>
      </w:r>
      <w:proofErr w:type="spellStart"/>
      <w:r>
        <w:rPr>
          <w:sz w:val="22"/>
          <w:szCs w:val="22"/>
        </w:rPr>
        <w:t>CRISPRclean</w:t>
      </w:r>
      <w:proofErr w:type="spellEnd"/>
      <w:r>
        <w:rPr>
          <w:sz w:val="22"/>
          <w:szCs w:val="22"/>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Default="00C12112" w:rsidP="00C12112">
      <w:pPr>
        <w:rPr>
          <w:sz w:val="22"/>
          <w:szCs w:val="22"/>
        </w:rPr>
      </w:pPr>
    </w:p>
    <w:p w14:paraId="169D774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6" w:history="1">
        <w:r>
          <w:rPr>
            <w:rStyle w:val="Hyperlink"/>
            <w:sz w:val="22"/>
            <w:szCs w:val="22"/>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8:</w:t>
      </w:r>
    </w:p>
    <w:p w14:paraId="2ACD00AF" w14:textId="77777777" w:rsidR="00C12112" w:rsidRDefault="00C12112" w:rsidP="00C12112">
      <w:pPr>
        <w:rPr>
          <w:sz w:val="22"/>
          <w:szCs w:val="22"/>
        </w:rPr>
      </w:pPr>
    </w:p>
    <w:p w14:paraId="159FFC0A" w14:textId="77777777" w:rsidR="00C12112" w:rsidRDefault="00C12112" w:rsidP="00C12112">
      <w:pPr>
        <w:rPr>
          <w:sz w:val="22"/>
          <w:szCs w:val="22"/>
        </w:rPr>
      </w:pPr>
      <w:r>
        <w:rPr>
          <w:b/>
          <w:bCs/>
          <w:sz w:val="22"/>
          <w:szCs w:val="22"/>
        </w:rPr>
        <w:t>Title:</w:t>
      </w:r>
      <w:r>
        <w:rPr>
          <w:sz w:val="22"/>
          <w:szCs w:val="22"/>
        </w:rPr>
        <w:t xml:space="preserve"> Responsible and Compliant Data Sharing Between Diagnostics and Pharmaceutical Companies</w:t>
      </w:r>
    </w:p>
    <w:p w14:paraId="3594C388" w14:textId="77777777" w:rsidR="00C12112" w:rsidRDefault="00C12112" w:rsidP="00C12112">
      <w:pPr>
        <w:rPr>
          <w:sz w:val="22"/>
          <w:szCs w:val="22"/>
        </w:rPr>
      </w:pPr>
    </w:p>
    <w:p w14:paraId="271DFF3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provides an overview of the FDA’s Quality System Regulations (QSRs) and </w:t>
      </w:r>
      <w:proofErr w:type="spellStart"/>
      <w:r>
        <w:rPr>
          <w:sz w:val="22"/>
          <w:szCs w:val="22"/>
        </w:rPr>
        <w:t>GxP</w:t>
      </w:r>
      <w:proofErr w:type="spellEnd"/>
      <w:r>
        <w:rPr>
          <w:sz w:val="22"/>
          <w:szCs w:val="22"/>
        </w:rPr>
        <w:t xml:space="preserve"> guidelines, describes how to comply with QSRs to form strategic pharma partnerships, and describes how </w:t>
      </w:r>
      <w:proofErr w:type="spellStart"/>
      <w:r>
        <w:rPr>
          <w:sz w:val="22"/>
          <w:szCs w:val="22"/>
        </w:rPr>
        <w:t>DNAnexus</w:t>
      </w:r>
      <w:proofErr w:type="spellEnd"/>
      <w:r>
        <w:rPr>
          <w:sz w:val="22"/>
          <w:szCs w:val="22"/>
        </w:rPr>
        <w:t xml:space="preserve"> can help companies build and support global compliance collaborations.</w:t>
      </w:r>
    </w:p>
    <w:p w14:paraId="44D4AD68" w14:textId="77777777" w:rsidR="00C12112" w:rsidRDefault="00C12112" w:rsidP="00C12112">
      <w:pPr>
        <w:rPr>
          <w:sz w:val="22"/>
          <w:szCs w:val="22"/>
        </w:rPr>
      </w:pPr>
    </w:p>
    <w:p w14:paraId="2E0D531D" w14:textId="77777777" w:rsidR="00C12112" w:rsidRDefault="00C12112" w:rsidP="00C12112">
      <w:pPr>
        <w:rPr>
          <w:sz w:val="22"/>
          <w:szCs w:val="22"/>
        </w:rPr>
      </w:pPr>
    </w:p>
    <w:p w14:paraId="503A3B54" w14:textId="77777777" w:rsidR="00C12112" w:rsidRDefault="00C12112" w:rsidP="00C12112">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77" w:history="1">
        <w:r>
          <w:rPr>
            <w:rStyle w:val="Hyperlink"/>
            <w:sz w:val="22"/>
            <w:szCs w:val="22"/>
            <w:highlight w:val="yellow"/>
          </w:rPr>
          <w:t>White Paper Channel</w:t>
        </w:r>
      </w:hyperlink>
      <w:r>
        <w:rPr>
          <w:sz w:val="22"/>
          <w:szCs w:val="22"/>
          <w:highlight w:val="yellow"/>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9:</w:t>
      </w:r>
    </w:p>
    <w:p w14:paraId="3414658C" w14:textId="77777777" w:rsidR="00C12112" w:rsidRDefault="00C12112" w:rsidP="00C12112">
      <w:pPr>
        <w:rPr>
          <w:sz w:val="22"/>
          <w:szCs w:val="22"/>
        </w:rPr>
      </w:pPr>
    </w:p>
    <w:p w14:paraId="0D88846E" w14:textId="77777777" w:rsidR="00C12112" w:rsidRDefault="00C12112" w:rsidP="00C12112">
      <w:pPr>
        <w:rPr>
          <w:sz w:val="22"/>
          <w:szCs w:val="22"/>
        </w:rPr>
      </w:pPr>
      <w:r>
        <w:rPr>
          <w:b/>
          <w:bCs/>
          <w:sz w:val="22"/>
          <w:szCs w:val="22"/>
        </w:rPr>
        <w:t>Title:</w:t>
      </w:r>
      <w:r>
        <w:rPr>
          <w:sz w:val="22"/>
          <w:szCs w:val="22"/>
        </w:rPr>
        <w:t xml:space="preserve"> Scaling Genomic Data Infrastructure to Speed Drug Discovery and Development</w:t>
      </w:r>
    </w:p>
    <w:p w14:paraId="494D17E6" w14:textId="77777777" w:rsidR="00C12112" w:rsidRDefault="00C12112" w:rsidP="00C12112">
      <w:pPr>
        <w:rPr>
          <w:sz w:val="22"/>
          <w:szCs w:val="22"/>
        </w:rPr>
      </w:pPr>
    </w:p>
    <w:p w14:paraId="2D9AA54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Default="00C12112" w:rsidP="00C12112">
      <w:pPr>
        <w:rPr>
          <w:sz w:val="22"/>
          <w:szCs w:val="22"/>
        </w:rPr>
      </w:pPr>
    </w:p>
    <w:p w14:paraId="0F8837D1" w14:textId="01C62D91" w:rsidR="00315046" w:rsidRPr="007067CF" w:rsidRDefault="00C12112" w:rsidP="00C12112">
      <w:r>
        <w:rPr>
          <w:sz w:val="22"/>
          <w:szCs w:val="22"/>
        </w:rPr>
        <w:t xml:space="preserve">Download it from </w:t>
      </w:r>
      <w:proofErr w:type="spellStart"/>
      <w:r>
        <w:rPr>
          <w:sz w:val="22"/>
          <w:szCs w:val="22"/>
        </w:rPr>
        <w:t>GenomeWeb’s</w:t>
      </w:r>
      <w:proofErr w:type="spellEnd"/>
      <w:r>
        <w:rPr>
          <w:sz w:val="22"/>
          <w:szCs w:val="22"/>
        </w:rPr>
        <w:t xml:space="preserve"> </w:t>
      </w:r>
      <w:hyperlink r:id="rId978" w:history="1">
        <w:r>
          <w:rPr>
            <w:rStyle w:val="Hyperlink"/>
            <w:sz w:val="22"/>
            <w:szCs w:val="22"/>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77777777" w:rsidR="00F425CA" w:rsidRDefault="00F425CA" w:rsidP="00F425CA">
      <w:pPr>
        <w:rPr>
          <w:rFonts w:eastAsiaTheme="minorHAnsi"/>
          <w:b/>
          <w:bCs/>
          <w:i/>
          <w:iCs/>
          <w:sz w:val="22"/>
          <w:szCs w:val="22"/>
        </w:rPr>
      </w:pPr>
      <w:r>
        <w:rPr>
          <w:b/>
          <w:bCs/>
          <w:i/>
          <w:iCs/>
          <w:sz w:val="22"/>
          <w:szCs w:val="22"/>
        </w:rPr>
        <w:t>Lenovo White Paper 2:</w:t>
      </w:r>
    </w:p>
    <w:p w14:paraId="187B7815" w14:textId="77777777" w:rsidR="00F425CA" w:rsidRDefault="00F425CA" w:rsidP="00F425CA">
      <w:pPr>
        <w:rPr>
          <w:sz w:val="22"/>
          <w:szCs w:val="22"/>
        </w:rPr>
      </w:pPr>
    </w:p>
    <w:p w14:paraId="53BA8363" w14:textId="77777777" w:rsidR="00F425CA" w:rsidRDefault="00F425CA" w:rsidP="00F425CA">
      <w:pPr>
        <w:rPr>
          <w:sz w:val="22"/>
          <w:szCs w:val="22"/>
        </w:rPr>
      </w:pPr>
      <w:r>
        <w:rPr>
          <w:b/>
          <w:bCs/>
          <w:sz w:val="22"/>
          <w:szCs w:val="22"/>
        </w:rPr>
        <w:t>Title:</w:t>
      </w:r>
      <w:r>
        <w:rPr>
          <w:sz w:val="22"/>
          <w:szCs w:val="22"/>
        </w:rPr>
        <w:t xml:space="preserve"> Increasing Throughput for </w:t>
      </w:r>
      <w:proofErr w:type="spellStart"/>
      <w:r>
        <w:rPr>
          <w:sz w:val="22"/>
          <w:szCs w:val="22"/>
        </w:rPr>
        <w:t>Multiomic</w:t>
      </w:r>
      <w:proofErr w:type="spellEnd"/>
      <w:r>
        <w:rPr>
          <w:sz w:val="22"/>
          <w:szCs w:val="22"/>
        </w:rPr>
        <w:t xml:space="preserve"> Analysis at Barcelona Supercomputing Center</w:t>
      </w:r>
    </w:p>
    <w:p w14:paraId="354F4AED" w14:textId="77777777" w:rsidR="00F425CA" w:rsidRDefault="00F425CA" w:rsidP="00F425CA">
      <w:pPr>
        <w:rPr>
          <w:sz w:val="22"/>
          <w:szCs w:val="22"/>
        </w:rPr>
      </w:pPr>
    </w:p>
    <w:p w14:paraId="3DFA3765" w14:textId="77777777" w:rsidR="00F425CA" w:rsidRDefault="00F425CA" w:rsidP="00F425CA">
      <w:pPr>
        <w:rPr>
          <w:sz w:val="22"/>
          <w:szCs w:val="22"/>
        </w:rPr>
      </w:pPr>
      <w:r>
        <w:rPr>
          <w:b/>
          <w:bCs/>
          <w:sz w:val="22"/>
          <w:szCs w:val="22"/>
        </w:rPr>
        <w:t>Body:</w:t>
      </w:r>
      <w:r>
        <w:rPr>
          <w:sz w:val="22"/>
          <w:szCs w:val="22"/>
        </w:rPr>
        <w:t xml:space="preserve"> This case study from Lenovo describes how the Barcelona Supercomputing Center reduced execution times for </w:t>
      </w:r>
      <w:proofErr w:type="spellStart"/>
      <w:r>
        <w:rPr>
          <w:sz w:val="22"/>
          <w:szCs w:val="22"/>
        </w:rPr>
        <w:t>multiomics</w:t>
      </w:r>
      <w:proofErr w:type="spellEnd"/>
      <w:r>
        <w:rPr>
          <w:sz w:val="22"/>
          <w:szCs w:val="22"/>
        </w:rPr>
        <w:t xml:space="preserve"> analyses, increased throughput capacity, and accelerated time-to-insight with the Genomics Optimization and Scalability Tool.</w:t>
      </w:r>
    </w:p>
    <w:p w14:paraId="432BFA9A" w14:textId="77777777" w:rsidR="00F425CA" w:rsidRDefault="00F425CA" w:rsidP="00F425CA">
      <w:pPr>
        <w:rPr>
          <w:sz w:val="22"/>
          <w:szCs w:val="22"/>
        </w:rPr>
      </w:pPr>
    </w:p>
    <w:p w14:paraId="0939C8C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1" w:history="1">
        <w:r>
          <w:rPr>
            <w:rStyle w:val="Hyperlink"/>
            <w:sz w:val="22"/>
            <w:szCs w:val="22"/>
          </w:rPr>
          <w:t>White Paper Channel</w:t>
        </w:r>
      </w:hyperlink>
      <w:r>
        <w:rPr>
          <w:sz w:val="22"/>
          <w:szCs w:val="22"/>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77777777" w:rsidR="00F425CA" w:rsidRDefault="00F425CA" w:rsidP="00F425CA">
      <w:pPr>
        <w:rPr>
          <w:b/>
          <w:bCs/>
          <w:i/>
          <w:iCs/>
          <w:sz w:val="22"/>
          <w:szCs w:val="22"/>
        </w:rPr>
      </w:pPr>
      <w:r>
        <w:rPr>
          <w:b/>
          <w:bCs/>
          <w:i/>
          <w:iCs/>
          <w:sz w:val="22"/>
          <w:szCs w:val="22"/>
        </w:rPr>
        <w:t>Lenovo White Paper 3:</w:t>
      </w:r>
    </w:p>
    <w:p w14:paraId="24377ADD" w14:textId="77777777" w:rsidR="00F425CA" w:rsidRDefault="00F425CA" w:rsidP="00F425CA">
      <w:pPr>
        <w:rPr>
          <w:sz w:val="22"/>
          <w:szCs w:val="22"/>
        </w:rPr>
      </w:pPr>
    </w:p>
    <w:p w14:paraId="7F712568" w14:textId="77777777" w:rsidR="00F425CA" w:rsidRDefault="00F425CA" w:rsidP="00F425CA">
      <w:pPr>
        <w:rPr>
          <w:sz w:val="22"/>
          <w:szCs w:val="22"/>
        </w:rPr>
      </w:pPr>
      <w:r>
        <w:rPr>
          <w:b/>
          <w:bCs/>
          <w:sz w:val="22"/>
          <w:szCs w:val="22"/>
        </w:rPr>
        <w:t>Title:</w:t>
      </w:r>
      <w:r>
        <w:rPr>
          <w:sz w:val="22"/>
          <w:szCs w:val="22"/>
        </w:rPr>
        <w:t xml:space="preserve"> High-Performance Computing at the University of Delhi’s Department of Genetics</w:t>
      </w:r>
    </w:p>
    <w:p w14:paraId="32B4FEAB" w14:textId="77777777" w:rsidR="00F425CA" w:rsidRDefault="00F425CA" w:rsidP="00F425CA">
      <w:pPr>
        <w:rPr>
          <w:sz w:val="22"/>
          <w:szCs w:val="22"/>
        </w:rPr>
      </w:pPr>
    </w:p>
    <w:p w14:paraId="649AB192" w14:textId="77777777" w:rsidR="00F425CA" w:rsidRDefault="00F425CA" w:rsidP="00F425CA">
      <w:pPr>
        <w:rPr>
          <w:sz w:val="22"/>
          <w:szCs w:val="22"/>
        </w:rPr>
      </w:pPr>
      <w:r>
        <w:rPr>
          <w:b/>
          <w:bCs/>
          <w:sz w:val="22"/>
          <w:szCs w:val="22"/>
        </w:rPr>
        <w:t>Body:</w:t>
      </w:r>
      <w:r>
        <w:rPr>
          <w:sz w:val="22"/>
          <w:szCs w:val="22"/>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Default="00F425CA" w:rsidP="00F425CA">
      <w:pPr>
        <w:rPr>
          <w:sz w:val="22"/>
          <w:szCs w:val="22"/>
        </w:rPr>
      </w:pPr>
    </w:p>
    <w:p w14:paraId="64C87803"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2" w:history="1">
        <w:r>
          <w:rPr>
            <w:rStyle w:val="Hyperlink"/>
            <w:sz w:val="22"/>
            <w:szCs w:val="22"/>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1:</w:t>
      </w:r>
    </w:p>
    <w:p w14:paraId="426B61CE" w14:textId="77777777" w:rsidR="00F425CA" w:rsidRDefault="00F425CA" w:rsidP="00F425CA">
      <w:pPr>
        <w:rPr>
          <w:sz w:val="22"/>
          <w:szCs w:val="22"/>
        </w:rPr>
      </w:pPr>
    </w:p>
    <w:p w14:paraId="2C93E75D"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411FB839" w14:textId="77777777" w:rsidR="00F425CA" w:rsidRDefault="00F425CA" w:rsidP="00F425CA">
      <w:pPr>
        <w:rPr>
          <w:sz w:val="22"/>
          <w:szCs w:val="22"/>
        </w:rPr>
      </w:pPr>
    </w:p>
    <w:p w14:paraId="78EB2996"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Default="00F425CA" w:rsidP="00F425CA">
      <w:pPr>
        <w:rPr>
          <w:sz w:val="22"/>
          <w:szCs w:val="22"/>
        </w:rPr>
      </w:pPr>
    </w:p>
    <w:p w14:paraId="5F17CC8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4" w:history="1">
        <w:r>
          <w:rPr>
            <w:rStyle w:val="Hyperlink"/>
            <w:sz w:val="22"/>
            <w:szCs w:val="22"/>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1:</w:t>
      </w:r>
    </w:p>
    <w:p w14:paraId="2F748D9F" w14:textId="77777777" w:rsidR="00F425CA" w:rsidRDefault="00F425CA" w:rsidP="00F425CA">
      <w:pPr>
        <w:rPr>
          <w:sz w:val="22"/>
          <w:szCs w:val="22"/>
        </w:rPr>
      </w:pPr>
    </w:p>
    <w:p w14:paraId="2569E0AF"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69DD5DD5" w14:textId="77777777" w:rsidR="00F425CA" w:rsidRDefault="00F425CA" w:rsidP="00F425CA">
      <w:pPr>
        <w:rPr>
          <w:sz w:val="22"/>
          <w:szCs w:val="22"/>
        </w:rPr>
      </w:pPr>
    </w:p>
    <w:p w14:paraId="6C65A06C"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Default="00F425CA" w:rsidP="00F425CA">
      <w:pPr>
        <w:rPr>
          <w:sz w:val="22"/>
          <w:szCs w:val="22"/>
        </w:rPr>
      </w:pPr>
    </w:p>
    <w:p w14:paraId="4C2F1259" w14:textId="77777777" w:rsidR="00F425CA" w:rsidRDefault="00F425CA" w:rsidP="00F425CA">
      <w:pPr>
        <w:rPr>
          <w:sz w:val="22"/>
          <w:szCs w:val="22"/>
        </w:rPr>
      </w:pPr>
      <w:r>
        <w:rPr>
          <w:sz w:val="22"/>
          <w:szCs w:val="22"/>
        </w:rPr>
        <w:t xml:space="preserve">Download it from the </w:t>
      </w:r>
      <w:hyperlink r:id="rId985" w:anchor=".Yh500KvMJdh" w:history="1">
        <w:r>
          <w:rPr>
            <w:rStyle w:val="Hyperlink"/>
            <w:sz w:val="22"/>
            <w:szCs w:val="22"/>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2:</w:t>
      </w:r>
    </w:p>
    <w:p w14:paraId="316F8739" w14:textId="77777777" w:rsidR="00F425CA" w:rsidRDefault="00F425CA" w:rsidP="00F425CA">
      <w:pPr>
        <w:rPr>
          <w:sz w:val="22"/>
          <w:szCs w:val="22"/>
        </w:rPr>
      </w:pPr>
    </w:p>
    <w:p w14:paraId="1EA356A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7B40CA77" w14:textId="77777777" w:rsidR="00F425CA" w:rsidRDefault="00F425CA" w:rsidP="00F425CA">
      <w:pPr>
        <w:rPr>
          <w:sz w:val="22"/>
          <w:szCs w:val="22"/>
        </w:rPr>
      </w:pPr>
    </w:p>
    <w:p w14:paraId="7FA42A18"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Default="00F425CA" w:rsidP="00F425CA">
      <w:pPr>
        <w:rPr>
          <w:sz w:val="22"/>
          <w:szCs w:val="22"/>
        </w:rPr>
      </w:pPr>
    </w:p>
    <w:p w14:paraId="248F4570"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6" w:history="1">
        <w:r>
          <w:rPr>
            <w:rStyle w:val="Hyperlink"/>
            <w:sz w:val="22"/>
            <w:szCs w:val="22"/>
          </w:rPr>
          <w:t>White Paper Channel</w:t>
        </w:r>
      </w:hyperlink>
      <w:r>
        <w:rPr>
          <w:sz w:val="22"/>
          <w:szCs w:val="22"/>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2:</w:t>
      </w:r>
    </w:p>
    <w:p w14:paraId="1098C143" w14:textId="77777777" w:rsidR="00F425CA" w:rsidRDefault="00F425CA" w:rsidP="00F425CA">
      <w:pPr>
        <w:rPr>
          <w:sz w:val="22"/>
          <w:szCs w:val="22"/>
        </w:rPr>
      </w:pPr>
    </w:p>
    <w:p w14:paraId="4F3AEE4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22D4B3FA" w14:textId="77777777" w:rsidR="00F425CA" w:rsidRDefault="00F425CA" w:rsidP="00F425CA">
      <w:pPr>
        <w:rPr>
          <w:sz w:val="22"/>
          <w:szCs w:val="22"/>
        </w:rPr>
      </w:pPr>
    </w:p>
    <w:p w14:paraId="5509338B"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Default="00F425CA" w:rsidP="00F425CA">
      <w:pPr>
        <w:rPr>
          <w:sz w:val="22"/>
          <w:szCs w:val="22"/>
        </w:rPr>
      </w:pPr>
    </w:p>
    <w:p w14:paraId="1365C645" w14:textId="77777777" w:rsidR="00F425CA" w:rsidRDefault="00F425CA" w:rsidP="00F425CA">
      <w:pPr>
        <w:rPr>
          <w:sz w:val="22"/>
          <w:szCs w:val="22"/>
        </w:rPr>
      </w:pPr>
      <w:r>
        <w:rPr>
          <w:sz w:val="22"/>
          <w:szCs w:val="22"/>
        </w:rPr>
        <w:t xml:space="preserve">Download it from the </w:t>
      </w:r>
      <w:hyperlink r:id="rId987" w:anchor=".Yh51P6vMJdg" w:history="1">
        <w:r>
          <w:rPr>
            <w:rStyle w:val="Hyperlink"/>
            <w:sz w:val="22"/>
            <w:szCs w:val="22"/>
          </w:rPr>
          <w:t>Precision Oncology News White Paper Channel</w:t>
        </w:r>
      </w:hyperlink>
      <w:r>
        <w:rPr>
          <w:sz w:val="22"/>
          <w:szCs w:val="22"/>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White Paper 3:</w:t>
      </w:r>
    </w:p>
    <w:p w14:paraId="47BDF055" w14:textId="77777777" w:rsidR="00F425CA" w:rsidRDefault="00F425CA" w:rsidP="00F425CA">
      <w:pPr>
        <w:rPr>
          <w:sz w:val="22"/>
          <w:szCs w:val="22"/>
        </w:rPr>
      </w:pPr>
    </w:p>
    <w:p w14:paraId="5CB9D328" w14:textId="77777777" w:rsidR="00F425CA" w:rsidRDefault="00F425CA" w:rsidP="00F425CA">
      <w:pPr>
        <w:rPr>
          <w:sz w:val="22"/>
          <w:szCs w:val="22"/>
        </w:rPr>
      </w:pPr>
      <w:r>
        <w:rPr>
          <w:b/>
          <w:bCs/>
          <w:sz w:val="22"/>
          <w:szCs w:val="22"/>
        </w:rPr>
        <w:lastRenderedPageBreak/>
        <w:t>Title:</w:t>
      </w:r>
      <w:r>
        <w:rPr>
          <w:sz w:val="22"/>
          <w:szCs w:val="22"/>
        </w:rPr>
        <w:t xml:space="preserve"> Sample Logistics and Kitting Solutions</w:t>
      </w:r>
    </w:p>
    <w:p w14:paraId="5FE67D0C" w14:textId="77777777" w:rsidR="00F425CA" w:rsidRDefault="00F425CA" w:rsidP="00F425CA">
      <w:pPr>
        <w:rPr>
          <w:sz w:val="22"/>
          <w:szCs w:val="22"/>
        </w:rPr>
      </w:pPr>
    </w:p>
    <w:p w14:paraId="28581532"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presents case studies illustrating the capabilities of Clinical Logistics Inc. to collect, monitor, manage, store, and ship clinical samples for clinical trials and reference labs.</w:t>
      </w:r>
    </w:p>
    <w:p w14:paraId="5631DEDA" w14:textId="77777777" w:rsidR="00F425CA" w:rsidRDefault="00F425CA" w:rsidP="00F425CA">
      <w:pPr>
        <w:rPr>
          <w:sz w:val="22"/>
          <w:szCs w:val="22"/>
        </w:rPr>
      </w:pPr>
    </w:p>
    <w:p w14:paraId="523F3A2B"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8" w:history="1">
        <w:r>
          <w:rPr>
            <w:rStyle w:val="Hyperlink"/>
            <w:sz w:val="22"/>
            <w:szCs w:val="22"/>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77777777" w:rsidR="00520910" w:rsidRPr="0034798E" w:rsidRDefault="00520910" w:rsidP="00520910">
      <w:pPr>
        <w:rPr>
          <w:b/>
          <w:bCs/>
          <w:i/>
          <w:iCs/>
          <w:sz w:val="22"/>
          <w:szCs w:val="22"/>
        </w:rPr>
      </w:pPr>
      <w:r w:rsidRPr="003734BC">
        <w:rPr>
          <w:b/>
          <w:bCs/>
          <w:i/>
          <w:iCs/>
          <w:sz w:val="22"/>
          <w:szCs w:val="22"/>
        </w:rPr>
        <w:t>Integra White Paper 19</w:t>
      </w:r>
      <w:r w:rsidRPr="0034798E">
        <w:rPr>
          <w:b/>
          <w:bCs/>
          <w:i/>
          <w:iCs/>
          <w:sz w:val="22"/>
          <w:szCs w:val="22"/>
        </w:rPr>
        <w:t>:</w:t>
      </w:r>
    </w:p>
    <w:p w14:paraId="1EC6714F" w14:textId="77777777" w:rsidR="00520910" w:rsidRPr="00317785" w:rsidRDefault="00520910" w:rsidP="00520910">
      <w:pPr>
        <w:rPr>
          <w:sz w:val="22"/>
          <w:szCs w:val="22"/>
        </w:rPr>
      </w:pPr>
    </w:p>
    <w:p w14:paraId="3DF5B1B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8A6B4E">
        <w:rPr>
          <w:sz w:val="22"/>
          <w:szCs w:val="22"/>
        </w:rPr>
        <w:t>Purifying PCR Products with a Handheld Electronic Pipette</w:t>
      </w:r>
    </w:p>
    <w:p w14:paraId="15AEFD3E" w14:textId="77777777" w:rsidR="00520910" w:rsidRPr="00317785" w:rsidRDefault="00520910" w:rsidP="00520910">
      <w:pPr>
        <w:rPr>
          <w:sz w:val="22"/>
          <w:szCs w:val="22"/>
        </w:rPr>
      </w:pPr>
    </w:p>
    <w:p w14:paraId="7535E57F" w14:textId="77777777" w:rsidR="00520910" w:rsidRPr="00BE5E6C"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Integra Biosciences describes how to purify PCR products of </w:t>
      </w:r>
      <w:r w:rsidRPr="009F35A8">
        <w:rPr>
          <w:sz w:val="22"/>
          <w:szCs w:val="22"/>
        </w:rPr>
        <w:t>impurities like primers, unincorporated nucleotides, buffers, salts, mineral oils, agarose</w:t>
      </w:r>
      <w:r>
        <w:rPr>
          <w:sz w:val="22"/>
          <w:szCs w:val="22"/>
        </w:rPr>
        <w:t>,</w:t>
      </w:r>
      <w:r w:rsidRPr="009F35A8">
        <w:rPr>
          <w:sz w:val="22"/>
          <w:szCs w:val="22"/>
        </w:rPr>
        <w:t xml:space="preserve"> and enzymes</w:t>
      </w:r>
      <w:r>
        <w:rPr>
          <w:sz w:val="22"/>
          <w:szCs w:val="22"/>
        </w:rPr>
        <w:t xml:space="preserve"> with Qiagen’s </w:t>
      </w:r>
      <w:proofErr w:type="spellStart"/>
      <w:r>
        <w:rPr>
          <w:sz w:val="22"/>
          <w:szCs w:val="22"/>
        </w:rPr>
        <w:t>QiaQuick</w:t>
      </w:r>
      <w:proofErr w:type="spellEnd"/>
      <w:r>
        <w:rPr>
          <w:sz w:val="22"/>
          <w:szCs w:val="22"/>
        </w:rPr>
        <w:t xml:space="preserve"> 96 PCR Purification kit and the </w:t>
      </w:r>
      <w:proofErr w:type="spellStart"/>
      <w:r>
        <w:rPr>
          <w:sz w:val="22"/>
          <w:szCs w:val="22"/>
        </w:rPr>
        <w:t>Viaflo</w:t>
      </w:r>
      <w:proofErr w:type="spellEnd"/>
      <w:r>
        <w:rPr>
          <w:sz w:val="22"/>
          <w:szCs w:val="22"/>
        </w:rPr>
        <w:t xml:space="preserve"> 96 handheld electronic pipette, which reduces hands-on time improves </w:t>
      </w:r>
      <w:r w:rsidRPr="00BE5E6C">
        <w:rPr>
          <w:sz w:val="22"/>
          <w:szCs w:val="22"/>
        </w:rPr>
        <w:t>reproducibility.</w:t>
      </w:r>
    </w:p>
    <w:p w14:paraId="2FB23F42" w14:textId="77777777" w:rsidR="00520910" w:rsidRPr="00BE5E6C" w:rsidRDefault="00520910" w:rsidP="00520910">
      <w:pPr>
        <w:rPr>
          <w:sz w:val="22"/>
          <w:szCs w:val="22"/>
        </w:rPr>
      </w:pPr>
    </w:p>
    <w:p w14:paraId="6431A635"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8" w:history="1">
        <w:r w:rsidRPr="00BB6C57">
          <w:rPr>
            <w:rStyle w:val="Hyperlink"/>
            <w:sz w:val="22"/>
            <w:szCs w:val="22"/>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77777777" w:rsidR="00520910" w:rsidRPr="0034798E" w:rsidRDefault="00520910" w:rsidP="00520910">
      <w:pPr>
        <w:rPr>
          <w:b/>
          <w:bCs/>
          <w:i/>
          <w:iCs/>
          <w:sz w:val="22"/>
          <w:szCs w:val="22"/>
        </w:rPr>
      </w:pPr>
      <w:r w:rsidRPr="003734BC">
        <w:rPr>
          <w:b/>
          <w:bCs/>
          <w:i/>
          <w:iCs/>
          <w:sz w:val="22"/>
          <w:szCs w:val="22"/>
        </w:rPr>
        <w:t>Integra White Paper 20</w:t>
      </w:r>
      <w:r w:rsidRPr="0034798E">
        <w:rPr>
          <w:b/>
          <w:bCs/>
          <w:i/>
          <w:iCs/>
          <w:sz w:val="22"/>
          <w:szCs w:val="22"/>
        </w:rPr>
        <w:t>:</w:t>
      </w:r>
    </w:p>
    <w:p w14:paraId="4D3823C2" w14:textId="77777777" w:rsidR="00520910" w:rsidRPr="00317785" w:rsidRDefault="00520910" w:rsidP="00520910">
      <w:pPr>
        <w:rPr>
          <w:sz w:val="22"/>
          <w:szCs w:val="22"/>
        </w:rPr>
      </w:pPr>
    </w:p>
    <w:p w14:paraId="7DC097C6"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BE5E6C">
        <w:rPr>
          <w:sz w:val="22"/>
          <w:szCs w:val="22"/>
        </w:rPr>
        <w:t xml:space="preserve">utomated </w:t>
      </w:r>
      <w:r>
        <w:rPr>
          <w:sz w:val="22"/>
          <w:szCs w:val="22"/>
        </w:rPr>
        <w:t>S</w:t>
      </w:r>
      <w:r w:rsidRPr="00BE5E6C">
        <w:rPr>
          <w:sz w:val="22"/>
          <w:szCs w:val="22"/>
        </w:rPr>
        <w:t xml:space="preserve">ample </w:t>
      </w:r>
      <w:r>
        <w:rPr>
          <w:sz w:val="22"/>
          <w:szCs w:val="22"/>
        </w:rPr>
        <w:t>T</w:t>
      </w:r>
      <w:r w:rsidRPr="00BE5E6C">
        <w:rPr>
          <w:sz w:val="22"/>
          <w:szCs w:val="22"/>
        </w:rPr>
        <w:t>ransfer</w:t>
      </w:r>
      <w:r>
        <w:rPr>
          <w:sz w:val="22"/>
          <w:szCs w:val="22"/>
        </w:rPr>
        <w:t xml:space="preserve"> from</w:t>
      </w:r>
      <w:r w:rsidRPr="00BE5E6C">
        <w:rPr>
          <w:sz w:val="22"/>
          <w:szCs w:val="22"/>
        </w:rPr>
        <w:t xml:space="preserve"> </w:t>
      </w:r>
      <w:r>
        <w:rPr>
          <w:sz w:val="22"/>
          <w:szCs w:val="22"/>
        </w:rPr>
        <w:t>T</w:t>
      </w:r>
      <w:r w:rsidRPr="00BE5E6C">
        <w:rPr>
          <w:sz w:val="22"/>
          <w:szCs w:val="22"/>
        </w:rPr>
        <w:t xml:space="preserve">ubes to </w:t>
      </w:r>
      <w:r>
        <w:rPr>
          <w:sz w:val="22"/>
          <w:szCs w:val="22"/>
        </w:rPr>
        <w:t>P</w:t>
      </w:r>
      <w:r w:rsidRPr="00BE5E6C">
        <w:rPr>
          <w:sz w:val="22"/>
          <w:szCs w:val="22"/>
        </w:rPr>
        <w:t xml:space="preserve">lates </w:t>
      </w:r>
      <w:r>
        <w:rPr>
          <w:sz w:val="22"/>
          <w:szCs w:val="22"/>
        </w:rPr>
        <w:t>with</w:t>
      </w:r>
      <w:r w:rsidRPr="00BE5E6C">
        <w:rPr>
          <w:sz w:val="22"/>
          <w:szCs w:val="22"/>
        </w:rPr>
        <w:t xml:space="preserve"> </w:t>
      </w:r>
      <w:r>
        <w:rPr>
          <w:sz w:val="22"/>
          <w:szCs w:val="22"/>
        </w:rPr>
        <w:t>a Pipetting Robot</w:t>
      </w:r>
    </w:p>
    <w:p w14:paraId="608B8003" w14:textId="77777777" w:rsidR="00520910" w:rsidRPr="00317785" w:rsidRDefault="00520910" w:rsidP="00520910">
      <w:pPr>
        <w:rPr>
          <w:sz w:val="22"/>
          <w:szCs w:val="22"/>
        </w:rPr>
      </w:pPr>
    </w:p>
    <w:p w14:paraId="62BAE14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702056">
        <w:rPr>
          <w:sz w:val="22"/>
          <w:szCs w:val="22"/>
        </w:rPr>
        <w:t>Integra Biosciences</w:t>
      </w:r>
      <w:r>
        <w:rPr>
          <w:sz w:val="22"/>
          <w:szCs w:val="22"/>
        </w:rPr>
        <w:t xml:space="preserve"> provides a protocol for transferring samples from tubes to plates using the Assist Plus pipetting robot </w:t>
      </w:r>
      <w:r w:rsidRPr="00BE5E6C">
        <w:rPr>
          <w:sz w:val="22"/>
          <w:szCs w:val="22"/>
        </w:rPr>
        <w:t>in combination with a V</w:t>
      </w:r>
      <w:r>
        <w:rPr>
          <w:sz w:val="22"/>
          <w:szCs w:val="22"/>
        </w:rPr>
        <w:t>oyager</w:t>
      </w:r>
      <w:r w:rsidRPr="00BE5E6C">
        <w:rPr>
          <w:sz w:val="22"/>
          <w:szCs w:val="22"/>
        </w:rPr>
        <w:t xml:space="preserve"> adjustable tip spacing pipette</w:t>
      </w:r>
      <w:r>
        <w:rPr>
          <w:sz w:val="22"/>
          <w:szCs w:val="22"/>
        </w:rPr>
        <w:t xml:space="preserve"> to reduce human error and hands-on time.</w:t>
      </w:r>
    </w:p>
    <w:p w14:paraId="366274F5" w14:textId="77777777" w:rsidR="00520910" w:rsidRPr="00BE5E6C" w:rsidRDefault="00520910" w:rsidP="00520910">
      <w:pPr>
        <w:rPr>
          <w:sz w:val="22"/>
          <w:szCs w:val="22"/>
        </w:rPr>
      </w:pPr>
    </w:p>
    <w:p w14:paraId="7A2DAC0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9" w:history="1">
        <w:r w:rsidRPr="00A52284">
          <w:rPr>
            <w:rStyle w:val="Hyperlink"/>
            <w:sz w:val="22"/>
            <w:szCs w:val="22"/>
          </w:rPr>
          <w:t>White Paper Channel</w:t>
        </w:r>
      </w:hyperlink>
      <w:r w:rsidRPr="00BE5E6C">
        <w:rPr>
          <w:sz w:val="22"/>
          <w:szCs w:val="22"/>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77777777" w:rsidR="00520910" w:rsidRPr="0034798E" w:rsidRDefault="00520910" w:rsidP="00520910">
      <w:pPr>
        <w:rPr>
          <w:b/>
          <w:bCs/>
          <w:i/>
          <w:iCs/>
          <w:sz w:val="22"/>
          <w:szCs w:val="22"/>
        </w:rPr>
      </w:pPr>
      <w:r w:rsidRPr="004D28CB">
        <w:rPr>
          <w:b/>
          <w:bCs/>
          <w:i/>
          <w:iCs/>
          <w:sz w:val="22"/>
          <w:szCs w:val="22"/>
        </w:rPr>
        <w:t>Integra GW White Paper 21</w:t>
      </w:r>
      <w:r w:rsidRPr="0034798E">
        <w:rPr>
          <w:b/>
          <w:bCs/>
          <w:i/>
          <w:iCs/>
          <w:sz w:val="22"/>
          <w:szCs w:val="22"/>
        </w:rPr>
        <w:t>:</w:t>
      </w:r>
    </w:p>
    <w:p w14:paraId="15E09F1E" w14:textId="77777777" w:rsidR="00520910" w:rsidRPr="00317785" w:rsidRDefault="00520910" w:rsidP="00520910">
      <w:pPr>
        <w:rPr>
          <w:sz w:val="22"/>
          <w:szCs w:val="22"/>
        </w:rPr>
      </w:pPr>
    </w:p>
    <w:p w14:paraId="6544F645"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1A8B3FF" w14:textId="77777777" w:rsidR="00520910" w:rsidRPr="00317785" w:rsidRDefault="00520910" w:rsidP="00520910">
      <w:pPr>
        <w:rPr>
          <w:sz w:val="22"/>
          <w:szCs w:val="22"/>
        </w:rPr>
      </w:pPr>
    </w:p>
    <w:p w14:paraId="600E0BEF" w14:textId="77777777" w:rsidR="00520910" w:rsidRDefault="00520910" w:rsidP="00520910">
      <w:pPr>
        <w:rPr>
          <w:sz w:val="22"/>
          <w:szCs w:val="22"/>
        </w:rPr>
      </w:pPr>
      <w:r w:rsidRPr="004D426A">
        <w:rPr>
          <w:b/>
          <w:bCs/>
          <w:sz w:val="22"/>
          <w:szCs w:val="22"/>
        </w:rPr>
        <w:lastRenderedPageBreak/>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5ECC8E9" w14:textId="77777777" w:rsidR="00520910" w:rsidRPr="00BE5E6C" w:rsidRDefault="00520910" w:rsidP="00520910">
      <w:pPr>
        <w:rPr>
          <w:sz w:val="22"/>
          <w:szCs w:val="22"/>
        </w:rPr>
      </w:pPr>
    </w:p>
    <w:p w14:paraId="37E45A8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1000" w:history="1">
        <w:r w:rsidRPr="00F56213">
          <w:rPr>
            <w:rStyle w:val="Hyperlink"/>
            <w:sz w:val="22"/>
            <w:szCs w:val="22"/>
          </w:rPr>
          <w:t>White Paper Channel</w:t>
        </w:r>
      </w:hyperlink>
      <w:r w:rsidRPr="00BE5E6C">
        <w:rPr>
          <w:sz w:val="22"/>
          <w:szCs w:val="22"/>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77777777" w:rsidR="00520910" w:rsidRPr="0034798E" w:rsidRDefault="00520910" w:rsidP="00520910">
      <w:pPr>
        <w:rPr>
          <w:b/>
          <w:bCs/>
          <w:i/>
          <w:iCs/>
          <w:sz w:val="22"/>
          <w:szCs w:val="22"/>
        </w:rPr>
      </w:pPr>
      <w:r w:rsidRPr="004D28CB">
        <w:rPr>
          <w:b/>
          <w:bCs/>
          <w:i/>
          <w:iCs/>
          <w:sz w:val="22"/>
          <w:szCs w:val="22"/>
        </w:rPr>
        <w:t>Integra 360Dx White Paper 21</w:t>
      </w:r>
      <w:r w:rsidRPr="0034798E">
        <w:rPr>
          <w:b/>
          <w:bCs/>
          <w:i/>
          <w:iCs/>
          <w:sz w:val="22"/>
          <w:szCs w:val="22"/>
        </w:rPr>
        <w:t>:</w:t>
      </w:r>
    </w:p>
    <w:p w14:paraId="33E8BA42" w14:textId="77777777" w:rsidR="00520910" w:rsidRPr="00317785" w:rsidRDefault="00520910" w:rsidP="00520910">
      <w:pPr>
        <w:rPr>
          <w:sz w:val="22"/>
          <w:szCs w:val="22"/>
        </w:rPr>
      </w:pPr>
    </w:p>
    <w:p w14:paraId="023E3B4A"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8753A09" w14:textId="77777777" w:rsidR="00520910" w:rsidRPr="00317785" w:rsidRDefault="00520910" w:rsidP="00520910">
      <w:pPr>
        <w:rPr>
          <w:sz w:val="22"/>
          <w:szCs w:val="22"/>
        </w:rPr>
      </w:pPr>
    </w:p>
    <w:p w14:paraId="34402E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D555221" w14:textId="77777777" w:rsidR="00520910" w:rsidRPr="00BE5E6C" w:rsidRDefault="00520910" w:rsidP="00520910">
      <w:pPr>
        <w:rPr>
          <w:sz w:val="22"/>
          <w:szCs w:val="22"/>
        </w:rPr>
      </w:pPr>
    </w:p>
    <w:p w14:paraId="6D3C8484" w14:textId="77777777" w:rsidR="00520910" w:rsidRDefault="00520910" w:rsidP="00520910">
      <w:pPr>
        <w:rPr>
          <w:sz w:val="22"/>
          <w:szCs w:val="22"/>
        </w:rPr>
      </w:pPr>
      <w:r w:rsidRPr="00BE5E6C">
        <w:rPr>
          <w:sz w:val="22"/>
          <w:szCs w:val="22"/>
        </w:rPr>
        <w:t xml:space="preserve">Download it from </w:t>
      </w:r>
      <w:r w:rsidRPr="000138A2">
        <w:rPr>
          <w:sz w:val="22"/>
          <w:szCs w:val="22"/>
        </w:rPr>
        <w:t xml:space="preserve">the 360Dx </w:t>
      </w:r>
      <w:hyperlink r:id="rId1001" w:anchor=".YiuihonMJdg" w:history="1">
        <w:r w:rsidRPr="00993EC7">
          <w:rPr>
            <w:rStyle w:val="Hyperlink"/>
            <w:sz w:val="22"/>
            <w:szCs w:val="22"/>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77777777" w:rsidR="00520910" w:rsidRPr="0034798E" w:rsidRDefault="00520910" w:rsidP="00520910">
      <w:pPr>
        <w:rPr>
          <w:b/>
          <w:bCs/>
          <w:i/>
          <w:iCs/>
          <w:sz w:val="22"/>
          <w:szCs w:val="22"/>
        </w:rPr>
      </w:pPr>
      <w:proofErr w:type="spellStart"/>
      <w:r w:rsidRPr="004D28CB">
        <w:rPr>
          <w:b/>
          <w:bCs/>
          <w:i/>
          <w:iCs/>
          <w:sz w:val="22"/>
          <w:szCs w:val="22"/>
        </w:rPr>
        <w:t>DNAnexus</w:t>
      </w:r>
      <w:proofErr w:type="spellEnd"/>
      <w:r w:rsidRPr="004D28CB">
        <w:rPr>
          <w:b/>
          <w:bCs/>
          <w:i/>
          <w:iCs/>
          <w:sz w:val="22"/>
          <w:szCs w:val="22"/>
        </w:rPr>
        <w:t xml:space="preserve"> GW White Paper 10</w:t>
      </w:r>
      <w:r w:rsidRPr="0034798E">
        <w:rPr>
          <w:b/>
          <w:bCs/>
          <w:i/>
          <w:iCs/>
          <w:sz w:val="22"/>
          <w:szCs w:val="22"/>
        </w:rPr>
        <w:t>:</w:t>
      </w:r>
    </w:p>
    <w:p w14:paraId="55984B16" w14:textId="77777777" w:rsidR="00520910" w:rsidRPr="00317785" w:rsidRDefault="00520910" w:rsidP="00520910">
      <w:pPr>
        <w:rPr>
          <w:sz w:val="22"/>
          <w:szCs w:val="22"/>
        </w:rPr>
      </w:pPr>
    </w:p>
    <w:p w14:paraId="4E855DA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C52E57">
        <w:rPr>
          <w:sz w:val="22"/>
          <w:szCs w:val="22"/>
        </w:rPr>
        <w:t>Accelerating the Development of Diagnostic Tests with a New Benchmark</w:t>
      </w:r>
    </w:p>
    <w:p w14:paraId="6D661D77" w14:textId="77777777" w:rsidR="00520910" w:rsidRPr="00317785" w:rsidRDefault="00520910" w:rsidP="00520910">
      <w:pPr>
        <w:rPr>
          <w:sz w:val="22"/>
          <w:szCs w:val="22"/>
        </w:rPr>
      </w:pPr>
    </w:p>
    <w:p w14:paraId="0185439D" w14:textId="77777777" w:rsidR="00520910" w:rsidRPr="00C52E57"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DNAnexus</w:t>
      </w:r>
      <w:proofErr w:type="spellEnd"/>
      <w:r>
        <w:rPr>
          <w:sz w:val="22"/>
          <w:szCs w:val="22"/>
        </w:rPr>
        <w:t xml:space="preserve"> describes</w:t>
      </w:r>
      <w:r w:rsidRPr="00C52E57">
        <w:rPr>
          <w:sz w:val="22"/>
          <w:szCs w:val="22"/>
        </w:rPr>
        <w:t xml:space="preserve">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w:t>
      </w:r>
      <w:r w:rsidRPr="00C52E57">
        <w:rPr>
          <w:sz w:val="22"/>
          <w:szCs w:val="22"/>
        </w:rPr>
        <w:t xml:space="preserve"> to provide diagnostic companies with resources required to validate their protocols and methods for new medically relevant targets. </w:t>
      </w:r>
    </w:p>
    <w:p w14:paraId="707F885E" w14:textId="77777777" w:rsidR="00520910" w:rsidRPr="00C52E57" w:rsidRDefault="00520910" w:rsidP="00520910">
      <w:pPr>
        <w:rPr>
          <w:sz w:val="22"/>
          <w:szCs w:val="22"/>
        </w:rPr>
      </w:pPr>
    </w:p>
    <w:p w14:paraId="679F700A" w14:textId="77777777" w:rsidR="00520910" w:rsidRPr="00C52E57" w:rsidRDefault="00520910" w:rsidP="00520910">
      <w:pPr>
        <w:rPr>
          <w:sz w:val="22"/>
          <w:szCs w:val="22"/>
        </w:rPr>
      </w:pPr>
      <w:r w:rsidRPr="00C52E57">
        <w:rPr>
          <w:sz w:val="22"/>
          <w:szCs w:val="22"/>
        </w:rPr>
        <w:t xml:space="preserve">Download it from </w:t>
      </w:r>
      <w:proofErr w:type="spellStart"/>
      <w:r w:rsidRPr="00C52E57">
        <w:rPr>
          <w:sz w:val="22"/>
          <w:szCs w:val="22"/>
        </w:rPr>
        <w:t>GenomeWeb’s</w:t>
      </w:r>
      <w:proofErr w:type="spellEnd"/>
      <w:r w:rsidRPr="00C52E57">
        <w:rPr>
          <w:sz w:val="22"/>
          <w:szCs w:val="22"/>
        </w:rPr>
        <w:t xml:space="preserve"> </w:t>
      </w:r>
      <w:hyperlink r:id="rId1002" w:history="1">
        <w:r w:rsidRPr="00734349">
          <w:rPr>
            <w:rStyle w:val="Hyperlink"/>
            <w:sz w:val="22"/>
            <w:szCs w:val="22"/>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77777777" w:rsidR="00520910" w:rsidRPr="00C52E57" w:rsidRDefault="00520910" w:rsidP="00520910">
      <w:pPr>
        <w:rPr>
          <w:b/>
          <w:bCs/>
          <w:i/>
          <w:iCs/>
          <w:sz w:val="22"/>
          <w:szCs w:val="22"/>
        </w:rPr>
      </w:pPr>
      <w:proofErr w:type="spellStart"/>
      <w:r w:rsidRPr="00E35F2A">
        <w:rPr>
          <w:b/>
          <w:bCs/>
          <w:i/>
          <w:iCs/>
          <w:sz w:val="22"/>
          <w:szCs w:val="22"/>
        </w:rPr>
        <w:t>DNAnexus</w:t>
      </w:r>
      <w:proofErr w:type="spellEnd"/>
      <w:r w:rsidRPr="00E35F2A">
        <w:rPr>
          <w:b/>
          <w:bCs/>
          <w:i/>
          <w:iCs/>
          <w:sz w:val="22"/>
          <w:szCs w:val="22"/>
        </w:rPr>
        <w:t xml:space="preserve"> 360Dx White Paper 10</w:t>
      </w:r>
      <w:r w:rsidRPr="00C52E57">
        <w:rPr>
          <w:b/>
          <w:bCs/>
          <w:i/>
          <w:iCs/>
          <w:sz w:val="22"/>
          <w:szCs w:val="22"/>
        </w:rPr>
        <w:t>:</w:t>
      </w:r>
    </w:p>
    <w:p w14:paraId="206FAA06" w14:textId="77777777" w:rsidR="00520910" w:rsidRPr="00C52E57" w:rsidRDefault="00520910" w:rsidP="00520910">
      <w:pPr>
        <w:rPr>
          <w:sz w:val="22"/>
          <w:szCs w:val="22"/>
        </w:rPr>
      </w:pPr>
    </w:p>
    <w:p w14:paraId="76DA611F" w14:textId="77777777" w:rsidR="00520910" w:rsidRPr="00C52E57" w:rsidRDefault="00520910" w:rsidP="00520910">
      <w:pPr>
        <w:rPr>
          <w:sz w:val="22"/>
          <w:szCs w:val="22"/>
        </w:rPr>
      </w:pPr>
      <w:r w:rsidRPr="00C52E57">
        <w:rPr>
          <w:b/>
          <w:bCs/>
          <w:sz w:val="22"/>
          <w:szCs w:val="22"/>
        </w:rPr>
        <w:t>Title:</w:t>
      </w:r>
      <w:r w:rsidRPr="00C52E57">
        <w:rPr>
          <w:sz w:val="22"/>
          <w:szCs w:val="22"/>
        </w:rPr>
        <w:t xml:space="preserve"> Accelerating the Development of Diagnostic Tests with a New Benchmark</w:t>
      </w:r>
    </w:p>
    <w:p w14:paraId="32CCE443" w14:textId="77777777" w:rsidR="00520910" w:rsidRPr="00C52E57" w:rsidRDefault="00520910" w:rsidP="00520910">
      <w:pPr>
        <w:rPr>
          <w:sz w:val="22"/>
          <w:szCs w:val="22"/>
        </w:rPr>
      </w:pPr>
    </w:p>
    <w:p w14:paraId="795DBDDF" w14:textId="77777777" w:rsidR="00520910" w:rsidRPr="00C52E57" w:rsidRDefault="00520910" w:rsidP="00520910">
      <w:pPr>
        <w:rPr>
          <w:sz w:val="22"/>
          <w:szCs w:val="22"/>
        </w:rPr>
      </w:pPr>
      <w:r w:rsidRPr="00C52E57">
        <w:rPr>
          <w:b/>
          <w:bCs/>
          <w:sz w:val="22"/>
          <w:szCs w:val="22"/>
        </w:rPr>
        <w:t>Body:</w:t>
      </w:r>
      <w:r w:rsidRPr="00C52E57">
        <w:rPr>
          <w:sz w:val="22"/>
          <w:szCs w:val="22"/>
        </w:rPr>
        <w:t xml:space="preserve"> This white paper from </w:t>
      </w:r>
      <w:proofErr w:type="spellStart"/>
      <w:r w:rsidRPr="00C52E57">
        <w:rPr>
          <w:sz w:val="22"/>
          <w:szCs w:val="22"/>
        </w:rPr>
        <w:t>DNAnexus</w:t>
      </w:r>
      <w:proofErr w:type="spellEnd"/>
      <w:r w:rsidRPr="00C52E57">
        <w:rPr>
          <w:sz w:val="22"/>
          <w:szCs w:val="22"/>
        </w:rPr>
        <w:t xml:space="preserve"> describes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 xml:space="preserve">, </w:t>
      </w:r>
      <w:r w:rsidRPr="00C52E57">
        <w:rPr>
          <w:sz w:val="22"/>
          <w:szCs w:val="22"/>
        </w:rPr>
        <w:t>to provide</w:t>
      </w:r>
      <w:r>
        <w:rPr>
          <w:sz w:val="22"/>
          <w:szCs w:val="22"/>
        </w:rPr>
        <w:t xml:space="preserve"> </w:t>
      </w:r>
      <w:r w:rsidRPr="00C52E57">
        <w:rPr>
          <w:sz w:val="22"/>
          <w:szCs w:val="22"/>
        </w:rPr>
        <w:t>diagnostic companies with resources required</w:t>
      </w:r>
      <w:r>
        <w:rPr>
          <w:sz w:val="22"/>
          <w:szCs w:val="22"/>
        </w:rPr>
        <w:t xml:space="preserve"> </w:t>
      </w:r>
      <w:r w:rsidRPr="00C52E57">
        <w:rPr>
          <w:sz w:val="22"/>
          <w:szCs w:val="22"/>
        </w:rPr>
        <w:t>to validate their protocols and methods for</w:t>
      </w:r>
      <w:r>
        <w:rPr>
          <w:sz w:val="22"/>
          <w:szCs w:val="22"/>
        </w:rPr>
        <w:t xml:space="preserve"> </w:t>
      </w:r>
      <w:r w:rsidRPr="00C52E57">
        <w:rPr>
          <w:sz w:val="22"/>
          <w:szCs w:val="22"/>
        </w:rPr>
        <w:t>new medically relevant targets</w:t>
      </w:r>
      <w:r>
        <w:rPr>
          <w:sz w:val="22"/>
          <w:szCs w:val="22"/>
        </w:rPr>
        <w:t xml:space="preserve">. </w:t>
      </w:r>
    </w:p>
    <w:p w14:paraId="1C4A048E" w14:textId="77777777" w:rsidR="00520910" w:rsidRDefault="00520910" w:rsidP="00520910">
      <w:pPr>
        <w:rPr>
          <w:sz w:val="22"/>
          <w:szCs w:val="22"/>
        </w:rPr>
      </w:pPr>
    </w:p>
    <w:p w14:paraId="5E9D8ED4" w14:textId="77777777" w:rsidR="00520910" w:rsidRPr="00317785" w:rsidRDefault="00520910" w:rsidP="00520910">
      <w:pPr>
        <w:rPr>
          <w:sz w:val="22"/>
          <w:szCs w:val="22"/>
        </w:rPr>
      </w:pPr>
    </w:p>
    <w:p w14:paraId="5D7D53A6" w14:textId="77777777" w:rsidR="00520910" w:rsidRDefault="00520910" w:rsidP="00520910">
      <w:pPr>
        <w:rPr>
          <w:sz w:val="22"/>
          <w:szCs w:val="22"/>
        </w:rPr>
      </w:pPr>
      <w:r w:rsidRPr="0034798E">
        <w:rPr>
          <w:sz w:val="22"/>
          <w:szCs w:val="22"/>
        </w:rPr>
        <w:t xml:space="preserve">Download it from </w:t>
      </w:r>
      <w:r>
        <w:rPr>
          <w:sz w:val="22"/>
          <w:szCs w:val="22"/>
        </w:rPr>
        <w:t xml:space="preserve">the </w:t>
      </w:r>
      <w:hyperlink r:id="rId1003" w:history="1">
        <w:r w:rsidRPr="005E6134">
          <w:rPr>
            <w:rStyle w:val="Hyperlink"/>
            <w:sz w:val="22"/>
            <w:szCs w:val="22"/>
          </w:rPr>
          <w:t>360Dx White Paper Channel</w:t>
        </w:r>
      </w:hyperlink>
      <w:r w:rsidRPr="0034798E">
        <w:rPr>
          <w:sz w:val="22"/>
          <w:szCs w:val="22"/>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77777777" w:rsidR="00A61F64" w:rsidRDefault="00A61F64" w:rsidP="00A61F64">
      <w:pPr>
        <w:rPr>
          <w:rFonts w:eastAsiaTheme="minorHAnsi"/>
          <w:b/>
          <w:i/>
          <w:iCs/>
          <w:sz w:val="22"/>
          <w:szCs w:val="22"/>
        </w:rPr>
      </w:pPr>
      <w:r>
        <w:rPr>
          <w:b/>
          <w:i/>
          <w:iCs/>
          <w:sz w:val="22"/>
          <w:szCs w:val="22"/>
        </w:rPr>
        <w:t>Millipore Sigma GW White Paper 15:</w:t>
      </w:r>
    </w:p>
    <w:p w14:paraId="2B190DAC" w14:textId="77777777" w:rsidR="00A61F64" w:rsidRDefault="00A61F64" w:rsidP="00A61F64">
      <w:pPr>
        <w:rPr>
          <w:sz w:val="22"/>
          <w:szCs w:val="22"/>
        </w:rPr>
      </w:pPr>
    </w:p>
    <w:p w14:paraId="7B2E4C48"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3A316D54" w14:textId="77777777" w:rsidR="00A61F64" w:rsidRDefault="00A61F64" w:rsidP="00A61F64">
      <w:pPr>
        <w:rPr>
          <w:sz w:val="22"/>
          <w:szCs w:val="22"/>
        </w:rPr>
      </w:pPr>
    </w:p>
    <w:p w14:paraId="153BFD12"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Default="00A61F64" w:rsidP="00A61F64">
      <w:pPr>
        <w:rPr>
          <w:sz w:val="22"/>
          <w:szCs w:val="22"/>
        </w:rPr>
      </w:pPr>
    </w:p>
    <w:p w14:paraId="71A93E40"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0" w:history="1">
        <w:r>
          <w:rPr>
            <w:rStyle w:val="Hyperlink"/>
            <w:sz w:val="22"/>
            <w:szCs w:val="22"/>
          </w:rPr>
          <w:t>White Paper Channel</w:t>
        </w:r>
      </w:hyperlink>
      <w:r>
        <w:rPr>
          <w:sz w:val="22"/>
          <w:szCs w:val="22"/>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77777777" w:rsidR="00A61F64" w:rsidRDefault="00A61F64" w:rsidP="00A61F64">
      <w:pPr>
        <w:rPr>
          <w:b/>
          <w:i/>
          <w:iCs/>
          <w:sz w:val="22"/>
          <w:szCs w:val="22"/>
        </w:rPr>
      </w:pPr>
      <w:r>
        <w:rPr>
          <w:b/>
          <w:i/>
          <w:iCs/>
          <w:sz w:val="22"/>
          <w:szCs w:val="22"/>
        </w:rPr>
        <w:t>Millipore Sigma 360Dx White Paper 15:</w:t>
      </w:r>
    </w:p>
    <w:p w14:paraId="49353F7B" w14:textId="77777777" w:rsidR="00A61F64" w:rsidRDefault="00A61F64" w:rsidP="00A61F64">
      <w:pPr>
        <w:rPr>
          <w:sz w:val="22"/>
          <w:szCs w:val="22"/>
        </w:rPr>
      </w:pPr>
    </w:p>
    <w:p w14:paraId="1AD137D0"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6756F024" w14:textId="77777777" w:rsidR="00A61F64" w:rsidRDefault="00A61F64" w:rsidP="00A61F64">
      <w:pPr>
        <w:rPr>
          <w:sz w:val="22"/>
          <w:szCs w:val="22"/>
        </w:rPr>
      </w:pPr>
    </w:p>
    <w:p w14:paraId="0D477D28"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Default="00A61F64" w:rsidP="00A61F64">
      <w:pPr>
        <w:rPr>
          <w:sz w:val="22"/>
          <w:szCs w:val="22"/>
        </w:rPr>
      </w:pPr>
    </w:p>
    <w:p w14:paraId="3065B99D" w14:textId="77777777" w:rsidR="00A61F64" w:rsidRDefault="00A61F64" w:rsidP="00A61F64">
      <w:pPr>
        <w:rPr>
          <w:sz w:val="22"/>
          <w:szCs w:val="22"/>
        </w:rPr>
      </w:pPr>
    </w:p>
    <w:p w14:paraId="498E84B7" w14:textId="77777777" w:rsidR="00A61F64" w:rsidRDefault="00A61F64" w:rsidP="00A61F64">
      <w:pPr>
        <w:rPr>
          <w:sz w:val="22"/>
          <w:szCs w:val="22"/>
        </w:rPr>
      </w:pPr>
      <w:r>
        <w:rPr>
          <w:sz w:val="22"/>
          <w:szCs w:val="22"/>
        </w:rPr>
        <w:t xml:space="preserve">Download it from the </w:t>
      </w:r>
      <w:hyperlink r:id="rId1011" w:history="1">
        <w:r>
          <w:rPr>
            <w:rStyle w:val="Hyperlink"/>
            <w:sz w:val="22"/>
            <w:szCs w:val="22"/>
          </w:rPr>
          <w:t>360Dx White Paper Channel</w:t>
        </w:r>
      </w:hyperlink>
      <w:r>
        <w:rPr>
          <w:sz w:val="22"/>
          <w:szCs w:val="22"/>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Webinar 1:</w:t>
      </w:r>
    </w:p>
    <w:p w14:paraId="27335BCE" w14:textId="77777777" w:rsidR="00A61F64" w:rsidRDefault="00A61F64" w:rsidP="00A61F64">
      <w:pPr>
        <w:rPr>
          <w:sz w:val="22"/>
          <w:szCs w:val="22"/>
        </w:rPr>
      </w:pPr>
    </w:p>
    <w:p w14:paraId="7855C7BF" w14:textId="77777777" w:rsidR="00A61F64" w:rsidRDefault="00A61F64" w:rsidP="00A61F64">
      <w:pPr>
        <w:rPr>
          <w:sz w:val="22"/>
          <w:szCs w:val="22"/>
        </w:rPr>
      </w:pPr>
      <w:r>
        <w:rPr>
          <w:b/>
          <w:sz w:val="22"/>
          <w:szCs w:val="22"/>
        </w:rPr>
        <w:lastRenderedPageBreak/>
        <w:t>Title:</w:t>
      </w:r>
      <w:r>
        <w:rPr>
          <w:sz w:val="22"/>
          <w:szCs w:val="22"/>
        </w:rPr>
        <w:t xml:space="preserve"> Spatial Profiling of Metabolic Regulation in the Human Tumor Microenvironment Using Multiplexed Ion Beam Imaging </w:t>
      </w:r>
    </w:p>
    <w:p w14:paraId="0DDCE965" w14:textId="77777777" w:rsidR="00A61F64" w:rsidRDefault="00A61F64" w:rsidP="00A61F64">
      <w:pPr>
        <w:rPr>
          <w:sz w:val="22"/>
          <w:szCs w:val="22"/>
        </w:rPr>
      </w:pPr>
    </w:p>
    <w:p w14:paraId="6EF276AB" w14:textId="77777777" w:rsidR="00A61F64" w:rsidRDefault="00A61F64" w:rsidP="00A61F64">
      <w:pPr>
        <w:rPr>
          <w:sz w:val="22"/>
          <w:szCs w:val="22"/>
        </w:rPr>
      </w:pPr>
      <w:r>
        <w:rPr>
          <w:b/>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w:t>
      </w:r>
      <w:proofErr w:type="spellStart"/>
      <w:r>
        <w:rPr>
          <w:sz w:val="22"/>
          <w:szCs w:val="22"/>
        </w:rPr>
        <w:t>Ionpath</w:t>
      </w:r>
      <w:proofErr w:type="spellEnd"/>
      <w:r>
        <w:rPr>
          <w:sz w:val="22"/>
          <w:szCs w:val="22"/>
        </w:rPr>
        <w:t xml:space="preserve"> presents a method to quantify </w:t>
      </w:r>
      <w:r>
        <w:rPr>
          <w:sz w:val="22"/>
          <w:szCs w:val="22"/>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Default="00A61F64" w:rsidP="00A61F64">
      <w:pPr>
        <w:rPr>
          <w:sz w:val="22"/>
          <w:szCs w:val="22"/>
        </w:rPr>
      </w:pPr>
    </w:p>
    <w:p w14:paraId="5ABA2F58" w14:textId="77777777" w:rsidR="00A61F64" w:rsidRDefault="00A61F64" w:rsidP="00A61F64">
      <w:pPr>
        <w:rPr>
          <w:sz w:val="22"/>
          <w:szCs w:val="22"/>
        </w:rPr>
      </w:pPr>
    </w:p>
    <w:p w14:paraId="33B72F04"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2" w:history="1">
        <w:r>
          <w:rPr>
            <w:rStyle w:val="Hyperlink"/>
            <w:sz w:val="22"/>
            <w:szCs w:val="22"/>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White Paper 2:</w:t>
      </w:r>
    </w:p>
    <w:p w14:paraId="13CD270F" w14:textId="77777777" w:rsidR="00A61F64" w:rsidRDefault="00A61F64" w:rsidP="00A61F64">
      <w:pPr>
        <w:rPr>
          <w:sz w:val="22"/>
          <w:szCs w:val="22"/>
        </w:rPr>
      </w:pPr>
    </w:p>
    <w:p w14:paraId="40602DBC"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w:t>
      </w:r>
    </w:p>
    <w:p w14:paraId="44C7637B" w14:textId="77777777" w:rsidR="00A61F64" w:rsidRDefault="00A61F64" w:rsidP="00A61F64">
      <w:pPr>
        <w:rPr>
          <w:sz w:val="22"/>
          <w:szCs w:val="22"/>
        </w:rPr>
      </w:pPr>
    </w:p>
    <w:p w14:paraId="30404BE3" w14:textId="77777777" w:rsidR="00A61F64" w:rsidRDefault="00A61F64" w:rsidP="00A61F64">
      <w:pPr>
        <w:rPr>
          <w:sz w:val="22"/>
          <w:szCs w:val="22"/>
          <w:shd w:val="clear" w:color="auto" w:fill="FFFFFF"/>
        </w:rPr>
      </w:pPr>
      <w:r>
        <w:rPr>
          <w:b/>
          <w:sz w:val="22"/>
          <w:szCs w:val="22"/>
        </w:rPr>
        <w:t>Body:</w:t>
      </w:r>
      <w:r>
        <w:rPr>
          <w:sz w:val="22"/>
          <w:szCs w:val="22"/>
        </w:rPr>
        <w:t xml:space="preserve"> This white paper from </w:t>
      </w:r>
      <w:proofErr w:type="spellStart"/>
      <w:r>
        <w:rPr>
          <w:sz w:val="22"/>
          <w:szCs w:val="22"/>
        </w:rPr>
        <w:t>Ionpath</w:t>
      </w:r>
      <w:proofErr w:type="spellEnd"/>
      <w:r>
        <w:rPr>
          <w:sz w:val="22"/>
          <w:szCs w:val="22"/>
        </w:rPr>
        <w:t xml:space="preserve"> summarizes a </w:t>
      </w:r>
      <w:proofErr w:type="spellStart"/>
      <w:r>
        <w:rPr>
          <w:sz w:val="22"/>
          <w:szCs w:val="22"/>
        </w:rPr>
        <w:t>GenomeWebinar</w:t>
      </w:r>
      <w:proofErr w:type="spellEnd"/>
      <w:r>
        <w:rPr>
          <w:sz w:val="22"/>
          <w:szCs w:val="22"/>
        </w:rPr>
        <w:t xml:space="preserve"> that presented a method to quantify </w:t>
      </w:r>
      <w:r>
        <w:rPr>
          <w:sz w:val="22"/>
          <w:szCs w:val="22"/>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Default="00A61F64" w:rsidP="00A61F64">
      <w:pPr>
        <w:rPr>
          <w:sz w:val="22"/>
          <w:szCs w:val="22"/>
        </w:rPr>
      </w:pPr>
    </w:p>
    <w:p w14:paraId="3D889B0B"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3" w:history="1">
        <w:r>
          <w:rPr>
            <w:rStyle w:val="Hyperlink"/>
            <w:sz w:val="22"/>
            <w:szCs w:val="22"/>
          </w:rPr>
          <w:t>White Paper Channel</w:t>
        </w:r>
      </w:hyperlink>
      <w:r>
        <w:rPr>
          <w:sz w:val="22"/>
          <w:szCs w:val="22"/>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77777777" w:rsidR="00D3538E" w:rsidRPr="00260CC3"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11</w:t>
      </w:r>
      <w:r w:rsidRPr="00260CC3">
        <w:rPr>
          <w:b/>
          <w:bCs/>
          <w:i/>
          <w:iCs/>
          <w:sz w:val="22"/>
          <w:szCs w:val="22"/>
        </w:rPr>
        <w:t>:</w:t>
      </w:r>
    </w:p>
    <w:p w14:paraId="6FA2E631" w14:textId="77777777" w:rsidR="00D3538E" w:rsidRPr="00260CC3" w:rsidRDefault="00D3538E" w:rsidP="00D3538E">
      <w:pPr>
        <w:rPr>
          <w:sz w:val="22"/>
          <w:szCs w:val="22"/>
        </w:rPr>
      </w:pPr>
    </w:p>
    <w:p w14:paraId="5765EB2C" w14:textId="77777777" w:rsidR="00D3538E" w:rsidRPr="00260CC3" w:rsidRDefault="00D3538E" w:rsidP="00D3538E">
      <w:pPr>
        <w:rPr>
          <w:sz w:val="22"/>
          <w:szCs w:val="22"/>
        </w:rPr>
      </w:pPr>
      <w:r w:rsidRPr="00260CC3">
        <w:rPr>
          <w:b/>
          <w:bCs/>
          <w:sz w:val="22"/>
          <w:szCs w:val="22"/>
        </w:rPr>
        <w:t>Title:</w:t>
      </w:r>
      <w:r w:rsidRPr="00260CC3">
        <w:rPr>
          <w:sz w:val="22"/>
          <w:szCs w:val="22"/>
        </w:rPr>
        <w:t xml:space="preserve"> A Targeted CFTR Assay that Addresses Genetic Diversity in the US Population</w:t>
      </w:r>
    </w:p>
    <w:p w14:paraId="7BFBDD1C" w14:textId="77777777" w:rsidR="00D3538E" w:rsidRPr="00260CC3" w:rsidRDefault="00D3538E" w:rsidP="00D3538E">
      <w:pPr>
        <w:rPr>
          <w:sz w:val="22"/>
          <w:szCs w:val="22"/>
        </w:rPr>
      </w:pPr>
    </w:p>
    <w:p w14:paraId="085E6B1E" w14:textId="77777777" w:rsidR="00D3538E" w:rsidRPr="00260CC3" w:rsidRDefault="00D3538E" w:rsidP="00D3538E">
      <w:pPr>
        <w:rPr>
          <w:sz w:val="22"/>
          <w:szCs w:val="22"/>
        </w:rPr>
      </w:pPr>
      <w:r w:rsidRPr="00260CC3">
        <w:rPr>
          <w:b/>
          <w:bCs/>
          <w:sz w:val="22"/>
          <w:szCs w:val="22"/>
        </w:rPr>
        <w:t>Body:</w:t>
      </w:r>
      <w:r w:rsidRPr="00260CC3">
        <w:rPr>
          <w:sz w:val="22"/>
          <w:szCs w:val="22"/>
        </w:rPr>
        <w:t xml:space="preserve"> This poster describes </w:t>
      </w:r>
      <w:proofErr w:type="spellStart"/>
      <w:r w:rsidRPr="00260CC3">
        <w:rPr>
          <w:sz w:val="22"/>
          <w:szCs w:val="22"/>
        </w:rPr>
        <w:t>Asuragen’s</w:t>
      </w:r>
      <w:proofErr w:type="spellEnd"/>
      <w:r w:rsidRPr="00260CC3">
        <w:rPr>
          <w:sz w:val="22"/>
          <w:szCs w:val="22"/>
        </w:rPr>
        <w:t xml:space="preserve"> </w:t>
      </w:r>
      <w:proofErr w:type="spellStart"/>
      <w:r w:rsidRPr="00260CC3">
        <w:rPr>
          <w:sz w:val="22"/>
          <w:szCs w:val="22"/>
        </w:rPr>
        <w:t>AmplideX</w:t>
      </w:r>
      <w:proofErr w:type="spellEnd"/>
      <w:r w:rsidRPr="00260CC3">
        <w:rPr>
          <w:sz w:val="22"/>
          <w:szCs w:val="22"/>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260CC3" w:rsidRDefault="00D3538E" w:rsidP="00D3538E">
      <w:pPr>
        <w:rPr>
          <w:sz w:val="22"/>
          <w:szCs w:val="22"/>
        </w:rPr>
      </w:pPr>
    </w:p>
    <w:p w14:paraId="1C0F48B8" w14:textId="77777777" w:rsidR="00D3538E" w:rsidRPr="00260CC3" w:rsidRDefault="00D3538E" w:rsidP="00D3538E">
      <w:pPr>
        <w:rPr>
          <w:sz w:val="22"/>
          <w:szCs w:val="22"/>
        </w:rPr>
      </w:pPr>
      <w:r w:rsidRPr="00260CC3">
        <w:rPr>
          <w:sz w:val="22"/>
          <w:szCs w:val="22"/>
        </w:rPr>
        <w:t xml:space="preserve">Download it from </w:t>
      </w:r>
      <w:proofErr w:type="spellStart"/>
      <w:r w:rsidRPr="00260CC3">
        <w:rPr>
          <w:sz w:val="22"/>
          <w:szCs w:val="22"/>
        </w:rPr>
        <w:t>GenomeWeb’s</w:t>
      </w:r>
      <w:proofErr w:type="spellEnd"/>
      <w:r w:rsidRPr="00260CC3">
        <w:rPr>
          <w:sz w:val="22"/>
          <w:szCs w:val="22"/>
        </w:rPr>
        <w:t xml:space="preserve"> </w:t>
      </w:r>
      <w:hyperlink r:id="rId1023" w:history="1">
        <w:r w:rsidRPr="00260CC3">
          <w:rPr>
            <w:rStyle w:val="Hyperlink"/>
            <w:sz w:val="22"/>
            <w:szCs w:val="22"/>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77777777" w:rsidR="00D3538E" w:rsidRPr="00FB7508"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12</w:t>
      </w:r>
      <w:r w:rsidRPr="00FB7508">
        <w:rPr>
          <w:b/>
          <w:bCs/>
          <w:i/>
          <w:iCs/>
          <w:sz w:val="22"/>
          <w:szCs w:val="22"/>
        </w:rPr>
        <w:t>:</w:t>
      </w:r>
    </w:p>
    <w:p w14:paraId="17A5B826" w14:textId="77777777" w:rsidR="00D3538E" w:rsidRPr="00FB7508" w:rsidRDefault="00D3538E" w:rsidP="00D3538E">
      <w:pPr>
        <w:rPr>
          <w:sz w:val="22"/>
          <w:szCs w:val="22"/>
        </w:rPr>
      </w:pPr>
    </w:p>
    <w:p w14:paraId="4B965568" w14:textId="77777777" w:rsidR="00D3538E" w:rsidRPr="00FB7508" w:rsidRDefault="00D3538E" w:rsidP="00D3538E">
      <w:pPr>
        <w:rPr>
          <w:sz w:val="22"/>
          <w:szCs w:val="22"/>
        </w:rPr>
      </w:pPr>
      <w:r w:rsidRPr="00FB7508">
        <w:rPr>
          <w:b/>
          <w:bCs/>
          <w:sz w:val="22"/>
          <w:szCs w:val="22"/>
        </w:rPr>
        <w:t>Title:</w:t>
      </w:r>
      <w:r w:rsidRPr="00FB7508">
        <w:rPr>
          <w:sz w:val="22"/>
          <w:szCs w:val="22"/>
        </w:rPr>
        <w:t xml:space="preserve"> Carrier Screening Results: An Educational Guide for Clinicians</w:t>
      </w:r>
    </w:p>
    <w:p w14:paraId="61575B2F" w14:textId="77777777" w:rsidR="00D3538E" w:rsidRPr="00FB7508" w:rsidRDefault="00D3538E" w:rsidP="00D3538E">
      <w:pPr>
        <w:rPr>
          <w:sz w:val="22"/>
          <w:szCs w:val="22"/>
        </w:rPr>
      </w:pPr>
    </w:p>
    <w:p w14:paraId="6F520332" w14:textId="77777777" w:rsidR="00D3538E" w:rsidRPr="00FB7508" w:rsidRDefault="00D3538E" w:rsidP="00D3538E">
      <w:pPr>
        <w:rPr>
          <w:sz w:val="22"/>
          <w:szCs w:val="22"/>
        </w:rPr>
      </w:pPr>
      <w:r w:rsidRPr="00FB7508">
        <w:rPr>
          <w:b/>
          <w:bCs/>
          <w:sz w:val="22"/>
          <w:szCs w:val="22"/>
        </w:rPr>
        <w:t>Body:</w:t>
      </w:r>
      <w:r w:rsidRPr="00FB7508">
        <w:rPr>
          <w:sz w:val="22"/>
          <w:szCs w:val="22"/>
        </w:rPr>
        <w:t xml:space="preserve"> This guide from </w:t>
      </w:r>
      <w:proofErr w:type="spellStart"/>
      <w:r w:rsidRPr="00FB7508">
        <w:rPr>
          <w:sz w:val="22"/>
          <w:szCs w:val="22"/>
        </w:rPr>
        <w:t>Asuragen</w:t>
      </w:r>
      <w:proofErr w:type="spellEnd"/>
      <w:r w:rsidRPr="00FB7508">
        <w:rPr>
          <w:sz w:val="22"/>
          <w:szCs w:val="22"/>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FB7508" w:rsidRDefault="00D3538E" w:rsidP="00D3538E">
      <w:pPr>
        <w:rPr>
          <w:sz w:val="22"/>
          <w:szCs w:val="22"/>
        </w:rPr>
      </w:pPr>
    </w:p>
    <w:p w14:paraId="2BF33372" w14:textId="77777777" w:rsidR="00D3538E" w:rsidRPr="00FB7508" w:rsidRDefault="00D3538E" w:rsidP="00D3538E">
      <w:pPr>
        <w:rPr>
          <w:sz w:val="22"/>
          <w:szCs w:val="22"/>
        </w:rPr>
      </w:pPr>
      <w:r w:rsidRPr="00FB7508">
        <w:rPr>
          <w:sz w:val="22"/>
          <w:szCs w:val="22"/>
        </w:rPr>
        <w:t xml:space="preserve">Download it from </w:t>
      </w:r>
      <w:proofErr w:type="spellStart"/>
      <w:r w:rsidRPr="00FB7508">
        <w:rPr>
          <w:sz w:val="22"/>
          <w:szCs w:val="22"/>
        </w:rPr>
        <w:t>GenomeWeb’s</w:t>
      </w:r>
      <w:proofErr w:type="spellEnd"/>
      <w:r w:rsidRPr="00FB7508">
        <w:rPr>
          <w:sz w:val="22"/>
          <w:szCs w:val="22"/>
        </w:rPr>
        <w:t xml:space="preserve"> </w:t>
      </w:r>
      <w:hyperlink r:id="rId1024" w:history="1">
        <w:r w:rsidRPr="00FB7508">
          <w:rPr>
            <w:rStyle w:val="Hyperlink"/>
            <w:sz w:val="22"/>
            <w:szCs w:val="22"/>
          </w:rPr>
          <w:t>White Paper Channel</w:t>
        </w:r>
      </w:hyperlink>
      <w:r w:rsidRPr="00FB7508">
        <w:rPr>
          <w:sz w:val="22"/>
          <w:szCs w:val="22"/>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77777777" w:rsidR="00D3538E" w:rsidRPr="00F36E79"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13</w:t>
      </w:r>
      <w:r w:rsidRPr="00F36E79">
        <w:rPr>
          <w:b/>
          <w:bCs/>
          <w:i/>
          <w:iCs/>
          <w:sz w:val="22"/>
          <w:szCs w:val="22"/>
        </w:rPr>
        <w:t>:</w:t>
      </w:r>
    </w:p>
    <w:p w14:paraId="1638CEB9" w14:textId="77777777" w:rsidR="00D3538E" w:rsidRPr="00F36E79" w:rsidRDefault="00D3538E" w:rsidP="00D3538E">
      <w:pPr>
        <w:rPr>
          <w:sz w:val="22"/>
          <w:szCs w:val="22"/>
        </w:rPr>
      </w:pPr>
    </w:p>
    <w:p w14:paraId="1C5F5604" w14:textId="77777777" w:rsidR="00D3538E" w:rsidRPr="00F36E79" w:rsidRDefault="00D3538E" w:rsidP="00D3538E">
      <w:pPr>
        <w:rPr>
          <w:sz w:val="22"/>
          <w:szCs w:val="22"/>
        </w:rPr>
      </w:pPr>
      <w:r w:rsidRPr="00F36E79">
        <w:rPr>
          <w:b/>
          <w:bCs/>
          <w:sz w:val="22"/>
          <w:szCs w:val="22"/>
        </w:rPr>
        <w:t>Title:</w:t>
      </w:r>
      <w:r w:rsidRPr="00F36E79">
        <w:rPr>
          <w:sz w:val="22"/>
          <w:szCs w:val="22"/>
        </w:rPr>
        <w:t xml:space="preserve"> Interpreting SMA Variants as they Relate to Disease Prognosis and Carrier Risk</w:t>
      </w:r>
    </w:p>
    <w:p w14:paraId="1073A3E2" w14:textId="77777777" w:rsidR="00D3538E" w:rsidRPr="00F36E79" w:rsidRDefault="00D3538E" w:rsidP="00D3538E">
      <w:pPr>
        <w:rPr>
          <w:sz w:val="22"/>
          <w:szCs w:val="22"/>
        </w:rPr>
      </w:pPr>
    </w:p>
    <w:p w14:paraId="3F62D311" w14:textId="77777777" w:rsidR="00D3538E" w:rsidRPr="00F36E79" w:rsidRDefault="00D3538E" w:rsidP="00D3538E">
      <w:pPr>
        <w:rPr>
          <w:sz w:val="22"/>
          <w:szCs w:val="22"/>
        </w:rPr>
      </w:pPr>
      <w:r w:rsidRPr="00F36E79">
        <w:rPr>
          <w:b/>
          <w:bCs/>
          <w:sz w:val="22"/>
          <w:szCs w:val="22"/>
        </w:rPr>
        <w:t>Body:</w:t>
      </w:r>
      <w:r w:rsidRPr="00F36E79">
        <w:rPr>
          <w:sz w:val="22"/>
          <w:szCs w:val="22"/>
        </w:rPr>
        <w:t xml:space="preserve"> This </w:t>
      </w:r>
      <w:r>
        <w:rPr>
          <w:sz w:val="22"/>
          <w:szCs w:val="22"/>
        </w:rPr>
        <w:t>white paper</w:t>
      </w:r>
      <w:r w:rsidRPr="00F36E79">
        <w:rPr>
          <w:sz w:val="22"/>
          <w:szCs w:val="22"/>
        </w:rPr>
        <w:t xml:space="preserve"> from </w:t>
      </w:r>
      <w:proofErr w:type="spellStart"/>
      <w:r w:rsidRPr="00F36E79">
        <w:rPr>
          <w:sz w:val="22"/>
          <w:szCs w:val="22"/>
        </w:rPr>
        <w:t>Asuragen</w:t>
      </w:r>
      <w:proofErr w:type="spellEnd"/>
      <w:r w:rsidRPr="00F36E79">
        <w:rPr>
          <w:sz w:val="22"/>
          <w:szCs w:val="22"/>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F36E79" w:rsidRDefault="00D3538E" w:rsidP="00D3538E">
      <w:pPr>
        <w:rPr>
          <w:sz w:val="22"/>
          <w:szCs w:val="22"/>
        </w:rPr>
      </w:pPr>
    </w:p>
    <w:p w14:paraId="616735C5" w14:textId="77777777" w:rsidR="00D3538E" w:rsidRPr="00F36E79" w:rsidRDefault="00D3538E" w:rsidP="00D3538E">
      <w:pPr>
        <w:rPr>
          <w:sz w:val="22"/>
          <w:szCs w:val="22"/>
        </w:rPr>
      </w:pPr>
      <w:r w:rsidRPr="00F36E79">
        <w:rPr>
          <w:sz w:val="22"/>
          <w:szCs w:val="22"/>
        </w:rPr>
        <w:t xml:space="preserve">Download it from </w:t>
      </w:r>
      <w:proofErr w:type="spellStart"/>
      <w:r w:rsidRPr="00F36E79">
        <w:rPr>
          <w:sz w:val="22"/>
          <w:szCs w:val="22"/>
        </w:rPr>
        <w:t>GenomeWeb’s</w:t>
      </w:r>
      <w:proofErr w:type="spellEnd"/>
      <w:r w:rsidRPr="00F36E79">
        <w:rPr>
          <w:sz w:val="22"/>
          <w:szCs w:val="22"/>
        </w:rPr>
        <w:t xml:space="preserve"> </w:t>
      </w:r>
      <w:hyperlink r:id="rId1025" w:history="1">
        <w:r w:rsidRPr="00F36E79">
          <w:rPr>
            <w:rStyle w:val="Hyperlink"/>
            <w:sz w:val="22"/>
            <w:szCs w:val="22"/>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77777777" w:rsidR="00D3538E" w:rsidRPr="009A5231"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14</w:t>
      </w:r>
      <w:r w:rsidRPr="009A5231">
        <w:rPr>
          <w:b/>
          <w:bCs/>
          <w:i/>
          <w:iCs/>
          <w:sz w:val="22"/>
          <w:szCs w:val="22"/>
        </w:rPr>
        <w:t>:</w:t>
      </w:r>
    </w:p>
    <w:p w14:paraId="7B3648FA" w14:textId="77777777" w:rsidR="00D3538E" w:rsidRPr="009A5231" w:rsidRDefault="00D3538E" w:rsidP="00D3538E">
      <w:pPr>
        <w:rPr>
          <w:sz w:val="22"/>
          <w:szCs w:val="22"/>
        </w:rPr>
      </w:pPr>
    </w:p>
    <w:p w14:paraId="6C9A97E7" w14:textId="77777777" w:rsidR="00D3538E" w:rsidRPr="009A5231" w:rsidRDefault="00D3538E" w:rsidP="00D3538E">
      <w:pPr>
        <w:rPr>
          <w:sz w:val="22"/>
          <w:szCs w:val="22"/>
        </w:rPr>
      </w:pPr>
      <w:r w:rsidRPr="009A5231">
        <w:rPr>
          <w:b/>
          <w:bCs/>
          <w:sz w:val="22"/>
          <w:szCs w:val="22"/>
        </w:rPr>
        <w:t>Title:</w:t>
      </w:r>
      <w:r w:rsidRPr="009A5231">
        <w:rPr>
          <w:sz w:val="22"/>
          <w:szCs w:val="22"/>
        </w:rPr>
        <w:t xml:space="preserve"> Single-Platform Testing of the FMR1, SMN1/2, and CFTR Gene Trio</w:t>
      </w:r>
    </w:p>
    <w:p w14:paraId="01C26724" w14:textId="77777777" w:rsidR="00D3538E" w:rsidRPr="009A5231" w:rsidRDefault="00D3538E" w:rsidP="00D3538E">
      <w:pPr>
        <w:rPr>
          <w:sz w:val="22"/>
          <w:szCs w:val="22"/>
        </w:rPr>
      </w:pPr>
    </w:p>
    <w:p w14:paraId="19FB8B0D" w14:textId="77777777" w:rsidR="00D3538E" w:rsidRPr="009A5231" w:rsidRDefault="00D3538E" w:rsidP="00D3538E">
      <w:pPr>
        <w:rPr>
          <w:sz w:val="22"/>
          <w:szCs w:val="22"/>
        </w:rPr>
      </w:pPr>
      <w:r w:rsidRPr="009A5231">
        <w:rPr>
          <w:b/>
          <w:bCs/>
          <w:sz w:val="22"/>
          <w:szCs w:val="22"/>
        </w:rPr>
        <w:t>Body:</w:t>
      </w:r>
      <w:r w:rsidRPr="009A5231">
        <w:rPr>
          <w:sz w:val="22"/>
          <w:szCs w:val="22"/>
        </w:rPr>
        <w:t xml:space="preserve"> Carrier screening for fragile X syndrome, cystic fibrosis, and spinal muscular atrophy often requires distinct molecular diagnostic methods and analysis platforms for each gene. This poster from </w:t>
      </w:r>
      <w:proofErr w:type="spellStart"/>
      <w:r w:rsidRPr="009A5231">
        <w:rPr>
          <w:sz w:val="22"/>
          <w:szCs w:val="22"/>
        </w:rPr>
        <w:t>Asuragen</w:t>
      </w:r>
      <w:proofErr w:type="spellEnd"/>
      <w:r w:rsidRPr="009A5231">
        <w:rPr>
          <w:sz w:val="22"/>
          <w:szCs w:val="22"/>
        </w:rPr>
        <w:t xml:space="preserve"> demonstrates the feasibility of trio carrier screening of FMR1, SMN1/2, and CFTR using existing workflows and a single analysis platform.</w:t>
      </w:r>
    </w:p>
    <w:p w14:paraId="62122353" w14:textId="77777777" w:rsidR="00D3538E" w:rsidRPr="009A5231" w:rsidRDefault="00D3538E" w:rsidP="00D3538E">
      <w:pPr>
        <w:rPr>
          <w:sz w:val="22"/>
          <w:szCs w:val="22"/>
        </w:rPr>
      </w:pPr>
    </w:p>
    <w:p w14:paraId="6CE2216F" w14:textId="77777777" w:rsidR="00D3538E" w:rsidRPr="009A5231" w:rsidRDefault="00D3538E" w:rsidP="00D3538E">
      <w:pPr>
        <w:rPr>
          <w:sz w:val="22"/>
          <w:szCs w:val="22"/>
        </w:rPr>
      </w:pPr>
      <w:r w:rsidRPr="009A5231">
        <w:rPr>
          <w:sz w:val="22"/>
          <w:szCs w:val="22"/>
        </w:rPr>
        <w:t xml:space="preserve">Download it from </w:t>
      </w:r>
      <w:proofErr w:type="spellStart"/>
      <w:r w:rsidRPr="009A5231">
        <w:rPr>
          <w:sz w:val="22"/>
          <w:szCs w:val="22"/>
        </w:rPr>
        <w:t>GenomeWeb’s</w:t>
      </w:r>
      <w:proofErr w:type="spellEnd"/>
      <w:r w:rsidRPr="009A5231">
        <w:rPr>
          <w:sz w:val="22"/>
          <w:szCs w:val="22"/>
        </w:rPr>
        <w:t xml:space="preserve"> </w:t>
      </w:r>
      <w:hyperlink r:id="rId1026" w:history="1">
        <w:r w:rsidRPr="009A5231">
          <w:rPr>
            <w:rStyle w:val="Hyperlink"/>
            <w:sz w:val="22"/>
            <w:szCs w:val="22"/>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77777777" w:rsidR="00D3538E" w:rsidRPr="00A138FA"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15</w:t>
      </w:r>
      <w:r w:rsidRPr="00A138FA">
        <w:rPr>
          <w:b/>
          <w:bCs/>
          <w:i/>
          <w:iCs/>
          <w:sz w:val="22"/>
          <w:szCs w:val="22"/>
        </w:rPr>
        <w:t>:</w:t>
      </w:r>
    </w:p>
    <w:p w14:paraId="4638E2D8" w14:textId="77777777" w:rsidR="00D3538E" w:rsidRPr="00A138FA" w:rsidRDefault="00D3538E" w:rsidP="00D3538E">
      <w:pPr>
        <w:rPr>
          <w:sz w:val="22"/>
          <w:szCs w:val="22"/>
        </w:rPr>
      </w:pPr>
    </w:p>
    <w:p w14:paraId="0F635B4D" w14:textId="77777777" w:rsidR="00D3538E" w:rsidRPr="00A138FA" w:rsidRDefault="00D3538E" w:rsidP="00D3538E">
      <w:pPr>
        <w:rPr>
          <w:sz w:val="22"/>
          <w:szCs w:val="22"/>
        </w:rPr>
      </w:pPr>
      <w:r w:rsidRPr="00A138FA">
        <w:rPr>
          <w:b/>
          <w:bCs/>
          <w:sz w:val="22"/>
          <w:szCs w:val="22"/>
        </w:rPr>
        <w:t>Title:</w:t>
      </w:r>
      <w:r w:rsidRPr="00A138FA">
        <w:rPr>
          <w:sz w:val="22"/>
          <w:szCs w:val="22"/>
        </w:rPr>
        <w:t xml:space="preserve"> CFTR Screening in Diverse Populations with Effective Variant Panels</w:t>
      </w:r>
    </w:p>
    <w:p w14:paraId="71B262D9" w14:textId="77777777" w:rsidR="00D3538E" w:rsidRPr="00A138FA" w:rsidRDefault="00D3538E" w:rsidP="00D3538E">
      <w:pPr>
        <w:rPr>
          <w:sz w:val="22"/>
          <w:szCs w:val="22"/>
        </w:rPr>
      </w:pPr>
    </w:p>
    <w:p w14:paraId="638722C7" w14:textId="77777777" w:rsidR="00D3538E" w:rsidRPr="00A138FA" w:rsidRDefault="00D3538E" w:rsidP="00D3538E">
      <w:pPr>
        <w:rPr>
          <w:sz w:val="22"/>
          <w:szCs w:val="22"/>
        </w:rPr>
      </w:pPr>
      <w:r w:rsidRPr="00A138FA">
        <w:rPr>
          <w:b/>
          <w:bCs/>
          <w:sz w:val="22"/>
          <w:szCs w:val="22"/>
        </w:rPr>
        <w:t>Body:</w:t>
      </w:r>
      <w:r w:rsidRPr="00A138FA">
        <w:rPr>
          <w:sz w:val="22"/>
          <w:szCs w:val="22"/>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A138FA">
        <w:rPr>
          <w:sz w:val="22"/>
          <w:szCs w:val="22"/>
        </w:rPr>
        <w:t>Asuragen</w:t>
      </w:r>
      <w:proofErr w:type="spellEnd"/>
      <w:r w:rsidRPr="00A138FA">
        <w:rPr>
          <w:sz w:val="22"/>
          <w:szCs w:val="22"/>
        </w:rPr>
        <w:t xml:space="preserve"> discusses how the expanded understanding of CF and its underlying genetics is the key to effective testing for all individuals regardless of ethnic background.</w:t>
      </w:r>
    </w:p>
    <w:p w14:paraId="524E278D" w14:textId="77777777" w:rsidR="00D3538E" w:rsidRPr="00A138FA" w:rsidRDefault="00D3538E" w:rsidP="00D3538E">
      <w:pPr>
        <w:rPr>
          <w:sz w:val="22"/>
          <w:szCs w:val="22"/>
        </w:rPr>
      </w:pPr>
    </w:p>
    <w:p w14:paraId="1B501E59" w14:textId="77777777" w:rsidR="00D3538E" w:rsidRPr="00A138FA" w:rsidRDefault="00D3538E" w:rsidP="00D3538E">
      <w:pPr>
        <w:rPr>
          <w:sz w:val="22"/>
          <w:szCs w:val="22"/>
        </w:rPr>
      </w:pPr>
      <w:r w:rsidRPr="00A138FA">
        <w:rPr>
          <w:sz w:val="22"/>
          <w:szCs w:val="22"/>
        </w:rPr>
        <w:t xml:space="preserve">Download it from </w:t>
      </w:r>
      <w:proofErr w:type="spellStart"/>
      <w:r w:rsidRPr="00A138FA">
        <w:rPr>
          <w:sz w:val="22"/>
          <w:szCs w:val="22"/>
        </w:rPr>
        <w:t>GenomeWeb’s</w:t>
      </w:r>
      <w:proofErr w:type="spellEnd"/>
      <w:r w:rsidRPr="00A138FA">
        <w:rPr>
          <w:sz w:val="22"/>
          <w:szCs w:val="22"/>
        </w:rPr>
        <w:t xml:space="preserve"> </w:t>
      </w:r>
      <w:hyperlink r:id="rId1027" w:history="1">
        <w:r w:rsidRPr="00A138FA">
          <w:rPr>
            <w:rStyle w:val="Hyperlink"/>
            <w:sz w:val="22"/>
            <w:szCs w:val="22"/>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726C1F53" w14:textId="77777777" w:rsidR="00601EE5" w:rsidRDefault="00601EE5" w:rsidP="00601EE5">
      <w:pPr>
        <w:rPr>
          <w:b/>
          <w:bCs/>
          <w:i/>
          <w:iCs/>
          <w:sz w:val="22"/>
          <w:szCs w:val="22"/>
        </w:rPr>
      </w:pPr>
    </w:p>
    <w:p w14:paraId="38FAA3C5" w14:textId="77777777" w:rsidR="00601EE5" w:rsidRPr="0034798E" w:rsidRDefault="00601EE5" w:rsidP="00601EE5">
      <w:pPr>
        <w:rPr>
          <w:b/>
          <w:bCs/>
          <w:i/>
          <w:iCs/>
          <w:sz w:val="22"/>
          <w:szCs w:val="22"/>
        </w:rPr>
      </w:pPr>
      <w:proofErr w:type="spellStart"/>
      <w:r w:rsidRPr="00FD0FFE">
        <w:rPr>
          <w:b/>
          <w:bCs/>
          <w:i/>
          <w:iCs/>
          <w:sz w:val="22"/>
          <w:szCs w:val="22"/>
        </w:rPr>
        <w:t>Thermo</w:t>
      </w:r>
      <w:proofErr w:type="spellEnd"/>
      <w:r w:rsidRPr="00FD0FFE">
        <w:rPr>
          <w:b/>
          <w:bCs/>
          <w:i/>
          <w:iCs/>
          <w:sz w:val="22"/>
          <w:szCs w:val="22"/>
        </w:rPr>
        <w:t xml:space="preserve"> Fisher GW White Paper 18</w:t>
      </w:r>
      <w:r w:rsidRPr="0034798E">
        <w:rPr>
          <w:b/>
          <w:bCs/>
          <w:i/>
          <w:iCs/>
          <w:sz w:val="22"/>
          <w:szCs w:val="22"/>
        </w:rPr>
        <w:t>:</w:t>
      </w:r>
    </w:p>
    <w:p w14:paraId="026996B6" w14:textId="77777777" w:rsidR="00601EE5" w:rsidRPr="00317785" w:rsidRDefault="00601EE5" w:rsidP="00601EE5">
      <w:pPr>
        <w:rPr>
          <w:sz w:val="22"/>
          <w:szCs w:val="22"/>
        </w:rPr>
      </w:pPr>
    </w:p>
    <w:p w14:paraId="27C764F0" w14:textId="77777777" w:rsidR="00601EE5" w:rsidRDefault="00601EE5" w:rsidP="00601EE5">
      <w:pPr>
        <w:rPr>
          <w:sz w:val="22"/>
          <w:szCs w:val="22"/>
        </w:rPr>
      </w:pPr>
      <w:r w:rsidRPr="004D426A">
        <w:rPr>
          <w:b/>
          <w:bCs/>
          <w:sz w:val="22"/>
          <w:szCs w:val="22"/>
        </w:rPr>
        <w:t>Title:</w:t>
      </w:r>
      <w:r w:rsidRPr="00317785">
        <w:rPr>
          <w:sz w:val="22"/>
          <w:szCs w:val="22"/>
        </w:rPr>
        <w:t xml:space="preserve"> </w:t>
      </w:r>
      <w:r>
        <w:rPr>
          <w:sz w:val="22"/>
          <w:szCs w:val="22"/>
        </w:rPr>
        <w:t>Why Accurate Detection and Identification of Respiratory Pathogens is at the Core of Treatment</w:t>
      </w:r>
    </w:p>
    <w:p w14:paraId="27781419" w14:textId="77777777" w:rsidR="00601EE5" w:rsidRPr="00317785" w:rsidRDefault="00601EE5" w:rsidP="00601EE5">
      <w:pPr>
        <w:rPr>
          <w:sz w:val="22"/>
          <w:szCs w:val="22"/>
        </w:rPr>
      </w:pPr>
    </w:p>
    <w:p w14:paraId="44A7C372"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t>
      </w:r>
      <w:r>
        <w:rPr>
          <w:sz w:val="22"/>
          <w:szCs w:val="22"/>
        </w:rPr>
        <w:t>infographic</w:t>
      </w:r>
      <w:r w:rsidRPr="000F09D8">
        <w:rPr>
          <w:sz w:val="22"/>
          <w:szCs w:val="22"/>
        </w:rPr>
        <w:t xml:space="preserve"> from </w:t>
      </w:r>
      <w:proofErr w:type="spellStart"/>
      <w:r w:rsidRPr="000F09D8">
        <w:rPr>
          <w:sz w:val="22"/>
          <w:szCs w:val="22"/>
        </w:rPr>
        <w:t>Thermo</w:t>
      </w:r>
      <w:proofErr w:type="spellEnd"/>
      <w:r w:rsidRPr="000F09D8">
        <w:rPr>
          <w:sz w:val="22"/>
          <w:szCs w:val="22"/>
        </w:rPr>
        <w:t xml:space="preserve"> Fisher Scientific </w:t>
      </w:r>
      <w:r>
        <w:rPr>
          <w:sz w:val="22"/>
          <w:szCs w:val="22"/>
        </w:rPr>
        <w:t>summarizes pathogens, symptoms, and testing methods for respiratory tract infections and describes the benefits of molecular testing.</w:t>
      </w:r>
    </w:p>
    <w:p w14:paraId="7301C760"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r w:rsidRPr="000F09D8">
        <w:rPr>
          <w:sz w:val="22"/>
          <w:szCs w:val="22"/>
          <w:u w:val="single"/>
        </w:rPr>
        <w:t>White Paper Channel</w:t>
      </w:r>
      <w:r w:rsidRPr="000F09D8">
        <w:rPr>
          <w:sz w:val="22"/>
          <w:szCs w:val="22"/>
        </w:rPr>
        <w:t>.</w:t>
      </w:r>
    </w:p>
    <w:p w14:paraId="264A9B59" w14:textId="77777777" w:rsidR="00601EE5" w:rsidRDefault="00601EE5" w:rsidP="00601EE5">
      <w:pPr>
        <w:rPr>
          <w:sz w:val="22"/>
          <w:szCs w:val="22"/>
        </w:rPr>
      </w:pPr>
    </w:p>
    <w:p w14:paraId="17366759" w14:textId="77777777" w:rsidR="00601EE5" w:rsidRDefault="00601EE5" w:rsidP="00601EE5">
      <w:pPr>
        <w:rPr>
          <w:sz w:val="22"/>
          <w:szCs w:val="22"/>
        </w:rPr>
      </w:pPr>
      <w:r>
        <w:rPr>
          <w:sz w:val="22"/>
          <w:szCs w:val="22"/>
        </w:rPr>
        <w:t>--</w:t>
      </w:r>
    </w:p>
    <w:p w14:paraId="1D2775C9" w14:textId="77777777" w:rsidR="00601EE5" w:rsidRDefault="00601EE5" w:rsidP="00601EE5">
      <w:pPr>
        <w:rPr>
          <w:sz w:val="22"/>
          <w:szCs w:val="22"/>
        </w:rPr>
      </w:pPr>
    </w:p>
    <w:p w14:paraId="0DDE5931" w14:textId="77777777" w:rsidR="00601EE5" w:rsidRPr="0034798E" w:rsidRDefault="00601EE5" w:rsidP="00601EE5">
      <w:pPr>
        <w:rPr>
          <w:b/>
          <w:bCs/>
          <w:i/>
          <w:iCs/>
          <w:sz w:val="22"/>
          <w:szCs w:val="22"/>
        </w:rPr>
      </w:pPr>
      <w:proofErr w:type="spellStart"/>
      <w:r w:rsidRPr="00FD0FFE">
        <w:rPr>
          <w:b/>
          <w:bCs/>
          <w:i/>
          <w:iCs/>
          <w:sz w:val="22"/>
          <w:szCs w:val="22"/>
        </w:rPr>
        <w:t>Thermo</w:t>
      </w:r>
      <w:proofErr w:type="spellEnd"/>
      <w:r w:rsidRPr="00FD0FFE">
        <w:rPr>
          <w:b/>
          <w:bCs/>
          <w:i/>
          <w:iCs/>
          <w:sz w:val="22"/>
          <w:szCs w:val="22"/>
        </w:rPr>
        <w:t xml:space="preserve"> Fisher 360Dx White Paper 18</w:t>
      </w:r>
      <w:r w:rsidRPr="0034798E">
        <w:rPr>
          <w:b/>
          <w:bCs/>
          <w:i/>
          <w:iCs/>
          <w:sz w:val="22"/>
          <w:szCs w:val="22"/>
        </w:rPr>
        <w:t>:</w:t>
      </w:r>
    </w:p>
    <w:p w14:paraId="261076FB" w14:textId="77777777" w:rsidR="00601EE5" w:rsidRPr="00317785" w:rsidRDefault="00601EE5" w:rsidP="00601EE5">
      <w:pPr>
        <w:rPr>
          <w:sz w:val="22"/>
          <w:szCs w:val="22"/>
        </w:rPr>
      </w:pPr>
    </w:p>
    <w:p w14:paraId="60B14E47" w14:textId="77777777" w:rsidR="00601EE5" w:rsidRDefault="00601EE5" w:rsidP="00601EE5">
      <w:pPr>
        <w:rPr>
          <w:sz w:val="22"/>
          <w:szCs w:val="22"/>
        </w:rPr>
      </w:pPr>
      <w:r w:rsidRPr="004D426A">
        <w:rPr>
          <w:b/>
          <w:bCs/>
          <w:sz w:val="22"/>
          <w:szCs w:val="22"/>
        </w:rPr>
        <w:t>Title:</w:t>
      </w:r>
      <w:r w:rsidRPr="00317785">
        <w:rPr>
          <w:sz w:val="22"/>
          <w:szCs w:val="22"/>
        </w:rPr>
        <w:t xml:space="preserve"> </w:t>
      </w:r>
      <w:r>
        <w:rPr>
          <w:sz w:val="22"/>
          <w:szCs w:val="22"/>
        </w:rPr>
        <w:t>Why Accurate Detection and Identification of Respiratory Pathogens is at the Core of Treatment</w:t>
      </w:r>
    </w:p>
    <w:p w14:paraId="0D14E47F" w14:textId="77777777" w:rsidR="00601EE5" w:rsidRPr="00317785" w:rsidRDefault="00601EE5" w:rsidP="00601EE5">
      <w:pPr>
        <w:rPr>
          <w:sz w:val="22"/>
          <w:szCs w:val="22"/>
        </w:rPr>
      </w:pPr>
    </w:p>
    <w:p w14:paraId="758E826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t>
      </w:r>
      <w:r>
        <w:rPr>
          <w:sz w:val="22"/>
          <w:szCs w:val="22"/>
        </w:rPr>
        <w:t>infographic</w:t>
      </w:r>
      <w:r w:rsidRPr="000F09D8">
        <w:rPr>
          <w:sz w:val="22"/>
          <w:szCs w:val="22"/>
        </w:rPr>
        <w:t xml:space="preserve"> from </w:t>
      </w:r>
      <w:proofErr w:type="spellStart"/>
      <w:r w:rsidRPr="000F09D8">
        <w:rPr>
          <w:sz w:val="22"/>
          <w:szCs w:val="22"/>
        </w:rPr>
        <w:t>Thermo</w:t>
      </w:r>
      <w:proofErr w:type="spellEnd"/>
      <w:r w:rsidRPr="000F09D8">
        <w:rPr>
          <w:sz w:val="22"/>
          <w:szCs w:val="22"/>
        </w:rPr>
        <w:t xml:space="preserve"> Fisher Scientific </w:t>
      </w:r>
      <w:r>
        <w:rPr>
          <w:sz w:val="22"/>
          <w:szCs w:val="22"/>
        </w:rPr>
        <w:t>summarizes pathogens, symptoms, and testing methods for respiratory tract infections and describes the benefits of molecular testing.</w:t>
      </w:r>
    </w:p>
    <w:p w14:paraId="772E6277" w14:textId="77777777" w:rsidR="00601EE5" w:rsidRPr="00317785" w:rsidRDefault="00601EE5" w:rsidP="00601EE5">
      <w:pPr>
        <w:rPr>
          <w:sz w:val="22"/>
          <w:szCs w:val="22"/>
        </w:rPr>
      </w:pPr>
    </w:p>
    <w:p w14:paraId="49846B89" w14:textId="77777777" w:rsidR="00601EE5" w:rsidRDefault="00601EE5" w:rsidP="00601EE5">
      <w:pPr>
        <w:rPr>
          <w:sz w:val="22"/>
          <w:szCs w:val="22"/>
        </w:rPr>
      </w:pPr>
      <w:r w:rsidRPr="0034798E">
        <w:rPr>
          <w:sz w:val="22"/>
          <w:szCs w:val="22"/>
        </w:rPr>
        <w:t xml:space="preserve">Download it from </w:t>
      </w:r>
      <w:r>
        <w:rPr>
          <w:sz w:val="22"/>
          <w:szCs w:val="22"/>
        </w:rPr>
        <w:t xml:space="preserve">the </w:t>
      </w:r>
      <w:r>
        <w:rPr>
          <w:sz w:val="22"/>
          <w:szCs w:val="22"/>
          <w:u w:val="single"/>
        </w:rPr>
        <w:t>360Dx</w:t>
      </w:r>
      <w:r w:rsidRPr="0034798E">
        <w:rPr>
          <w:sz w:val="22"/>
          <w:szCs w:val="22"/>
          <w:u w:val="single"/>
        </w:rPr>
        <w:t xml:space="preserve"> White Paper Channel</w:t>
      </w:r>
      <w:r w:rsidRPr="0034798E">
        <w:rPr>
          <w:sz w:val="22"/>
          <w:szCs w:val="22"/>
        </w:rPr>
        <w:t>.</w:t>
      </w:r>
    </w:p>
    <w:p w14:paraId="781E4DCB" w14:textId="77777777" w:rsidR="00601EE5" w:rsidRPr="00777DB8" w:rsidRDefault="00601EE5" w:rsidP="00601EE5">
      <w:pPr>
        <w:rPr>
          <w:sz w:val="22"/>
          <w:szCs w:val="22"/>
        </w:rPr>
      </w:pPr>
    </w:p>
    <w:p w14:paraId="3D9B5B95" w14:textId="77777777" w:rsidR="00601EE5" w:rsidRPr="00777DB8" w:rsidRDefault="00601EE5" w:rsidP="00601EE5">
      <w:pPr>
        <w:rPr>
          <w:sz w:val="22"/>
          <w:szCs w:val="22"/>
        </w:rPr>
      </w:pPr>
      <w:r w:rsidRPr="00777DB8">
        <w:rPr>
          <w:sz w:val="22"/>
          <w:szCs w:val="22"/>
        </w:rPr>
        <w:t>--</w:t>
      </w: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lastRenderedPageBreak/>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27EB497" w14:textId="77777777" w:rsidR="004827C5" w:rsidRDefault="004827C5" w:rsidP="004827C5"/>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B624" w14:textId="77777777" w:rsidR="00F43D31" w:rsidRDefault="00F43D31" w:rsidP="001C010E">
      <w:r>
        <w:separator/>
      </w:r>
    </w:p>
  </w:endnote>
  <w:endnote w:type="continuationSeparator" w:id="0">
    <w:p w14:paraId="0B8C6BCF" w14:textId="77777777" w:rsidR="00F43D31" w:rsidRDefault="00F43D31"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B3639" w14:textId="77777777" w:rsidR="00F43D31" w:rsidRDefault="00F43D31" w:rsidP="001C010E">
      <w:r>
        <w:separator/>
      </w:r>
    </w:p>
  </w:footnote>
  <w:footnote w:type="continuationSeparator" w:id="0">
    <w:p w14:paraId="0FC11386" w14:textId="77777777" w:rsidR="00F43D31" w:rsidRDefault="00F43D31"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D18AD"/>
    <w:rsid w:val="009D4E5A"/>
    <w:rsid w:val="009D74D5"/>
    <w:rsid w:val="009E014D"/>
    <w:rsid w:val="009E2104"/>
    <w:rsid w:val="009E2142"/>
    <w:rsid w:val="009E2244"/>
    <w:rsid w:val="009E59E9"/>
    <w:rsid w:val="009F156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52" Type="http://schemas.openxmlformats.org/officeDocument/2006/relationships/hyperlink" Target="https://www.genomeweb.com/resources/white-papers/drop-crystal-digital-pcr-nras-kras-egfr-mutations"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897" Type="http://schemas.openxmlformats.org/officeDocument/2006/relationships/hyperlink" Target="http://www.genomeweb.com/events/biomarker-analyses-post-covid-19-neurological-complications" TargetMode="External"/><Relationship Id="rId922" Type="http://schemas.openxmlformats.org/officeDocument/2006/relationships/hyperlink" Target="http://www.genomeweb.com/white-paper/high-throughput-automated-intip-spe-combined-albusorb-products-efficient-albumin-and"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147" Type="http://schemas.openxmlformats.org/officeDocument/2006/relationships/hyperlink" Target="https://www.genomeweb.com/resources/white-papers/development-and-verification-htg-edgeseq-reveal-immune-stroma-and-tme" TargetMode="External"/><Relationship Id="rId312" Type="http://schemas.openxmlformats.org/officeDocument/2006/relationships/hyperlink" Target="https://www.genomeweb.com/resources/webinars/spatial-profiling-lung-tissue-sars-cov-2-positive-rapid-autopsies" TargetMode="External"/><Relationship Id="rId354" Type="http://schemas.openxmlformats.org/officeDocument/2006/relationships/hyperlink" Target="https://www.genomeweb.com/resources/webinars/plasma-protein-patterns-comprehensive-indicators-health" TargetMode="External"/><Relationship Id="rId757" Type="http://schemas.openxmlformats.org/officeDocument/2006/relationships/hyperlink" Target="http://www.precisiononcologynews.com/white-paper/best-spatial-biology-publications-2020" TargetMode="External"/><Relationship Id="rId799" Type="http://schemas.openxmlformats.org/officeDocument/2006/relationships/hyperlink" Target="http://www.precisiononcologynews.com/white-paper/development-novel-reference-material-minimal-residual-disease-monitoring-assays" TargetMode="External"/><Relationship Id="rId964" Type="http://schemas.openxmlformats.org/officeDocument/2006/relationships/hyperlink" Target="http://www.genomeweb.com/events/dna-script-syntax-system-workflow" TargetMode="External"/><Relationship Id="rId51" Type="http://schemas.openxmlformats.org/officeDocument/2006/relationships/hyperlink" Target="https://www.360dx.com/resources/white-papers/elisa-guide-clear-and-easy-guide-elisas"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561" Type="http://schemas.openxmlformats.org/officeDocument/2006/relationships/hyperlink" Target="https://www.360dx.com/resources/white-papers/how-start-covid-19-testing-your-lab" TargetMode="External"/><Relationship Id="rId617" Type="http://schemas.openxmlformats.org/officeDocument/2006/relationships/hyperlink" Target="http://www.genomeweb.com/white-paper/troubleshooting-automation" TargetMode="External"/><Relationship Id="rId659" Type="http://schemas.openxmlformats.org/officeDocument/2006/relationships/hyperlink" Target="http://www.genomeweb.com/white-paper/using-nanodrop-spectrophotometers-nmr-xrc-and-cryo-em-workflows-structural-biology" TargetMode="External"/><Relationship Id="rId824" Type="http://schemas.openxmlformats.org/officeDocument/2006/relationships/hyperlink" Target="http://www.genomeweb.com/events/time-delay-integration-tdi-imaging"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56" Type="http://schemas.openxmlformats.org/officeDocument/2006/relationships/hyperlink" Target="https://www.genomeweb.com/resources/white-papers/accelerate-covid-19-research-new-insights-world-class-proteomics"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463" Type="http://schemas.openxmlformats.org/officeDocument/2006/relationships/hyperlink" Target="https://www.genomeweb.com/resources/white-papers/rapid-pcr-amplification-promega-powerplex-fusion-6c-kit-using-streck-real" TargetMode="External"/><Relationship Id="rId519" Type="http://schemas.openxmlformats.org/officeDocument/2006/relationships/hyperlink" Target="https://www.genomeweb.com/resources/white-papers/aml-sample-report-european-guidelines" TargetMode="External"/><Relationship Id="rId670" Type="http://schemas.openxmlformats.org/officeDocument/2006/relationships/hyperlink" Target="https://www.precisiononcologynews.com/white-paper/understanding-uncommon-how-confidently-identify-rare-cancer-mutations-qci-interpret-one" TargetMode="External"/><Relationship Id="rId1051" Type="http://schemas.openxmlformats.org/officeDocument/2006/relationships/hyperlink" Target="http://www.precisiononcologynews.com/white-paper/deep-ultra-high-plex-spatial-phenotyping-human-cancer-tissues" TargetMode="Externa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fontTable" Target="fontTable.xm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theme" Target="theme/theme1.xm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252</Pages>
  <Words>85569</Words>
  <Characters>487745</Characters>
  <Application>Microsoft Office Word</Application>
  <DocSecurity>0</DocSecurity>
  <Lines>4064</Lines>
  <Paragraphs>1144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4</cp:revision>
  <dcterms:created xsi:type="dcterms:W3CDTF">2022-06-20T16:37:00Z</dcterms:created>
  <dcterms:modified xsi:type="dcterms:W3CDTF">2022-06-20T21:35:00Z</dcterms:modified>
</cp:coreProperties>
</file>