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ind w:left="0"/>
        <w:jc w:val="both"/>
        <w:rPr>
          <w:rFonts w:cs="Times New Roman"/>
        </w:rPr>
      </w:pPr>
      <w:r>
        <w:rPr>
          <w:rFonts w:ascii="Nimbus Roman" w:hAnsi="Nimbus Roman"/>
          <w:sz w:val="28"/>
          <w:szCs w:val="28"/>
          <w:shd w:fill="auto" w:val="clear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высшего образования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ВОРОНЕЖСКИЙ ФИЛИАЛ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КОЛЛЕДЖ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Отчет</w:t>
      </w:r>
    </w:p>
    <w:p>
      <w:pPr>
        <w:pStyle w:val="Normal"/>
        <w:spacing w:lineRule="auto" w:line="240" w:before="0" w:after="0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по практической №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8</w:t>
      </w:r>
    </w:p>
    <w:p>
      <w:pPr>
        <w:pStyle w:val="Normal"/>
        <w:spacing w:lineRule="auto" w:line="240" w:before="0" w:after="0"/>
        <w:rPr/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По дисциплине: «</w:t>
      </w:r>
      <w:bookmarkStart w:id="0" w:name="yui_3_17_2_1_1773306765237_47"/>
      <w:bookmarkEnd w:id="0"/>
      <w:r>
        <w:rPr>
          <w:rFonts w:cs="Times New Roman" w:ascii="Times New Roman" w:hAnsi="Times New Roman"/>
          <w:b/>
          <w:bCs/>
          <w:i w:val="false"/>
          <w:caps w:val="false"/>
          <w:smallCaps w:val="false"/>
          <w:color w:val="212529"/>
          <w:spacing w:val="0"/>
          <w:sz w:val="28"/>
          <w:szCs w:val="28"/>
        </w:rPr>
        <w:t>Технология разработки программного обеспечения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 xml:space="preserve">» </w:t>
      </w:r>
    </w:p>
    <w:p>
      <w:pPr>
        <w:pStyle w:val="Normal"/>
        <w:spacing w:lineRule="auto" w:line="240" w:before="0" w:after="0"/>
        <w:rPr/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На тему «</w:t>
      </w:r>
      <w:r>
        <w:rPr>
          <w:rStyle w:val="Strong"/>
          <w:rFonts w:eastAsia="" w:cs="Times New Roman" w:ascii="Nimbus Roman" w:hAnsi="Nimbus Roman" w:eastAsiaTheme="minorEastAsia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Тестирование на основе UML-диаграммы автомата</w:t>
      </w: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»</w:t>
      </w:r>
    </w:p>
    <w:p>
      <w:pPr>
        <w:pStyle w:val="Normal"/>
        <w:spacing w:lineRule="auto" w:line="240" w:before="0" w:after="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                                 </w:t>
      </w:r>
    </w:p>
    <w:p>
      <w:pPr>
        <w:pStyle w:val="Normal"/>
        <w:spacing w:lineRule="auto" w:line="360" w:before="0" w:after="0"/>
        <w:ind w:firstLine="709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>Пащенко Данил Владимирович</w:t>
      </w:r>
    </w:p>
    <w:p>
      <w:pPr>
        <w:pStyle w:val="Normal"/>
        <w:spacing w:lineRule="auto" w:line="360" w:before="0" w:after="0"/>
        <w:ind w:firstLine="709"/>
        <w:jc w:val="center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студента 3 курса группы CИд-023 </w:t>
      </w:r>
    </w:p>
    <w:p>
      <w:pPr>
        <w:pStyle w:val="Normal"/>
        <w:spacing w:lineRule="auto" w:line="360" w:before="0" w:after="0"/>
        <w:ind w:firstLine="709"/>
        <w:jc w:val="both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по специальности 09.02.07 Информационные системы и программирование </w:t>
      </w:r>
    </w:p>
    <w:p>
      <w:pPr>
        <w:pStyle w:val="Normal"/>
        <w:spacing w:lineRule="auto" w:line="360" w:before="0" w:after="0"/>
        <w:ind w:firstLine="709"/>
        <w:jc w:val="both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форма обучения: очная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" w:cs="Times New Roman" w:eastAsiaTheme="minorEastAsia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" w:cs="Times New Roman" w:eastAsiaTheme="minorEastAsia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eastAsia="" w:cs="Times New Roman" w:eastAsiaTheme="minorEastAsia"/>
          <w:sz w:val="28"/>
          <w:szCs w:val="28"/>
          <w:highlight w:val="none"/>
          <w:shd w:fill="auto" w:val="clear"/>
        </w:rPr>
      </w:pPr>
      <w:r>
        <w:rPr>
          <w:rFonts w:eastAsia="" w:cs="Times New Roman" w:eastAsiaTheme="minorEastAsia" w:ascii="Times New Roman" w:hAnsi="Times New Roman"/>
          <w:sz w:val="28"/>
          <w:szCs w:val="28"/>
          <w:shd w:fill="auto" w:val="clear"/>
        </w:rPr>
      </w:r>
    </w:p>
    <w:p>
      <w:pPr>
        <w:pStyle w:val="Normal"/>
        <w:spacing w:lineRule="auto" w:line="360" w:before="0" w:after="0"/>
        <w:ind w:firstLine="709" w:left="482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Выполнил:</w:t>
      </w: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Пащенко Д.В.</w:t>
      </w:r>
    </w:p>
    <w:p>
      <w:pPr>
        <w:pStyle w:val="Normal"/>
        <w:spacing w:lineRule="auto" w:line="360" w:before="0" w:after="0"/>
        <w:ind w:firstLine="709" w:left="4820"/>
        <w:rPr>
          <w:rFonts w:eastAsia="" w:eastAsiaTheme="minorEastAsia"/>
          <w:highlight w:val="none"/>
          <w:shd w:fill="auto" w:val="clear"/>
        </w:rPr>
      </w:pPr>
      <w:r>
        <w:rPr>
          <w:rFonts w:eastAsia="" w:cs="Times New Roman" w:ascii="Times New Roman" w:hAnsi="Times New Roman" w:eastAsiaTheme="minorEastAsia"/>
          <w:b/>
          <w:bCs/>
          <w:sz w:val="28"/>
          <w:szCs w:val="28"/>
          <w:shd w:fill="auto" w:val="clear"/>
        </w:rPr>
        <w:t>Проверила:</w:t>
      </w:r>
      <w:r>
        <w:rPr>
          <w:rFonts w:eastAsia="" w:cs="Times New Roman" w:ascii="Times New Roman" w:hAnsi="Times New Roman" w:eastAsiaTheme="minorEastAsia"/>
          <w:sz w:val="28"/>
          <w:szCs w:val="28"/>
          <w:shd w:fill="auto" w:val="clear"/>
        </w:rPr>
        <w:t xml:space="preserve"> Назарова О.И.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Дата:</w:t>
      </w:r>
    </w:p>
    <w:p>
      <w:pPr>
        <w:pStyle w:val="Normal"/>
        <w:spacing w:lineRule="auto" w:line="360" w:before="0" w:after="0"/>
        <w:ind w:firstLine="709" w:left="48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cs="Times New Roman" w:ascii="Times New Roman" w:hAnsi="Times New Roman"/>
          <w:b/>
          <w:bCs/>
          <w:sz w:val="28"/>
          <w:szCs w:val="28"/>
        </w:rPr>
        <w:t>Оценка:</w:t>
      </w:r>
      <w:r>
        <w:rPr>
          <w:rFonts w:cs="Times New Roman" w:ascii="Times New Roman" w:hAnsi="Times New Roman"/>
          <w:b/>
          <w:bCs/>
          <w:sz w:val="28"/>
          <w:szCs w:val="28"/>
          <w:u w:val="single"/>
        </w:rPr>
        <w:tab/>
        <w:tab/>
        <w:tab/>
        <w:tab/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               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2026 г.</w:t>
      </w:r>
    </w:p>
    <w:p>
      <w:pPr>
        <w:pStyle w:val="Heading3"/>
        <w:spacing w:lineRule="auto" w:line="360"/>
        <w:ind w:firstLine="709" w:left="0"/>
        <w:jc w:val="both"/>
        <w:rPr/>
      </w:pPr>
      <w:r>
        <w:rPr>
          <w:rStyle w:val="Strong"/>
          <w:rFonts w:cs="Times New Roman"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Практическая работа №8: </w:t>
      </w:r>
    </w:p>
    <w:p>
      <w:pPr>
        <w:pStyle w:val="Heading3"/>
        <w:spacing w:lineRule="auto" w:line="360"/>
        <w:ind w:firstLine="709" w:left="0"/>
        <w:jc w:val="both"/>
        <w:rPr/>
      </w:pPr>
      <w:r>
        <w:rPr>
          <w:rStyle w:val="Strong"/>
          <w:rFonts w:cs="Times New Roman"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Тестирование на основе UML-диаграммы автомата</w:t>
      </w:r>
    </w:p>
    <w:p>
      <w:pPr>
        <w:pStyle w:val="Heading4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Цель работы: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Получение базовых навыков описания вариантов использования (Use Cases) для последующей подготовки тестирования на основе UML-диаграмм, построенных для системы управления качеством «QMS-Bank».</w:t>
      </w:r>
    </w:p>
    <w:p>
      <w:pPr>
        <w:pStyle w:val="Heading4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1.</w:t>
      </w: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 Полная диаграмма вариантов использования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Fonts w:ascii="Nimbus Roman" w:hAnsi="Nimbus Roman"/>
          <w:sz w:val="28"/>
          <w:szCs w:val="28"/>
        </w:rPr>
      </w:pPr>
      <w:r>
        <w:rPr>
          <w:rFonts w:ascii="Nimbus Roman" w:hAnsi="Nimbus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975360</wp:posOffset>
            </wp:positionH>
            <wp:positionV relativeFrom="paragraph">
              <wp:posOffset>-216535</wp:posOffset>
            </wp:positionV>
            <wp:extent cx="4217035" cy="3644900"/>
            <wp:effectExtent l="0" t="0" r="0" b="0"/>
            <wp:wrapSquare wrapText="largest"/>
            <wp:docPr id="1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703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>
          <w:rStyle w:val="Strong"/>
          <w:rFonts w:ascii="Nimbus Roman" w:hAnsi="Nimbus Roman"/>
          <w:b w:val="false"/>
          <w:bCs w:val="false"/>
          <w:i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0" w:after="0"/>
        <w:ind w:hanging="0" w:left="0" w:right="0"/>
        <w:jc w:val="both"/>
        <w:rPr/>
      </w:pPr>
      <w:r>
        <w:rPr>
          <w:rStyle w:val="Strong"/>
          <w:rFonts w:ascii="Nimbus Roman" w:hAnsi="Nimbus Roman"/>
          <w:b w:val="false"/>
          <w:bCs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Рисунок 1 - Диаграмма вариантов использования (Use Case)</w:t>
      </w:r>
    </w:p>
    <w:p>
      <w:pPr>
        <w:pStyle w:val="Heading4"/>
        <w:widowControl/>
        <w:spacing w:lineRule="auto" w:line="360" w:before="240" w:after="240"/>
        <w:ind w:firstLine="709" w:left="0" w:right="0"/>
        <w:jc w:val="both"/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</w:r>
    </w:p>
    <w:p>
      <w:pPr>
        <w:pStyle w:val="Heading5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Вариант использования №1 (Актор: Директор по качеству)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1. Графическое представление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Центральный элемент: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Эллипс с названием «Проанализировать тональность отзывов».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Актор: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Человечек «Директор по качеству», соединенный линией с эллипсом.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Границы системы: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Прямоугольник «QMS-Bank», внутри которого находится эллипс.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Связи (опционально):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Можно показать стрелкой</w:t>
      </w:r>
      <w:r>
        <w:rPr>
          <w:rStyle w:val="Style13"/>
          <w:rFonts w:ascii="Nimbus Roman" w:hAnsi="Nimbus Roman" w:eastAsiaTheme="minorEastAsia"/>
          <w:b w:val="false"/>
          <w:i w:val="false"/>
          <w:caps w:val="false"/>
          <w:smallCaps w:val="false"/>
          <w:color w:val="C9211E"/>
          <w:spacing w:val="0"/>
          <w:sz w:val="28"/>
          <w:szCs w:val="28"/>
          <w:shd w:fill="auto" w:val="clear"/>
        </w:rPr>
        <w:t xml:space="preserve">  </w:t>
      </w:r>
      <w:r>
        <w:rPr>
          <w:rStyle w:val="Style13"/>
          <w:rFonts w:ascii="Nimbus Roman" w:hAnsi="Nimbus Roman" w:eastAsiaTheme="minorEastAsia"/>
          <w:b w:val="false"/>
          <w:i w:val="false"/>
          <w:caps w:val="false"/>
          <w:smallCaps w:val="false"/>
          <w:color w:val="1B1B1B"/>
          <w:spacing w:val="0"/>
          <w:sz w:val="28"/>
          <w:szCs w:val="28"/>
          <w:shd w:fill="auto" w:val="clear"/>
        </w:rPr>
        <w:t xml:space="preserve">&lt;&lt;include&gt;&gt; </w:t>
      </w:r>
      <w:r>
        <w:rPr>
          <w:rStyle w:val="Style13"/>
          <w:rFonts w:ascii="Nimbus Roman" w:hAnsi="Nimbus Roman" w:eastAsiaTheme="minorEastAsia"/>
          <w:b w:val="false"/>
          <w:i w:val="false"/>
          <w:caps w:val="false"/>
          <w:smallCaps w:val="false"/>
          <w:color w:val="C9211E"/>
          <w:spacing w:val="0"/>
          <w:sz w:val="28"/>
          <w:szCs w:val="28"/>
          <w:shd w:fill="auto" w:val="clear"/>
        </w:rPr>
        <w:t xml:space="preserve">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к варианту «Собрать отзывы с онлайн-платформ», так как анализ невозможен без сбора данных.</w:t>
      </w:r>
    </w:p>
    <w:p>
      <w:pPr>
        <w:pStyle w:val="Normal"/>
        <w:spacing w:lineRule="auto" w:line="360"/>
        <w:ind w:firstLine="709" w:left="0"/>
        <w:jc w:val="both"/>
        <w:rPr>
          <w:rFonts w:ascii="Nimbus Roman" w:hAnsi="Nimbus Roman"/>
          <w:sz w:val="28"/>
          <w:szCs w:val="28"/>
          <w:highlight w:val="none"/>
          <w:shd w:fill="auto" w:val="clear"/>
        </w:rPr>
      </w:pPr>
      <w:r>
        <w:rPr>
          <w:rFonts w:ascii="Nimbus Roman" w:hAnsi="Nimbus Roman"/>
          <w:sz w:val="28"/>
          <w:szCs w:val="28"/>
          <w:shd w:fill="auto" w:val="clear"/>
        </w:rPr>
      </w:r>
    </w:p>
    <w:p>
      <w:pPr>
        <w:pStyle w:val="BodyText"/>
        <w:widowControl/>
        <w:pBdr/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 w:eastAsiaTheme="minorEastAsia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2. Табличное описание</w:t>
      </w:r>
    </w:p>
    <w:tbl>
      <w:tblPr>
        <w:tblW w:w="9355" w:type="dxa"/>
        <w:jc w:val="left"/>
        <w:tblInd w:w="-7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345"/>
        <w:gridCol w:w="7010"/>
      </w:tblGrid>
      <w:tr>
        <w:trPr>
          <w:tblHeader w:val="true"/>
        </w:trPr>
        <w:tc>
          <w:tcPr>
            <w:tcW w:w="234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2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Раздел шаблона</w:t>
            </w:r>
          </w:p>
        </w:tc>
        <w:tc>
          <w:tcPr>
            <w:tcW w:w="7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2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 Варианта использования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UC-01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Наименование варианта использования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Проанализировать тональность отзывов клиентов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Актор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Директор по качеству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Позволяет Директору по качеству получить автоматическую оценку эмоциональной окраски (позитив, негатив, нейтрально) отзывов клиентов, собранных из различных источников (опросы, соцсети, CRM), для выявления проблемных зон в обслуживании.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Предварительные условия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1. Директор по качеству авторизован в системе.</w:t>
              <w:br/>
              <w:t>2. В системе за отчетный период накоплено достаточное количество текстовых отзывов.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Постусловия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1. Сформирован и отображен отчет с аналитикой по тональности.</w:t>
              <w:br/>
              <w:t>2. Директор может экспортировать или сохранить результаты анализа.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Основной поток событий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1. Актор выбирает в меню раздел «Аналитика и отчеты».</w:t>
              <w:br/>
              <w:t>2. Система отображает доступные виды аналитических отчетов.</w:t>
              <w:br/>
              <w:t>3. Актор выбирает опцию «Анализ тональности отзывов».</w:t>
              <w:br/>
              <w:t>4. Система запрашивает параметры отчета (период, источник отзывов, филиал).</w:t>
              <w:br/>
              <w:t>5. Актор задает необходимые параметры фильтрации и нажимает кнопку «Сформировать».</w:t>
              <w:br/>
              <w:t>6. Система в</w:t>
            </w:r>
            <w:r>
              <w:rPr>
                <w:rFonts w:ascii="Nimbus Roman" w:hAnsi="Nimbus Roman" w:eastAsiaTheme="minorEastAsia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ыполняет сбор отзывов за указанный период (</w:t>
            </w:r>
            <w:r>
              <w:rPr>
                <w:rStyle w:val="Style13"/>
                <w:rFonts w:ascii="Nimbus Roman" w:hAnsi="Nimbus Roman" w:eastAsiaTheme="minorEastAsia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 xml:space="preserve">&lt;&lt;include&gt;&gt; </w:t>
            </w:r>
            <w:r>
              <w:rPr>
                <w:rFonts w:ascii="Nimbus Roman" w:hAnsi="Nimbus Roman" w:eastAsiaTheme="minorEastAsia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Собр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ать отзывы с онлайн-платформ).</w:t>
              <w:br/>
              <w:t>7. Система производит анализ текстов, классифицируя их по тональности.</w:t>
              <w:br/>
              <w:t>8. Система отображает результат в виде диаграммы (например, круговой) и списка ключевых тем в негативных отзывах.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Альтернативный поток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Альтернатива А1: Детализация данных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br/>
              <w:t>1. На шаге 8 основного потока Актор нажимает на сегмент диаграммы «Негативные отзывы».</w:t>
              <w:br/>
              <w:t>2. Система отображает детальный список этих отзывов с возможностью просмотра полного текста каждого.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Исключения / Поток ошибок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Е1: Нет данных для анализа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br/>
              <w:t>1. На шаге 7 основного потока система не находит отзывов за указанный период.</w:t>
              <w:br/>
              <w:t>2. Система прерывает выполнение сценария и выводит сообщение: «За выбранный период отзывы не найдены. Измените параметры фильтра».</w:t>
              <w:br/>
              <w:t>3. Сценарий возвращается к шагу 4 основного потока.</w:t>
            </w:r>
          </w:p>
        </w:tc>
      </w:tr>
      <w:tr>
        <w:trPr/>
        <w:tc>
          <w:tcPr>
            <w:tcW w:w="234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Содержит (Includes)</w:t>
            </w:r>
          </w:p>
        </w:tc>
        <w:tc>
          <w:tcPr>
            <w:tcW w:w="701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lef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Собрать отзывы с онлайн-платформ</w:t>
            </w:r>
          </w:p>
        </w:tc>
      </w:tr>
    </w:tbl>
    <w:p>
      <w:pPr>
        <w:pStyle w:val="Heading5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Вариант использования №2 (Актор: Специалист Управления по качеству)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1. Графическое представление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Центральный элемент: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Эллипс с названием «Зарегистрировать обращение».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Актор: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Человечек «Специалист УК», соединенный линией с эллипсом.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Второй актор: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Человечек «Клиент банка» (как инициатор).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Границы системы: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Прямоугольник «QMS-Bank», внутри эллипс.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2. Табличное описание</w:t>
      </w:r>
    </w:p>
    <w:tbl>
      <w:tblPr>
        <w:tblW w:w="9355" w:type="dxa"/>
        <w:jc w:val="left"/>
        <w:tblInd w:w="-7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2459"/>
        <w:gridCol w:w="6896"/>
      </w:tblGrid>
      <w:tr>
        <w:trPr>
          <w:tblHeader w:val="true"/>
        </w:trPr>
        <w:tc>
          <w:tcPr>
            <w:tcW w:w="24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2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Раздел шаблона</w:t>
            </w:r>
          </w:p>
        </w:tc>
        <w:tc>
          <w:tcPr>
            <w:tcW w:w="68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2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 Варианта использования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UC-02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Наименование варианта использования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Зарегистрировать обращение клиента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Актор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Специалист Управления по качеству (инициатор — Клиент банка)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Вариант использования позволяет специалисту внести в систему информацию о новом обращении (жалобе, запросе), поступившем от клиента по телефону, email или лично, для дальнейшей обработки.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Предварительные условия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1. Специалист авторизован в системе.</w:t>
              <w:br/>
              <w:t>2. Клиент инициировал контакт с проблемой/вопросом.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Постусловия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1. В системе создана новая запись об обращении с уникальным номером.</w:t>
              <w:br/>
              <w:t>2. Обращению присвоен статус «Новое» или «Зарегистрировано».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Основной поток событий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1. Актор нажимает кнопку «Создать обращение» в интерфейсе системы.</w:t>
              <w:br/>
              <w:t>2. Система открывает форму для ввода данных обращения.</w:t>
              <w:br/>
              <w:t>3. Актор вводит данные клиента (ФИО, телефон).</w:t>
              <w:br/>
              <w:t>4. Система выполняет проверку наличия клиента в БД.</w:t>
              <w:br/>
              <w:t>5. Актор выбирает канал поступления обращения (звонок, email, личный визит).</w:t>
              <w:br/>
              <w:t>6. Актор вводит текст обращения и выбирает предварительную категорию проблемы.</w:t>
              <w:br/>
              <w:t>7. Актор нажимает кнопку «Сохранить» или «Зарегистрировать».</w:t>
              <w:br/>
              <w:t>8. Система валидирует заполненные поля.</w:t>
              <w:br/>
              <w:t>9. Система генерирует уникальный номер обращения, присваивает статус «Новое» и сохраняет запись.</w:t>
              <w:br/>
              <w:t>10. Система отображает сообщение об успешном создании обращения с его номером.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Альтернативный поток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Альтернатива А1: Клиент найден в БД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br/>
              <w:t>1. На шаге 4 система находит клиента.</w:t>
              <w:br/>
              <w:t>2. Система автоматически подставляет остальные данные клиента (например, дата рождения, адрес) в форму, экономя время специалиста.</w:t>
              <w:br/>
            </w: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Альтернатива А2: Клиент не найден в БД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br/>
              <w:t>1. На шаге 4 система сообщает, что клиент не найден.</w:t>
              <w:br/>
              <w:t>2. Актор вручную заполняет все поля данных клиента.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Исключения / Поток ошибок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Е1: Не заполнены обязательные поля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br/>
              <w:t>1. На шаге 8 система обнаруживает, что не заполнено обязательное поле (например, «Текст обращения»).</w:t>
              <w:br/>
              <w:t>2. Система подсвечивает пустые поля и выводит сообщение: «Заполните все обязательные поля».</w:t>
              <w:br/>
              <w:t>3. Сценарий возвращается к шагу 5 или 6 для исправления.</w:t>
            </w:r>
          </w:p>
        </w:tc>
      </w:tr>
      <w:tr>
        <w:trPr/>
        <w:tc>
          <w:tcPr>
            <w:tcW w:w="2459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Содержит (Includes)</w:t>
            </w:r>
          </w:p>
        </w:tc>
        <w:tc>
          <w:tcPr>
            <w:tcW w:w="689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left="0"/>
              <w:jc w:val="both"/>
              <w:rPr/>
            </w:pPr>
            <w:r>
              <w:rPr>
                <w:rStyle w:val="Emphasis"/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Отсутствуют</w:t>
            </w:r>
          </w:p>
        </w:tc>
      </w:tr>
    </w:tbl>
    <w:p>
      <w:pPr>
        <w:pStyle w:val="Heading5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Вариант использования №3 (Актор: Администратор системы)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1. Графическое представление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Центральный элемент: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Эллипс с названием «Управлять пользователями».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Актор: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Человечек «Администратор системы», соединенный линией с эллипсом.</w:t>
      </w:r>
    </w:p>
    <w:p>
      <w:pPr>
        <w:pStyle w:val="BodyText"/>
        <w:widowControl/>
        <w:numPr>
          <w:ilvl w:val="0"/>
          <w:numId w:val="4"/>
        </w:numPr>
        <w:pBdr/>
        <w:tabs>
          <w:tab w:val="clear" w:pos="708"/>
          <w:tab w:val="left" w:pos="0" w:leader="none"/>
        </w:tabs>
        <w:spacing w:lineRule="auto" w:line="360" w:before="0" w:after="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 xml:space="preserve">Связи: </w:t>
      </w: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От эллипса идут стрелки-линии к подэллипсам (или просто подписям) «Создать пользователя», «Изменить роль», «Заблокировать», что является декомпозицией.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2. Табличное описани</w:t>
      </w:r>
      <w:r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е</w:t>
      </w:r>
    </w:p>
    <w:tbl>
      <w:tblPr>
        <w:tblW w:w="9355" w:type="dxa"/>
        <w:jc w:val="left"/>
        <w:tblInd w:w="-7" w:type="dxa"/>
        <w:tblLayout w:type="fixed"/>
        <w:tblCellMar>
          <w:top w:w="55" w:type="dxa"/>
          <w:left w:w="55" w:type="dxa"/>
          <w:bottom w:w="150" w:type="dxa"/>
          <w:right w:w="55" w:type="dxa"/>
        </w:tblCellMar>
      </w:tblPr>
      <w:tblGrid>
        <w:gridCol w:w="3275"/>
        <w:gridCol w:w="6080"/>
      </w:tblGrid>
      <w:tr>
        <w:trPr>
          <w:tblHeader w:val="true"/>
        </w:trPr>
        <w:tc>
          <w:tcPr>
            <w:tcW w:w="32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2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Раздел шаблона</w:t>
            </w:r>
          </w:p>
        </w:tc>
        <w:tc>
          <w:tcPr>
            <w:tcW w:w="6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2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ID Варианта использования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UC-03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Наименование варианта использования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Управлять пользователями системы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Актор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Администратор системы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Описание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Предоставляет администратору возможности для создания новых учетных записей сотрудников, изменения их ролей и прав доступа, а также блокировки уволенных сотрудников.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Предварительные условия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Администратор авторизован в системе с правами на администрирование.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Постусловия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Данные учетной записи пользователя (права, статус) изменены в соответствии с действиями администратора.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Основной поток событий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 (Сценарий: «Изменение роли пользователя»)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highlight w:val="none"/>
                <w:shd w:fill="auto" w:val="clear"/>
              </w:rPr>
            </w:pP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1. Актор переходит в раздел «Администрирование» -&gt; «Пользователи».</w:t>
              <w:br/>
              <w:t>2. Система отображает список всех зарегистрированных пользователей.</w:t>
              <w:br/>
              <w:t>3. Актор находит нужного пользователя с помощью поиска или фильтрации.</w:t>
              <w:br/>
              <w:t>4. Актор нажимает кнопку «Редактировать» рядом с выбранным пользователем.</w:t>
              <w:br/>
              <w:t>5. Система открывает карточку пользователя.</w:t>
              <w:br/>
              <w:t>6. Актор изменяет значение в поле «Роль» (например, с «Специалист» на «Старший специалист»).</w:t>
              <w:br/>
              <w:t>7. Актор нажимает кнопку «Сохранить».</w:t>
              <w:br/>
              <w:t>8. Система проверяет уникальность данных (если нужно) и сохраняет изменения.</w:t>
              <w:br/>
              <w:t>9. Система выводит сообщение «Данные пользователя успешно обновлены».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Альтернативный поток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Альтернатива А1: Создание нового пользователя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br/>
              <w:t>1. На шаге 2 основного потока Актор нажимает кнопку «+ Создать пользователя».</w:t>
              <w:br/>
              <w:t>2. Система открывает пустую форму.</w:t>
              <w:br/>
              <w:t>3. Актор заполняет все поля (ФИО, email, логин) и назначает роль.</w:t>
              <w:br/>
              <w:t>4. Система генерирует временный пароль.</w:t>
              <w:br/>
              <w:t>5. Актор сохраняет форму. Далее возврат к шагу 8 основного потока.</w:t>
              <w:br/>
            </w: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Альтернатива А2: Блокировка пользователя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br/>
              <w:t>1. На шаге 4 основного потока Актор нажимает кнопку «Заблокировать».</w:t>
              <w:br/>
              <w:t>2. Система запрашивает подтверждение действия.</w:t>
              <w:br/>
              <w:t>3. Актор подтверждает блокировку.</w:t>
              <w:br/>
              <w:t>4. Система меняет статус пользователя на «Неактивен».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Исключения / Поток ошибок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Е1: Создание пользователя с существующим email/логином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br/>
              <w:t>1. На шаге 4 (Альтернативы А1) при сохранении система находит совпадение.</w:t>
              <w:br/>
              <w:t>2. Система отменяет сохранение.</w:t>
              <w:br/>
              <w:t>3. Система выводит сообщение: «Пользователь с таким email уже существует».</w:t>
              <w:br/>
              <w:t>4. Сценарий возвращается к шагу 3 Альтернативы А1 для исправления.</w:t>
            </w:r>
          </w:p>
        </w:tc>
      </w:tr>
      <w:tr>
        <w:trPr/>
        <w:tc>
          <w:tcPr>
            <w:tcW w:w="3275" w:type="dxa"/>
            <w:tcBorders>
              <w:left w:val="single" w:sz="6" w:space="0" w:color="000000"/>
              <w:bottom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hanging="0" w:left="0" w:right="0"/>
              <w:jc w:val="both"/>
              <w:rPr/>
            </w:pPr>
            <w:r>
              <w:rPr>
                <w:rStyle w:val="Strong"/>
                <w:rFonts w:ascii="Nimbus Roman" w:hAnsi="Nimbus Roman"/>
                <w:b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Содержит (Includes)</w:t>
            </w:r>
          </w:p>
        </w:tc>
        <w:tc>
          <w:tcPr>
            <w:tcW w:w="6080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Style21"/>
              <w:spacing w:lineRule="auto" w:line="360" w:before="0" w:after="200"/>
              <w:ind w:left="0"/>
              <w:jc w:val="both"/>
              <w:rPr/>
            </w:pPr>
            <w:r>
              <w:rPr>
                <w:rStyle w:val="Emphasis"/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Подразумевает операции</w:t>
            </w:r>
            <w:r>
              <w:rPr>
                <w:rFonts w:ascii="Nimbus Roman" w:hAnsi="Nimbus Roman"/>
                <w:b w:val="false"/>
                <w:i w:val="false"/>
                <w:caps w:val="false"/>
                <w:smallCaps w:val="false"/>
                <w:sz w:val="28"/>
                <w:szCs w:val="28"/>
                <w:shd w:fill="auto" w:val="clear"/>
              </w:rPr>
              <w:t>: Создать, Изменить, Заблокировать.</w:t>
            </w:r>
          </w:p>
        </w:tc>
      </w:tr>
    </w:tbl>
    <w:p>
      <w:pPr>
        <w:pStyle w:val="Heading4"/>
        <w:widowControl/>
        <w:spacing w:lineRule="auto" w:line="360" w:before="240" w:after="240"/>
        <w:ind w:hanging="0" w:left="0" w:right="0"/>
        <w:jc w:val="both"/>
        <w:rPr>
          <w:rStyle w:val="Strong"/>
          <w:rFonts w:ascii="Nimbus Roman" w:hAnsi="Nimbus Roman"/>
          <w:b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p>
      <w:pPr>
        <w:pStyle w:val="Heading4"/>
        <w:widowControl/>
        <w:spacing w:lineRule="auto" w:line="360" w:before="240" w:after="240"/>
        <w:ind w:firstLine="709" w:left="0" w:right="0"/>
        <w:jc w:val="both"/>
        <w:rPr/>
      </w:pPr>
      <w:r>
        <w:rPr>
          <w:rStyle w:val="Strong"/>
          <w:rFonts w:ascii="Nimbus Roman" w:hAnsi="Nimbus Roman"/>
          <w:b/>
          <w:bCs/>
          <w:i w:val="false"/>
          <w:caps w:val="false"/>
          <w:smallCaps w:val="false"/>
          <w:color w:val="0F1115"/>
          <w:spacing w:val="0"/>
          <w:sz w:val="28"/>
          <w:szCs w:val="28"/>
          <w:shd w:fill="auto" w:val="clear"/>
        </w:rPr>
        <w:t>6. Вывод</w:t>
      </w:r>
    </w:p>
    <w:p>
      <w:pPr>
        <w:pStyle w:val="BodyText"/>
        <w:widowControl/>
        <w:spacing w:lineRule="auto" w:line="360" w:before="240" w:after="0"/>
        <w:ind w:firstLine="709" w:left="0" w:right="0"/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</w:pPr>
      <w:r>
        <w:rPr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</w:rPr>
        <w:t>В ходе работы я научился описывать варианты использования для тестирования на основе UML-диаграмм. Для системы «QMS-Bank» разработано три прецедента (для Директора, Специалиста и Администратора), в которых выделены основные, альтернативные и ошибочные потоки событий. Полученные навыки позволяют создавать тест-кейсы на ранних этапах разработки, что повышает качество и надежность ПО.</w:t>
      </w:r>
    </w:p>
    <w:p>
      <w:pPr>
        <w:pStyle w:val="BodyText"/>
        <w:widowControl/>
        <w:spacing w:lineRule="auto" w:line="360" w:before="240" w:after="240"/>
        <w:ind w:firstLine="709" w:left="0" w:right="0"/>
        <w:jc w:val="both"/>
        <w:rPr>
          <w:rStyle w:val="Strong"/>
          <w:rFonts w:ascii="Nimbus Roman" w:hAnsi="Nimbus Roman"/>
          <w:b w:val="false"/>
          <w:i w:val="false"/>
          <w:caps w:val="false"/>
          <w:smallCaps w:val="false"/>
          <w:color w:val="0F1115"/>
          <w:spacing w:val="0"/>
          <w:sz w:val="28"/>
          <w:szCs w:val="28"/>
          <w:highlight w:val="none"/>
          <w:shd w:fill="auto" w:val="clear"/>
        </w:rPr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/>
    <w:family w:val="modern"/>
    <w:pitch w:val="fixed"/>
  </w:font>
  <w:font w:name="Open Sans">
    <w:charset w:val="01"/>
    <w:family w:val="swiss"/>
    <w:pitch w:val="variable"/>
  </w:font>
  <w:font w:name="Nimbus Roma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a411b"/>
    <w:pPr>
      <w:widowControl/>
      <w:bidi w:val="0"/>
      <w:spacing w:lineRule="auto" w:line="276" w:before="0" w:after="200"/>
      <w:jc w:val="left"/>
    </w:pPr>
    <w:rPr>
      <w:rFonts w:eastAsia="" w:eastAsiaTheme="minorEastAsia" w:ascii="Calibri" w:hAnsi="Calibri" w:cs=""/>
      <w:color w:val="auto"/>
      <w:kern w:val="0"/>
      <w:sz w:val="22"/>
      <w:szCs w:val="22"/>
      <w:lang w:eastAsia="ru-RU" w:val="ru-RU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9d7071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9d7071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Style15"/>
    <w:next w:val="BodyText"/>
    <w:qFormat/>
    <w:pPr>
      <w:spacing w:before="140" w:after="120"/>
      <w:outlineLvl w:val="2"/>
    </w:pPr>
    <w:rPr>
      <w:rFonts w:ascii="Liberation Serif" w:hAnsi="Liberation Serif" w:eastAsia="Open Sans" w:cs="PakType Naskh Basic"/>
      <w:b/>
      <w:bCs/>
      <w:sz w:val="28"/>
      <w:szCs w:val="28"/>
    </w:rPr>
  </w:style>
  <w:style w:type="paragraph" w:styleId="Heading4">
    <w:name w:val="Heading 4"/>
    <w:basedOn w:val="Style15"/>
    <w:next w:val="BodyText"/>
    <w:qFormat/>
    <w:pPr>
      <w:spacing w:before="120" w:after="120"/>
      <w:outlineLvl w:val="3"/>
    </w:pPr>
    <w:rPr>
      <w:rFonts w:ascii="Liberation Serif" w:hAnsi="Liberation Serif" w:eastAsia="Open Sans" w:cs="PakType Naskh Basic"/>
      <w:b/>
      <w:bCs/>
      <w:sz w:val="24"/>
      <w:szCs w:val="24"/>
    </w:rPr>
  </w:style>
  <w:style w:type="paragraph" w:styleId="Heading5">
    <w:name w:val="Heading 5"/>
    <w:basedOn w:val="Style15"/>
    <w:next w:val="BodyText"/>
    <w:qFormat/>
    <w:pPr>
      <w:spacing w:before="120" w:after="60"/>
      <w:outlineLvl w:val="4"/>
    </w:pPr>
    <w:rPr>
      <w:rFonts w:ascii="Liberation Serif" w:hAnsi="Liberation Serif" w:eastAsia="Open Sans" w:cs="PakType Naskh Basic"/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текст Знак"/>
    <w:basedOn w:val="DefaultParagraphFont"/>
    <w:link w:val="Style17"/>
    <w:qFormat/>
    <w:rsid w:val="009d7071"/>
    <w:rPr>
      <w:rFonts w:ascii="Times New Roman" w:hAnsi="Times New Roman"/>
      <w:sz w:val="28"/>
    </w:rPr>
  </w:style>
  <w:style w:type="character" w:styleId="Style10" w:customStyle="1">
    <w:name w:val="главный заголовок Знак"/>
    <w:basedOn w:val="1"/>
    <w:link w:val="Style18"/>
    <w:qFormat/>
    <w:rsid w:val="009d7071"/>
    <w:rPr>
      <w:rFonts w:ascii="Times New Roman" w:hAnsi="Times New Roman" w:eastAsia="" w:cs="" w:cstheme="majorBidi" w:eastAsiaTheme="majorEastAsia"/>
      <w:b/>
      <w:caps/>
      <w:color w:themeColor="accent1" w:themeShade="bf" w:val="2F5496"/>
      <w:sz w:val="28"/>
      <w:szCs w:val="32"/>
    </w:rPr>
  </w:style>
  <w:style w:type="character" w:styleId="1" w:customStyle="1">
    <w:name w:val="Заголовок 1 Знак"/>
    <w:basedOn w:val="DefaultParagraphFont"/>
    <w:uiPriority w:val="9"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Style11" w:customStyle="1">
    <w:name w:val="подпункт Знак"/>
    <w:basedOn w:val="2"/>
    <w:link w:val="Style19"/>
    <w:qFormat/>
    <w:rsid w:val="009d7071"/>
    <w:rPr>
      <w:rFonts w:ascii="Times New Roman" w:hAnsi="Times New Roman" w:eastAsia="" w:cs="" w:cstheme="majorBidi" w:eastAsiaTheme="majorEastAsia"/>
      <w:b/>
      <w:color w:themeColor="accent1" w:themeShade="bf" w:val="2F5496"/>
      <w:sz w:val="28"/>
      <w:szCs w:val="26"/>
    </w:rPr>
  </w:style>
  <w:style w:type="character" w:styleId="2" w:customStyle="1">
    <w:name w:val="Заголовок 2 Знак"/>
    <w:basedOn w:val="DefaultParagraphFont"/>
    <w:uiPriority w:val="9"/>
    <w:semiHidden/>
    <w:qFormat/>
    <w:rsid w:val="009d7071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character" w:styleId="T2" w:customStyle="1">
    <w:name w:val="T2"/>
    <w:uiPriority w:val="99"/>
    <w:qFormat/>
    <w:rsid w:val="00fd7882"/>
    <w:rPr>
      <w:b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Исходный текст"/>
    <w:qFormat/>
    <w:rPr>
      <w:rFonts w:ascii="Liberation Mono" w:hAnsi="Liberation Mono" w:eastAsia="Liberation Mono" w:cs="Liberation Mono"/>
    </w:rPr>
  </w:style>
  <w:style w:type="character" w:styleId="Style14">
    <w:name w:val="Символ нумерации"/>
    <w:qFormat/>
    <w:rPr/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roid Sans Fallback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Lohit Devanagari"/>
    </w:rPr>
  </w:style>
  <w:style w:type="paragraph" w:styleId="Style17" w:customStyle="1">
    <w:name w:val="текст"/>
    <w:basedOn w:val="Normal"/>
    <w:link w:val="Style9"/>
    <w:qFormat/>
    <w:rsid w:val="009d7071"/>
    <w:pPr>
      <w:spacing w:lineRule="auto" w:line="360" w:before="0" w:after="0"/>
      <w:ind w:firstLine="709"/>
      <w:jc w:val="both"/>
    </w:pPr>
    <w:rPr>
      <w:rFonts w:ascii="Times New Roman" w:hAnsi="Times New Roman"/>
      <w:sz w:val="28"/>
    </w:rPr>
  </w:style>
  <w:style w:type="paragraph" w:styleId="Style18" w:customStyle="1">
    <w:name w:val="главный заголовок"/>
    <w:basedOn w:val="Heading1"/>
    <w:link w:val="Style10"/>
    <w:qFormat/>
    <w:rsid w:val="009d7071"/>
    <w:pPr>
      <w:suppressAutoHyphens w:val="true"/>
      <w:spacing w:lineRule="auto" w:line="360" w:before="0" w:after="0"/>
      <w:jc w:val="center"/>
    </w:pPr>
    <w:rPr>
      <w:rFonts w:ascii="Times New Roman" w:hAnsi="Times New Roman"/>
      <w:b/>
      <w:caps/>
      <w:sz w:val="28"/>
    </w:rPr>
  </w:style>
  <w:style w:type="paragraph" w:styleId="Style19" w:customStyle="1">
    <w:name w:val="подпункт"/>
    <w:basedOn w:val="Heading2"/>
    <w:link w:val="Style11"/>
    <w:qFormat/>
    <w:rsid w:val="009d7071"/>
    <w:pPr>
      <w:spacing w:lineRule="auto" w:line="360"/>
      <w:jc w:val="both"/>
    </w:pPr>
    <w:rPr>
      <w:rFonts w:ascii="Times New Roman" w:hAnsi="Times New Roman"/>
      <w:b/>
      <w:sz w:val="28"/>
    </w:rPr>
  </w:style>
  <w:style w:type="paragraph" w:styleId="P10" w:customStyle="1">
    <w:name w:val="P10"/>
    <w:basedOn w:val="Normal"/>
    <w:uiPriority w:val="99"/>
    <w:qFormat/>
    <w:rsid w:val="00fd7882"/>
    <w:pPr>
      <w:spacing w:lineRule="auto" w:line="240" w:before="0" w:after="0"/>
      <w:jc w:val="center"/>
    </w:pPr>
    <w:rPr>
      <w:rFonts w:ascii="Times New Roman" w:hAnsi="Times New Roman" w:eastAsia="Calibri" w:cs="Times New Roman" w:eastAsiaTheme="minorHAns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fd7882"/>
    <w:pPr>
      <w:spacing w:before="0" w:after="200"/>
      <w:ind w:left="720"/>
      <w:contextualSpacing/>
    </w:pPr>
    <w:rPr/>
  </w:style>
  <w:style w:type="paragraph" w:styleId="Style20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1">
    <w:name w:val="Содержимое таблицы"/>
    <w:basedOn w:val="Normal"/>
    <w:qFormat/>
    <w:pPr>
      <w:widowControl w:val="false"/>
      <w:suppressLineNumbers/>
    </w:pPr>
    <w:rPr/>
  </w:style>
  <w:style w:type="paragraph" w:styleId="Style22">
    <w:name w:val="Заголовок таблицы"/>
    <w:basedOn w:val="Style21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Application>LibreOffice/7.6.7.2$Linux_X86_64 LibreOffice_project/60$Build-2</Application>
  <AppVersion>15.0000</AppVersion>
  <Pages>1</Pages>
  <Words>125</Words>
  <Characters>718</Characters>
  <CharactersWithSpaces>842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2025-09-04T18:21:00Z</dcterms:created>
  <dc:creator>Мария Авраменко</dc:creator>
  <dc:description/>
  <dc:language>ru-RU</dc:language>
  <cp:lastModifiedBy/>
  <dcterms:modified xsi:type="dcterms:W3CDTF">2026-03-19T12:44:34Z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